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9"/>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line="932" w:lineRule="exact"/>
        <w:ind w:left="282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2739618" cy="59207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39618" cy="592074"/>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line="620" w:lineRule="exact" w:before="0"/>
        <w:ind w:left="1313" w:right="1313" w:firstLine="0"/>
        <w:jc w:val="center"/>
        <w:rPr>
          <w:rFonts w:ascii="黑体" w:hAnsi="黑体" w:cs="黑体" w:eastAsia="黑体" w:hint="default"/>
          <w:sz w:val="52"/>
          <w:szCs w:val="52"/>
        </w:rPr>
      </w:pPr>
      <w:r>
        <w:rPr>
          <w:rFonts w:ascii="黑体" w:hAnsi="黑体" w:cs="黑体" w:eastAsia="黑体" w:hint="default"/>
          <w:sz w:val="52"/>
          <w:szCs w:val="52"/>
        </w:rPr>
        <w:t>深圳市银之杰科技股份有限公司</w:t>
      </w:r>
    </w:p>
    <w:p>
      <w:pPr>
        <w:spacing w:before="198"/>
        <w:ind w:left="1313" w:right="1313" w:firstLine="0"/>
        <w:jc w:val="center"/>
        <w:rPr>
          <w:rFonts w:ascii="Times New Roman" w:hAnsi="Times New Roman" w:cs="Times New Roman" w:eastAsia="Times New Roman" w:hint="default"/>
          <w:sz w:val="30"/>
          <w:szCs w:val="30"/>
        </w:rPr>
      </w:pPr>
      <w:r>
        <w:rPr>
          <w:rFonts w:ascii="Times New Roman"/>
          <w:b/>
          <w:sz w:val="30"/>
        </w:rPr>
        <w:t>SHENZHEN INFOTECH TECHNOLOGIES CO.,</w:t>
      </w:r>
      <w:r>
        <w:rPr>
          <w:rFonts w:ascii="Times New Roman"/>
          <w:b/>
          <w:spacing w:val="-8"/>
          <w:sz w:val="30"/>
        </w:rPr>
        <w:t> </w:t>
      </w:r>
      <w:r>
        <w:rPr>
          <w:rFonts w:ascii="Times New Roman"/>
          <w:b/>
          <w:spacing w:val="-7"/>
          <w:sz w:val="30"/>
        </w:rPr>
        <w:t>LTD.</w:t>
      </w:r>
      <w:r>
        <w:rPr>
          <w:rFonts w:ascii="Times New Roman"/>
          <w:spacing w:val="-7"/>
          <w:sz w:val="30"/>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6"/>
        <w:rPr>
          <w:rFonts w:ascii="Times New Roman" w:hAnsi="Times New Roman" w:cs="Times New Roman" w:eastAsia="Times New Roman" w:hint="default"/>
          <w:b/>
          <w:bCs/>
          <w:sz w:val="33"/>
          <w:szCs w:val="33"/>
        </w:rPr>
      </w:pPr>
    </w:p>
    <w:p>
      <w:pPr>
        <w:spacing w:before="0"/>
        <w:ind w:left="1313" w:right="1313" w:firstLine="0"/>
        <w:jc w:val="center"/>
        <w:rPr>
          <w:rFonts w:ascii="黑体" w:hAnsi="黑体" w:cs="黑体" w:eastAsia="黑体" w:hint="default"/>
          <w:sz w:val="52"/>
          <w:szCs w:val="52"/>
        </w:rPr>
      </w:pPr>
      <w:r>
        <w:rPr>
          <w:rFonts w:ascii="黑体" w:hAnsi="黑体" w:cs="黑体" w:eastAsia="黑体" w:hint="default"/>
          <w:sz w:val="52"/>
          <w:szCs w:val="52"/>
        </w:rPr>
        <w:t>2014</w:t>
      </w:r>
      <w:r>
        <w:rPr>
          <w:rFonts w:ascii="黑体" w:hAnsi="黑体" w:cs="黑体" w:eastAsia="黑体" w:hint="default"/>
          <w:spacing w:val="-132"/>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441"/>
        <w:ind w:left="1313" w:right="131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880" w:bottom="2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公司负责人陈向军、主管会计工作负责人许秋江及会计机构负责人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张春雷声明：保证年度报告中财务报告的真实、准确、完整。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headerReference w:type="default" r:id="rId6"/>
          <w:footerReference w:type="default" r:id="rId7"/>
          <w:pgSz w:w="11910" w:h="16840"/>
          <w:pgMar w:header="877" w:footer="979" w:top="1060" w:bottom="116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1313" w:right="131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9"/>
              </w:rPr>
              <w:t> </w:t>
            </w:r>
            <w:r>
              <w:rPr/>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第八节</w:t>
            </w:r>
            <w:r>
              <w:rPr>
                <w:spacing w:val="-19"/>
              </w:rPr>
              <w:t> </w:t>
            </w:r>
            <w:r>
              <w:rPr/>
              <w:t>公司治理</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9"/>
              </w:rPr>
              <w:t> </w:t>
            </w:r>
            <w:r>
              <w:rPr/>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9"/>
              </w:rPr>
              <w:t> </w:t>
            </w:r>
            <w:r>
              <w:rPr/>
              <w:t>备查文件目录</w:t>
            </w:r>
            <w:r>
              <w:rPr>
                <w:rFonts w:ascii="Times New Roman" w:hAnsi="Times New Roman" w:cs="Times New Roman" w:eastAsia="Times New Roman" w:hint="default"/>
              </w:rPr>
              <w:tab/>
              <w:t>147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79" w:top="1100" w:bottom="1160" w:left="980" w:right="980"/>
        </w:sectPr>
      </w:pPr>
    </w:p>
    <w:p>
      <w:pPr>
        <w:spacing w:before="893"/>
        <w:ind w:left="1313" w:right="131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9"/>
          <w:szCs w:val="19"/>
        </w:rPr>
      </w:pPr>
    </w:p>
    <w:p>
      <w:pPr>
        <w:pStyle w:val="BodyText"/>
        <w:spacing w:line="240" w:lineRule="auto"/>
        <w:ind w:left="0" w:right="159"/>
        <w:jc w:val="right"/>
      </w:pPr>
      <w:r>
        <w:rPr/>
        <w:pict>
          <v:shape style="position:absolute;margin-left:56.459999pt;margin-top:-465.068268pt;width:479.25pt;height:585.2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银之杰金融设备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深圳市银之杰金融设备有限公司，本公司全资子公司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银之杰技术开发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深圳市银之杰技术开发有限公司，本公司全资子公司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亿美软通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科安数字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深圳市科安数字有限公司，本公司控股子公司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票联金融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深圳票联金融服务有限公司，本公司参股子公司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北京华道征信有限公司，本公司参股子公司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互联网金融</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9"/>
                          <w:jc w:val="both"/>
                          <w:rPr>
                            <w:rFonts w:ascii="宋体" w:hAnsi="宋体" w:cs="宋体" w:eastAsia="宋体" w:hint="default"/>
                            <w:sz w:val="18"/>
                            <w:szCs w:val="18"/>
                          </w:rPr>
                        </w:pPr>
                        <w:r>
                          <w:rPr>
                            <w:rFonts w:ascii="宋体" w:hAnsi="宋体" w:cs="宋体" w:eastAsia="宋体" w:hint="default"/>
                            <w:spacing w:val="-2"/>
                            <w:sz w:val="18"/>
                            <w:szCs w:val="18"/>
                          </w:rPr>
                          <w:t>依托互联网、移动通信和大数据处理等技术手段，实现资金融通、支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付、信息中介等业务的一种新兴金融，以及与之相关的互联网应用。</w:t>
                        </w:r>
                        <w:r>
                          <w:rPr>
                            <w:rFonts w:ascii="宋体" w:hAnsi="宋体" w:cs="宋体" w:eastAsia="宋体" w:hint="default"/>
                            <w:sz w:val="18"/>
                            <w:szCs w:val="18"/>
                          </w:rPr>
                          <w:t> </w:t>
                        </w:r>
                        <w:r>
                          <w:rPr>
                            <w:rFonts w:ascii="宋体" w:hAnsi="宋体" w:cs="宋体" w:eastAsia="宋体" w:hint="default"/>
                            <w:spacing w:val="-2"/>
                            <w:sz w:val="18"/>
                            <w:szCs w:val="18"/>
                          </w:rPr>
                          <w:t>包括不限于第三方支付、移动支付、网络信贷、金融产品销售、信用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评价、金融中介、金融电子商务等。</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征信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通过专业化的、独立的第三方机构为个人或企业建立信用档案，依法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采集、整理、保存、加工其信用信息，并对使用者提供信用信息服务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的活动。根据信用评价对象的不同，分为企业征信和个人征信。</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个人征信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依法设立的个人信用征信机构对个人信用信息进行采集和加工，并根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据用户要求提供个人信用信息查询和评估服务的活动。</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达到足够量级的，经过新的处理模式能够具有更强的决策力、洞察发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现力和流程优化能力，从而产生更广泛的市场价值的信息资产。</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大数据运营</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以大数据资源为基础，经过数据分析、挖掘和处理，为特定的市场需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求提供以市场推广和精准营销为目标的有价值信息的服务活动</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支票、汇票、本票等。</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票联通</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71"/>
                          <w:jc w:val="left"/>
                          <w:rPr>
                            <w:rFonts w:ascii="宋体" w:hAnsi="宋体" w:cs="宋体" w:eastAsia="宋体" w:hint="default"/>
                            <w:sz w:val="18"/>
                            <w:szCs w:val="18"/>
                          </w:rPr>
                        </w:pPr>
                        <w:r>
                          <w:rPr>
                            <w:rFonts w:ascii="宋体" w:hAnsi="宋体" w:cs="宋体" w:eastAsia="宋体" w:hint="default"/>
                            <w:sz w:val="18"/>
                            <w:szCs w:val="18"/>
                          </w:rPr>
                          <w:t>本公司参股子公司深圳票联金融服务有限公司为商业银行提供的票 据自助结算金融服务业务。</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影像技术</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12"/>
                          <w:jc w:val="left"/>
                          <w:rPr>
                            <w:rFonts w:ascii="宋体" w:hAnsi="宋体" w:cs="宋体" w:eastAsia="宋体" w:hint="default"/>
                            <w:sz w:val="18"/>
                            <w:szCs w:val="18"/>
                          </w:rPr>
                        </w:pPr>
                        <w:r>
                          <w:rPr>
                            <w:rFonts w:ascii="宋体" w:hAnsi="宋体" w:cs="宋体" w:eastAsia="宋体" w:hint="default"/>
                            <w:spacing w:val="-5"/>
                            <w:sz w:val="18"/>
                            <w:szCs w:val="18"/>
                          </w:rPr>
                          <w:t>对通过摄像、扫描等方式获得的数字图像进行传输、图像处理、识别</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存储、管理等一系列信息化应用的技术。</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验印</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银行在受理诸如支票等涉及客户签章的业务时，核对客户签章与预留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银行的签章是否相符的业务操作程序。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流程银行</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通过重新构造银行的业务流程、组织流程、管理流程，改造传统的银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行模式，形成以流程为核心的全新的银行模式。本报告中多特指商业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银行为达到以上变革目的而进行的信息化建设。</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7"/>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银之杰</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300085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银之杰</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Shenzhen InfoGem Technologies Co.,</w:t>
            </w:r>
            <w:r>
              <w:rPr>
                <w:rFonts w:ascii="Times New Roman"/>
                <w:spacing w:val="-23"/>
                <w:sz w:val="18"/>
              </w:rPr>
              <w:t> </w:t>
            </w:r>
            <w:r>
              <w:rPr>
                <w:rFonts w:ascii="Times New Roman"/>
                <w:sz w:val="18"/>
              </w:rPr>
              <w:t>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INFOGEM</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陈向军</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5B2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www.yinzhijie.com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invest@yinzhijie.com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林丽</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AB</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AB</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0755-83930085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0755-83930085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0755-83562955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0755-83562955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liuyi@yinzhijie.com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linli@yinzhijie.com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left="154"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44"/>
              <w:jc w:val="both"/>
              <w:rPr>
                <w:rFonts w:ascii="宋体" w:hAnsi="宋体" w:cs="宋体" w:eastAsia="宋体" w:hint="default"/>
                <w:sz w:val="18"/>
                <w:szCs w:val="18"/>
              </w:rPr>
            </w:pPr>
            <w:r>
              <w:rPr>
                <w:rFonts w:ascii="宋体" w:hAnsi="宋体" w:cs="宋体" w:eastAsia="宋体" w:hint="default"/>
                <w:sz w:val="18"/>
                <w:szCs w:val="18"/>
              </w:rPr>
              <w:t>深圳市华强北路长 兴大厦盛庭苑酒店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4403012009512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440301708458455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股份公司成立变更 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深圳市福田区车公 庙天安数码城天祥 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5B2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440301102955880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首次公开发行股票 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深圳市福田区车公 庙天安数码城天祥 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5B2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440301102955880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深圳市福田区车公 庙天安数码城天祥 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5B2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440301102955880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变更注册资本、董事</w:t>
            </w:r>
            <w:r>
              <w:rPr>
                <w:rFonts w:ascii="宋体" w:hAnsi="宋体" w:cs="宋体" w:eastAsia="宋体" w:hint="default"/>
                <w:sz w:val="18"/>
                <w:szCs w:val="18"/>
              </w:rPr>
              <w:t> 成员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深圳市福田区车公 庙天安数码城天祥 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5B2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440301102955880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深圳市福田区车公 庙天安数码城天祥 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5B2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440301102955880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深圳市福田区车公 庙天安数码城天祥 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5B2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440301102955880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756208"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93"/>
        <w:gridCol w:w="1382"/>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192,124,040.97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110,074,729.26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100,527,997.61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95,320,004.40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51,116,498.03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47,136,736.37</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26,411,572.18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8,477,895.12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211.53%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11,150,805.23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30,803,007.82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14,534,135.98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111.94%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20,267,993.45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1" w:right="0"/>
              <w:jc w:val="left"/>
              <w:rPr>
                <w:rFonts w:ascii="Times New Roman" w:hAnsi="Times New Roman" w:cs="Times New Roman" w:eastAsia="Times New Roman" w:hint="default"/>
                <w:sz w:val="18"/>
                <w:szCs w:val="18"/>
              </w:rPr>
            </w:pPr>
            <w:r>
              <w:rPr>
                <w:rFonts w:ascii="Times New Roman"/>
                <w:sz w:val="18"/>
              </w:rPr>
              <w:t>27,686,672.11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14,446,722.90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18,030,617.44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93"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27,358,587.41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12,277,076.89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122.84%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14,670,954.82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31,869,543.38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-4,135,878.43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-870.56%</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5,549,027.47</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0.1213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-0.0341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-455.72%</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0.0462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0.0752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0.0752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262,722,219.00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121,330,000.00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116.54%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963,205,269.18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535,112,376.35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528,315,392.36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127,224,066.64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13,049,322.53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12,603,261.44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832,517,621.68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522,063,053.82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59.84%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515,712,130.92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3.1688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4.3028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4.2976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+10.77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left="154"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3"/>
        <w:gridCol w:w="1770"/>
        <w:gridCol w:w="1770"/>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归属于上市公司普通股股东的净资产</w:t>
            </w:r>
          </w:p>
        </w:tc>
      </w:tr>
      <w:tr>
        <w:trPr>
          <w:trHeight w:val="191"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4" w:type="dxa"/>
            <w:gridSpan w:val="2"/>
            <w:vMerge/>
            <w:tcBorders>
              <w:left w:val="single" w:sz="4" w:space="0" w:color="000000"/>
              <w:bottom w:val="single" w:sz="4" w:space="0" w:color="000000"/>
              <w:right w:val="single" w:sz="4" w:space="0" w:color="000000"/>
            </w:tcBorders>
            <w:shd w:val="clear" w:color="auto" w:fill="D2D2D2"/>
          </w:tcPr>
          <w:p>
            <w:pPr/>
          </w:p>
        </w:tc>
        <w:tc>
          <w:tcPr>
            <w:tcW w:w="354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3"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73" w:right="0"/>
              <w:jc w:val="left"/>
              <w:rPr>
                <w:rFonts w:ascii="Times New Roman" w:hAnsi="Times New Roman" w:cs="Times New Roman" w:eastAsia="Times New Roman" w:hint="default"/>
                <w:sz w:val="18"/>
                <w:szCs w:val="18"/>
              </w:rPr>
            </w:pPr>
            <w:r>
              <w:rPr>
                <w:rFonts w:ascii="Times New Roman"/>
                <w:sz w:val="18"/>
              </w:rPr>
              <w:t>27,686,672.11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14,446,722.90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832,517,621.68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522,063,053.82</w:t>
            </w:r>
          </w:p>
        </w:tc>
      </w:tr>
      <w:tr>
        <w:trPr>
          <w:trHeight w:val="402"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85"/>
        <w:gridCol w:w="1741"/>
        <w:gridCol w:w="2003"/>
        <w:gridCol w:w="1770"/>
        <w:gridCol w:w="1770"/>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归属于上市公司普通股股东的净资产</w:t>
            </w:r>
          </w:p>
        </w:tc>
      </w:tr>
      <w:tr>
        <w:trPr>
          <w:trHeight w:val="191"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4" w:type="dxa"/>
            <w:gridSpan w:val="2"/>
            <w:vMerge/>
            <w:tcBorders>
              <w:left w:val="single" w:sz="4" w:space="0" w:color="000000"/>
              <w:bottom w:val="single" w:sz="4" w:space="0" w:color="000000"/>
              <w:right w:val="single" w:sz="4" w:space="0" w:color="000000"/>
            </w:tcBorders>
            <w:shd w:val="clear" w:color="auto" w:fill="D2D2D2"/>
          </w:tcPr>
          <w:p>
            <w:pPr/>
          </w:p>
        </w:tc>
        <w:tc>
          <w:tcPr>
            <w:tcW w:w="354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3"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73" w:right="0"/>
              <w:jc w:val="left"/>
              <w:rPr>
                <w:rFonts w:ascii="Times New Roman" w:hAnsi="Times New Roman" w:cs="Times New Roman" w:eastAsia="Times New Roman" w:hint="default"/>
                <w:sz w:val="18"/>
                <w:szCs w:val="18"/>
              </w:rPr>
            </w:pPr>
            <w:r>
              <w:rPr>
                <w:rFonts w:ascii="Times New Roman"/>
                <w:sz w:val="18"/>
              </w:rPr>
              <w:t>27,686,672.11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14,446,722.90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832,517,621.68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522,063,053.82</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境内外会计准则下会计数据差异说明" w:id="15"/>
      <w:bookmarkEnd w:id="15"/>
      <w:r>
        <w:rPr>
          <w:b w:val="0"/>
          <w:bCs w:val="0"/>
        </w:rPr>
      </w: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经常性损益的项目及金额" w:id="16"/>
      <w:bookmarkEnd w:id="16"/>
      <w:r>
        <w:rPr>
          <w:b w:val="0"/>
          <w:bCs w:val="0"/>
        </w:rPr>
      </w:r>
      <w:r>
        <w:rPr/>
        <w:t>三、非经常性损益的项目及金额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-8,993.70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-1,404.26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-2,122.86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372,700.00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2,411,600.00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3,953,873.00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35,921.60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240,538.45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592,087.52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328,084.70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2,169,646.01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3,359,662.62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2" w:lineRule="auto"/>
        <w:jc w:val="left"/>
        <w:sectPr>
          <w:pgSz w:w="11910" w:h="16840"/>
          <w:pgMar w:header="877" w:footer="979" w:top="1100" w:bottom="116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92"/>
        <w:jc w:val="both"/>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bookmarkStart w:name="四、重大风险提示" w:id="17"/>
      <w:bookmarkEnd w:id="17"/>
      <w:r>
        <w:rPr>
          <w:b w:val="0"/>
          <w:bCs w:val="0"/>
        </w:rPr>
      </w:r>
      <w:r>
        <w:rPr/>
        <w:t>四、重大风险提示</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93"/>
        <w:jc w:val="left"/>
      </w:pPr>
      <w:r>
        <w:rPr>
          <w:rFonts w:ascii="Times New Roman" w:hAnsi="Times New Roman" w:cs="Times New Roman" w:eastAsia="Times New Roman" w:hint="default"/>
        </w:rPr>
        <w:t>1</w:t>
      </w:r>
      <w:r>
        <w:rPr/>
        <w:t>、新业务发展不达预期的风险 </w:t>
      </w:r>
      <w:r>
        <w:rPr>
          <w:spacing w:val="-2"/>
        </w:rPr>
        <w:t>公司按照既定的战略发展规划，持续开拓新的业务领域，推进公司业务向移动互联网和互联网金融领域延伸发展。已经</w:t>
      </w:r>
    </w:p>
    <w:p>
      <w:pPr>
        <w:pStyle w:val="BodyText"/>
        <w:spacing w:line="472" w:lineRule="auto" w:before="74"/>
        <w:ind w:left="154" w:right="110"/>
        <w:jc w:val="both"/>
      </w:pPr>
      <w:r>
        <w:rPr>
          <w:spacing w:val="-2"/>
        </w:rPr>
        <w:t>开展或布局的业务包括：合资成立深圳票联金融金融服务公司开发银行支票自助金融服务市场；合资成立北京华道征信有限</w:t>
      </w:r>
      <w:r>
        <w:rPr>
          <w:spacing w:val="-64"/>
        </w:rPr>
        <w:t> </w:t>
      </w:r>
      <w:r>
        <w:rPr>
          <w:spacing w:val="-64"/>
        </w:rPr>
      </w:r>
      <w:r>
        <w:rPr>
          <w:spacing w:val="-2"/>
        </w:rPr>
        <w:t>公司发展个人征信服务业务；发起设立互联网财产保险公司等。目前，票联金融开发的以商业银行支票自助金融服务为核心</w:t>
      </w:r>
      <w:r>
        <w:rPr>
          <w:spacing w:val="-66"/>
        </w:rPr>
        <w:t> </w:t>
      </w:r>
      <w:r>
        <w:rPr>
          <w:spacing w:val="-66"/>
        </w:rPr>
      </w:r>
      <w:r>
        <w:rPr>
          <w:spacing w:val="-2"/>
        </w:rPr>
        <w:t>的票联通业务已经在深圳地区开通上线；华道征信已经被中国人民银行列入“开展个人征信业务准备工作的机构名单”。但</w:t>
      </w:r>
      <w:r>
        <w:rPr>
          <w:spacing w:val="-87"/>
        </w:rPr>
        <w:t> </w:t>
      </w:r>
      <w:r>
        <w:rPr>
          <w:spacing w:val="-87"/>
        </w:rPr>
      </w:r>
      <w:r>
        <w:rPr>
          <w:spacing w:val="-2"/>
        </w:rPr>
        <w:t>是鉴于：票联通业务尚还处于被客户逐步接受和认可的阶段，目前仅在深圳地区的</w:t>
      </w:r>
      <w:r>
        <w:rPr>
          <w:rFonts w:ascii="Times New Roman" w:hAnsi="Times New Roman" w:cs="Times New Roman" w:eastAsia="Times New Roman" w:hint="default"/>
          <w:spacing w:val="-2"/>
        </w:rPr>
        <w:t>30</w:t>
      </w:r>
      <w:r>
        <w:rPr>
          <w:spacing w:val="-2"/>
        </w:rPr>
        <w:t>余个银行网点上线运行；华道征信的个</w:t>
      </w:r>
      <w:r>
        <w:rPr>
          <w:spacing w:val="-64"/>
        </w:rPr>
        <w:t> </w:t>
      </w:r>
      <w:r>
        <w:rPr>
          <w:spacing w:val="-64"/>
        </w:rPr>
      </w:r>
      <w:r>
        <w:rPr>
          <w:spacing w:val="-2"/>
        </w:rPr>
        <w:t>人征信业务尚处于准备工作阶段，尚未正式获得中国人民银行开展个人征信业务的经营许可；发起设立互联网财产保险公司</w:t>
      </w:r>
      <w:r>
        <w:rPr>
          <w:spacing w:val="-64"/>
        </w:rPr>
        <w:t> </w:t>
      </w:r>
      <w:r>
        <w:rPr>
          <w:spacing w:val="-64"/>
        </w:rPr>
      </w:r>
      <w:r>
        <w:rPr/>
        <w:t>的申请事项尚在等待中国保监会的批复，因此，公司新业务的发展仍有较大的不确定性，存在新业务发展不达预期的风险。</w:t>
      </w:r>
    </w:p>
    <w:p>
      <w:pPr>
        <w:pStyle w:val="BodyText"/>
        <w:spacing w:line="477" w:lineRule="auto" w:before="58"/>
        <w:ind w:left="154" w:right="93" w:firstLine="360"/>
        <w:jc w:val="left"/>
      </w:pPr>
      <w:r>
        <w:rPr>
          <w:spacing w:val="-2"/>
        </w:rPr>
        <w:t>针对上述风险，公司将从战略高度充分重视新业务的发展，充分调集公司人才、技术、资金和平台资源，发挥公司各项</w:t>
      </w:r>
      <w:r>
        <w:rPr/>
        <w:t> 业务的整合优势，与各合作方一起，努力推进新业务的快速发展。</w:t>
      </w:r>
    </w:p>
    <w:p>
      <w:pPr>
        <w:pStyle w:val="BodyText"/>
        <w:spacing w:line="451" w:lineRule="auto" w:before="54"/>
        <w:ind w:left="514" w:right="212"/>
        <w:jc w:val="left"/>
      </w:pPr>
      <w:r>
        <w:rPr>
          <w:rFonts w:ascii="Times New Roman" w:hAnsi="Times New Roman" w:cs="Times New Roman" w:eastAsia="Times New Roman" w:hint="default"/>
        </w:rPr>
        <w:t>2</w:t>
      </w:r>
      <w:r>
        <w:rPr/>
        <w:t>、产业并购的整合风险 报告期内，公司通过实施重大资产重组，以发行股份的方式收购了北京亿美软通科技有限公司的</w:t>
      </w:r>
      <w:r>
        <w:rPr>
          <w:rFonts w:ascii="Times New Roman" w:hAnsi="Times New Roman" w:cs="Times New Roman" w:eastAsia="Times New Roman" w:hint="default"/>
        </w:rPr>
        <w:t>100%</w:t>
      </w:r>
      <w:r>
        <w:rPr/>
        <w:t>股权，亿美软通</w:t>
      </w:r>
    </w:p>
    <w:p>
      <w:pPr>
        <w:pStyle w:val="BodyText"/>
        <w:spacing w:line="472" w:lineRule="auto" w:before="43"/>
        <w:ind w:right="191"/>
        <w:jc w:val="both"/>
      </w:pPr>
      <w:r>
        <w:rPr>
          <w:spacing w:val="-2"/>
        </w:rPr>
        <w:t>成为本公司的全资子公司。同年，公司以增资收购的形式，取得了以经营家居安防产品的跨境电商为主要业务的深圳市科安</w:t>
      </w:r>
      <w:r>
        <w:rPr>
          <w:spacing w:val="-66"/>
        </w:rPr>
        <w:t> </w:t>
      </w:r>
      <w:r>
        <w:rPr>
          <w:spacing w:val="-66"/>
        </w:rPr>
      </w:r>
      <w:r>
        <w:rPr>
          <w:spacing w:val="-1"/>
        </w:rPr>
        <w:t>数字有限公司</w:t>
      </w:r>
      <w:r>
        <w:rPr>
          <w:rFonts w:ascii="Times New Roman" w:hAnsi="Times New Roman" w:cs="Times New Roman" w:eastAsia="Times New Roman" w:hint="default"/>
          <w:spacing w:val="-1"/>
        </w:rPr>
        <w:t>51%</w:t>
      </w:r>
      <w:r>
        <w:rPr>
          <w:spacing w:val="-1"/>
        </w:rPr>
        <w:t>的控股权，科安数字成为本公司的控股子公司。上述收购完成后，亿美软通和科安数字均作为独立经营实</w:t>
      </w:r>
      <w:r>
        <w:rPr>
          <w:spacing w:val="-87"/>
        </w:rPr>
        <w:t> </w:t>
      </w:r>
      <w:r>
        <w:rPr>
          <w:spacing w:val="-87"/>
        </w:rPr>
      </w:r>
      <w:r>
        <w:rPr>
          <w:spacing w:val="-2"/>
        </w:rPr>
        <w:t>体存续并由其原有经营管理团队继续运营，目前经营情况良好，经营业绩情况符合收购预期。但由于上述并购企业所处的细</w:t>
      </w:r>
      <w:r>
        <w:rPr>
          <w:spacing w:val="-66"/>
        </w:rPr>
        <w:t> </w:t>
      </w:r>
      <w:r>
        <w:rPr>
          <w:spacing w:val="-66"/>
        </w:rPr>
      </w:r>
      <w:r>
        <w:rPr>
          <w:spacing w:val="-2"/>
        </w:rPr>
        <w:t>分行业、业务模式、发展阶段、企业文化等与本公司不可避免地存在一定差异，纳入上市公司控制后，对并购公司的内部控</w:t>
      </w:r>
      <w:r>
        <w:rPr>
          <w:spacing w:val="-66"/>
        </w:rPr>
        <w:t> </w:t>
      </w:r>
      <w:r>
        <w:rPr>
          <w:spacing w:val="-66"/>
        </w:rPr>
      </w:r>
      <w:r>
        <w:rPr>
          <w:spacing w:val="-2"/>
        </w:rPr>
        <w:t>制、规范运作、业务发展提出了更高的要求，因此上述并购实施后，公司存在未来能否顺利完成整合的不确定性。如果并购</w:t>
      </w:r>
      <w:r>
        <w:rPr>
          <w:spacing w:val="-66"/>
        </w:rPr>
        <w:t> </w:t>
      </w:r>
      <w:r>
        <w:rPr>
          <w:spacing w:val="-66"/>
        </w:rPr>
      </w:r>
      <w:r>
        <w:rPr/>
        <w:t>整合效果不及预期，亿美软通和科安数字的业绩承诺无法达标，将对公司经营业绩造成不利影响。</w:t>
      </w:r>
    </w:p>
    <w:p>
      <w:pPr>
        <w:pStyle w:val="BodyText"/>
        <w:spacing w:line="477" w:lineRule="auto" w:before="58"/>
        <w:ind w:right="93" w:firstLine="360"/>
        <w:jc w:val="left"/>
      </w:pPr>
      <w:r>
        <w:rPr>
          <w:spacing w:val="-2"/>
        </w:rPr>
        <w:t>针对上述风险，公司将充分尊重不同企业管理体系的差异性，从公司治理、发展战略、市场协同、人才激励等各个方面</w:t>
      </w:r>
      <w:r>
        <w:rPr/>
        <w:t> 不断完善相关内控制度与流程，加强内部管控和文化融合，以实现有效的整合，努力创造产业并购良好的协同效应。</w:t>
      </w:r>
    </w:p>
    <w:p>
      <w:pPr>
        <w:pStyle w:val="BodyText"/>
        <w:spacing w:line="451" w:lineRule="auto" w:before="54"/>
        <w:ind w:left="514" w:right="93"/>
        <w:jc w:val="left"/>
      </w:pPr>
      <w:r>
        <w:rPr>
          <w:rFonts w:ascii="Times New Roman" w:hAnsi="Times New Roman" w:cs="Times New Roman" w:eastAsia="Times New Roman" w:hint="default"/>
        </w:rPr>
        <w:t>3</w:t>
      </w:r>
      <w:r>
        <w:rPr/>
        <w:t>、短期盈利能力风险 </w:t>
      </w:r>
      <w:r>
        <w:rPr>
          <w:spacing w:val="-2"/>
        </w:rPr>
        <w:t>近年来，公司按照战略发展规划，推进公司业务向移动互联网和互联网金融领域延伸，已经开展和布局的业务包括：个</w:t>
      </w:r>
    </w:p>
    <w:p>
      <w:pPr>
        <w:pStyle w:val="BodyText"/>
        <w:spacing w:line="477" w:lineRule="auto" w:before="74"/>
        <w:ind w:left="154" w:right="93"/>
        <w:jc w:val="left"/>
      </w:pPr>
      <w:r>
        <w:rPr>
          <w:spacing w:val="-2"/>
        </w:rPr>
        <w:t>人征信服务业务、银行支票金融服务业务、互联网保险业务等，并且公司仍在按照战略规划继续推进在互联网金融以及大数</w:t>
      </w:r>
      <w:r>
        <w:rPr>
          <w:spacing w:val="-66"/>
        </w:rPr>
        <w:t> </w:t>
      </w:r>
      <w:r>
        <w:rPr>
          <w:spacing w:val="-66"/>
        </w:rPr>
      </w:r>
      <w:r>
        <w:rPr>
          <w:spacing w:val="-4"/>
        </w:rPr>
        <w:t>据运营领域的业务布局。公司实施以上战略布局，是公司为企业长远发展而采取的积极措施，并且在各项战略投资实施之前，</w:t>
      </w:r>
      <w:r>
        <w:rPr>
          <w:spacing w:val="-44"/>
        </w:rPr>
        <w:t> </w:t>
      </w:r>
      <w:r>
        <w:rPr>
          <w:spacing w:val="-44"/>
        </w:rPr>
      </w:r>
      <w:r>
        <w:rPr>
          <w:spacing w:val="-2"/>
        </w:rPr>
        <w:t>公司已对新兴业务的市场空间和项目可行性进行了充分的论证。但是由于部分新业务，如个人征信服务、票联通业务、互联</w:t>
      </w:r>
      <w:r>
        <w:rPr>
          <w:spacing w:val="-66"/>
        </w:rPr>
        <w:t> </w:t>
      </w:r>
      <w:r>
        <w:rPr>
          <w:spacing w:val="-66"/>
        </w:rPr>
      </w:r>
      <w:r>
        <w:rPr>
          <w:spacing w:val="-2"/>
        </w:rPr>
        <w:t>网保险业务等，在业务开展初期阶段需要比较高的投入，可能在一定时期内不具备盈利能力，因此可能致使公司存在短期盈</w:t>
      </w:r>
    </w:p>
    <w:p>
      <w:pPr>
        <w:spacing w:after="0" w:line="477" w:lineRule="auto"/>
        <w:jc w:val="left"/>
        <w:sectPr>
          <w:footerReference w:type="default" r:id="rId13"/>
          <w:pgSz w:w="11910" w:h="16840"/>
          <w:pgMar w:footer="979" w:header="877" w:top="1100" w:bottom="1160" w:left="980" w:right="940"/>
          <w:pgNumType w:start="9"/>
        </w:sectPr>
      </w:pPr>
    </w:p>
    <w:p>
      <w:pPr>
        <w:spacing w:line="240" w:lineRule="auto" w:before="11"/>
        <w:rPr>
          <w:rFonts w:ascii="宋体" w:hAnsi="宋体" w:cs="宋体" w:eastAsia="宋体" w:hint="default"/>
          <w:sz w:val="27"/>
          <w:szCs w:val="27"/>
        </w:rPr>
      </w:pPr>
    </w:p>
    <w:p>
      <w:pPr>
        <w:pStyle w:val="BodyText"/>
        <w:spacing w:line="477" w:lineRule="auto" w:before="44"/>
        <w:ind w:left="514" w:right="0" w:hanging="360"/>
        <w:jc w:val="left"/>
      </w:pPr>
      <w:r>
        <w:rPr/>
        <w:t>利能力下降的风险，一定时期内影响公司整体的盈利能力。 </w:t>
      </w:r>
      <w:r>
        <w:rPr>
          <w:spacing w:val="-2"/>
        </w:rPr>
        <w:t>针对上述风险，公司一方面将从战略高度充分重视新兴业务的进展，全力推进新业务的健康发展，科学把控新兴业务投</w:t>
      </w:r>
    </w:p>
    <w:p>
      <w:pPr>
        <w:pStyle w:val="BodyText"/>
        <w:spacing w:line="463" w:lineRule="auto" w:before="54"/>
        <w:ind w:left="513" w:right="138" w:hanging="360"/>
        <w:jc w:val="left"/>
      </w:pPr>
      <w:r>
        <w:rPr/>
        <w:t>资进度，降低投资风险；另一方面将努力推进成熟业务的业绩提升，保持公司整体盈利情况的合理性。 </w:t>
      </w:r>
      <w:r>
        <w:rPr>
          <w:rFonts w:ascii="Times New Roman" w:hAnsi="Times New Roman" w:cs="Times New Roman" w:eastAsia="Times New Roman" w:hint="default"/>
        </w:rPr>
        <w:t>4</w:t>
      </w:r>
      <w:r>
        <w:rPr/>
        <w:t>、运营资金短缺风险 </w:t>
      </w:r>
      <w:r>
        <w:rPr>
          <w:spacing w:val="-2"/>
        </w:rPr>
        <w:t>随着公司新业务板块持续拓展，经营规模不断扩大，公司对运营资金的需求日益扩大。如果不能及时解决资金需求，将</w:t>
      </w:r>
    </w:p>
    <w:p>
      <w:pPr>
        <w:pStyle w:val="BodyText"/>
        <w:spacing w:line="477" w:lineRule="auto" w:before="65"/>
        <w:ind w:left="154" w:right="151"/>
        <w:jc w:val="both"/>
      </w:pPr>
      <w:r>
        <w:rPr>
          <w:spacing w:val="-2"/>
        </w:rPr>
        <w:t>给公司的业务运营和后续发展带来风险。针对该项风险，公司首先将加强应收账款的管理，加强自有资金和募集资金的有效</w:t>
      </w:r>
      <w:r>
        <w:rPr>
          <w:spacing w:val="-66"/>
        </w:rPr>
        <w:t> </w:t>
      </w:r>
      <w:r>
        <w:rPr>
          <w:spacing w:val="-66"/>
        </w:rPr>
      </w:r>
      <w:r>
        <w:rPr>
          <w:spacing w:val="-2"/>
        </w:rPr>
        <w:t>利用，持续改善公司现金流情况，确保日常运营资金充足；同时充分利用上市公司融资平台和其他融资渠道，积极筹措运营</w:t>
      </w:r>
      <w:r>
        <w:rPr>
          <w:spacing w:val="-66"/>
        </w:rPr>
        <w:t> </w:t>
      </w:r>
      <w:r>
        <w:rPr>
          <w:spacing w:val="-66"/>
        </w:rPr>
      </w:r>
      <w:r>
        <w:rPr/>
        <w:t>发展资金，降低公司运营资金短缺的风险。</w:t>
      </w:r>
    </w:p>
    <w:p>
      <w:pPr>
        <w:pStyle w:val="BodyText"/>
        <w:spacing w:line="451" w:lineRule="auto" w:before="54"/>
        <w:ind w:left="514" w:right="0"/>
        <w:jc w:val="left"/>
      </w:pPr>
      <w:r>
        <w:rPr>
          <w:rFonts w:ascii="Times New Roman" w:hAnsi="Times New Roman" w:cs="Times New Roman" w:eastAsia="Times New Roman" w:hint="default"/>
        </w:rPr>
        <w:t>5</w:t>
      </w:r>
      <w:r>
        <w:rPr/>
        <w:t>、经营管理风险 </w:t>
      </w:r>
      <w:r>
        <w:rPr>
          <w:spacing w:val="-2"/>
        </w:rPr>
        <w:t>随着公司经营规模的不断扩大，公司组织结构和管理体系日趋复杂，公司的经营决策、风险控制的难度大为增加，对公</w:t>
      </w:r>
    </w:p>
    <w:p>
      <w:pPr>
        <w:pStyle w:val="BodyText"/>
        <w:spacing w:line="477" w:lineRule="auto" w:before="74"/>
        <w:ind w:left="154" w:right="150"/>
        <w:jc w:val="both"/>
      </w:pPr>
      <w:r>
        <w:rPr>
          <w:spacing w:val="-2"/>
        </w:rPr>
        <w:t>司管理团队的人才储备、管理水平以及驾驭经营管理风险的能力提出了更高的要求。如果公司在经营管理过程中不能解决人</w:t>
      </w:r>
      <w:r>
        <w:rPr>
          <w:spacing w:val="-64"/>
        </w:rPr>
        <w:t> </w:t>
      </w:r>
      <w:r>
        <w:rPr>
          <w:spacing w:val="-64"/>
        </w:rPr>
      </w:r>
      <w:r>
        <w:rPr>
          <w:spacing w:val="-2"/>
        </w:rPr>
        <w:t>才、文化、管理能力、管理效率等方面的新的挑战，将对公司的有效运营和业务发展带来一定风险。公司目前具有较好的人</w:t>
      </w:r>
      <w:r>
        <w:rPr>
          <w:spacing w:val="-66"/>
        </w:rPr>
        <w:t> </w:t>
      </w:r>
      <w:r>
        <w:rPr>
          <w:spacing w:val="-66"/>
        </w:rPr>
      </w:r>
      <w:r>
        <w:rPr>
          <w:spacing w:val="-2"/>
        </w:rPr>
        <w:t>才基础，并将持续引进、储备高素质人才。同时，公司将严格按照上市公司规范治理要求，不断优化组织结构，提升管理水</w:t>
      </w:r>
      <w:r>
        <w:rPr>
          <w:spacing w:val="-68"/>
        </w:rPr>
        <w:t> </w:t>
      </w:r>
      <w:r>
        <w:rPr>
          <w:spacing w:val="-68"/>
        </w:rPr>
      </w:r>
      <w:r>
        <w:rPr/>
        <w:t>平，提高公司经营管理抗风险的能力。</w:t>
      </w:r>
    </w:p>
    <w:p>
      <w:pPr>
        <w:spacing w:after="0" w:line="477" w:lineRule="auto"/>
        <w:jc w:val="both"/>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495" w:right="533"/>
        <w:jc w:val="center"/>
        <w:rPr>
          <w:b w:val="0"/>
          <w:bCs w:val="0"/>
        </w:rPr>
      </w:pPr>
      <w:bookmarkStart w:name="第四节 董事会报告" w:id="18"/>
      <w:bookmarkEnd w:id="18"/>
      <w:r>
        <w:rPr>
          <w:b w:val="0"/>
          <w:bCs w:val="0"/>
        </w:rPr>
      </w:r>
      <w:bookmarkStart w:name="_bookmark3" w:id="19"/>
      <w:bookmarkEnd w:id="19"/>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3"/>
        <w:jc w:val="left"/>
        <w:rPr>
          <w:b w:val="0"/>
          <w:bCs w:val="0"/>
        </w:rPr>
      </w:pPr>
      <w:bookmarkStart w:name="一、管理层讨论与分析" w:id="20"/>
      <w:bookmarkEnd w:id="20"/>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3"/>
        <w:jc w:val="left"/>
        <w:rPr>
          <w:b w:val="0"/>
          <w:bCs w:val="0"/>
        </w:rPr>
      </w:pPr>
      <w:bookmarkStart w:name="1、报告期内主要业务回顾" w:id="21"/>
      <w:bookmarkEnd w:id="21"/>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6"/>
        <w:rPr>
          <w:rFonts w:ascii="宋体" w:hAnsi="宋体" w:cs="宋体" w:eastAsia="宋体" w:hint="default"/>
          <w:b/>
          <w:bCs/>
          <w:sz w:val="32"/>
          <w:szCs w:val="32"/>
        </w:rPr>
      </w:pPr>
    </w:p>
    <w:p>
      <w:pPr>
        <w:pStyle w:val="BodyText"/>
        <w:spacing w:line="468" w:lineRule="auto"/>
        <w:ind w:right="192" w:firstLine="360"/>
        <w:jc w:val="both"/>
      </w:pPr>
      <w:r>
        <w:rPr>
          <w:rFonts w:ascii="Times New Roman" w:hAnsi="Times New Roman" w:cs="Times New Roman" w:eastAsia="Times New Roman" w:hint="default"/>
          <w:spacing w:val="-2"/>
        </w:rPr>
        <w:t>2014</w:t>
      </w:r>
      <w:r>
        <w:rPr>
          <w:spacing w:val="-2"/>
        </w:rPr>
        <w:t>年度，公司董事会按照既定的战略发展规划，在继续立足于金融信息化产品和技术服务业务的基础上，通过落实对</w:t>
      </w:r>
      <w:r>
        <w:rPr/>
        <w:t> </w:t>
      </w:r>
      <w:r>
        <w:rPr>
          <w:spacing w:val="-2"/>
        </w:rPr>
        <w:t>外投资计划和实施收购兼并，推进公司业务向移动互联网和互联网金融领域延伸发展，取得了显著的成绩，使公司主营业务</w:t>
      </w:r>
      <w:r>
        <w:rPr>
          <w:spacing w:val="-66"/>
        </w:rPr>
        <w:t> </w:t>
      </w:r>
      <w:r>
        <w:rPr>
          <w:spacing w:val="-66"/>
        </w:rPr>
      </w:r>
      <w:r>
        <w:rPr>
          <w:spacing w:val="-2"/>
        </w:rPr>
        <w:t>从原来单一的为银行业金融机构提供金融信息化服务，扩展到移动商务服务、大数据运营服务、以及个人征信服务等新兴产</w:t>
      </w:r>
      <w:r>
        <w:rPr>
          <w:spacing w:val="-66"/>
        </w:rPr>
        <w:t> </w:t>
      </w:r>
      <w:r>
        <w:rPr>
          <w:spacing w:val="-66"/>
        </w:rPr>
      </w:r>
      <w:r>
        <w:rPr/>
        <w:t>业领域，为公司更长远的发展奠定了坚实的基础。</w:t>
      </w:r>
    </w:p>
    <w:p>
      <w:pPr>
        <w:pStyle w:val="BodyText"/>
        <w:spacing w:line="477" w:lineRule="auto" w:before="61"/>
        <w:ind w:right="93" w:firstLine="360"/>
        <w:jc w:val="left"/>
      </w:pPr>
      <w:r>
        <w:rPr/>
        <w:t>在金融信息化服务领域，报告期内公司立足于传统优势产品领域，紧密围绕行业热点、市场需求进行深度挖掘和创新， </w:t>
      </w:r>
      <w:r>
        <w:rPr>
          <w:spacing w:val="-2"/>
        </w:rPr>
        <w:t>持续落实新产品开发和市场推广计划，推动公司主营业务业绩提升。目前，公司重点新产品印章智能控制机已经在中国民生</w:t>
      </w:r>
      <w:r>
        <w:rPr>
          <w:spacing w:val="-66"/>
        </w:rPr>
        <w:t> </w:t>
      </w:r>
      <w:r>
        <w:rPr>
          <w:spacing w:val="-66"/>
        </w:rPr>
      </w:r>
      <w:r>
        <w:rPr/>
        <w:t>银行、中国农业银行、光大银行、兴业银行、成都银行等银行取得了招标入围或上线应用，市场推广成果良好。</w:t>
      </w:r>
    </w:p>
    <w:p>
      <w:pPr>
        <w:pStyle w:val="BodyText"/>
        <w:spacing w:line="470" w:lineRule="auto" w:before="54"/>
        <w:ind w:left="154" w:right="191" w:firstLine="360"/>
        <w:jc w:val="both"/>
      </w:pPr>
      <w:r>
        <w:rPr>
          <w:spacing w:val="-2"/>
        </w:rPr>
        <w:t>在移动商务服务领域，</w:t>
      </w:r>
      <w:r>
        <w:rPr>
          <w:rFonts w:ascii="Times New Roman" w:hAnsi="Times New Roman" w:cs="Times New Roman" w:eastAsia="Times New Roman" w:hint="default"/>
          <w:spacing w:val="-2"/>
        </w:rPr>
        <w:t>2014</w:t>
      </w:r>
      <w:r>
        <w:rPr>
          <w:spacing w:val="-2"/>
        </w:rPr>
        <w:t>年公司通过实施重大资产重组，以发行股份购买资产的方式全资收购了国内领先的移动商务</w:t>
      </w:r>
      <w:r>
        <w:rPr/>
        <w:t> </w:t>
      </w:r>
      <w:r>
        <w:rPr>
          <w:spacing w:val="-2"/>
        </w:rPr>
        <w:t>服务企业北京亿美软通科技有限公司，全面进入移动互联网和大数据运营业务领域。同时，利用重组亿美软通以后形成的移</w:t>
      </w:r>
      <w:r>
        <w:rPr>
          <w:spacing w:val="-66"/>
        </w:rPr>
        <w:t> </w:t>
      </w:r>
      <w:r>
        <w:rPr>
          <w:spacing w:val="-66"/>
        </w:rPr>
      </w:r>
      <w:r>
        <w:rPr>
          <w:spacing w:val="-2"/>
        </w:rPr>
        <w:t>动商务大数据和移动互联网服务优势，公司和医药行业龙头企业漳州片仔癀药业股份有限公司开展战略合作，合资成立了福</w:t>
      </w:r>
      <w:r>
        <w:rPr>
          <w:spacing w:val="-64"/>
        </w:rPr>
        <w:t> </w:t>
      </w:r>
      <w:r>
        <w:rPr>
          <w:spacing w:val="-64"/>
        </w:rPr>
      </w:r>
      <w:r>
        <w:rPr>
          <w:spacing w:val="-2"/>
        </w:rPr>
        <w:t>建片仔癀银之杰健康管理有限公司，共同发展大健康产业电子商务业务，是公司利用移动商务大数据优势开展大数据运营服</w:t>
      </w:r>
      <w:r>
        <w:rPr>
          <w:spacing w:val="-64"/>
        </w:rPr>
        <w:t> </w:t>
      </w:r>
      <w:r>
        <w:rPr>
          <w:spacing w:val="-64"/>
        </w:rPr>
      </w:r>
      <w:r>
        <w:rPr/>
        <w:t>务业务的重要实践。</w:t>
      </w:r>
    </w:p>
    <w:p>
      <w:pPr>
        <w:pStyle w:val="BodyText"/>
        <w:spacing w:line="458" w:lineRule="auto" w:before="59"/>
        <w:ind w:right="190" w:firstLine="360"/>
        <w:jc w:val="both"/>
      </w:pPr>
      <w:r>
        <w:rPr>
          <w:spacing w:val="-2"/>
        </w:rPr>
        <w:t>在个人征信服务领域，公司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月发起设立了北京华道征信有限公司。华道征信公司成立以后，积极展开个人征信</w:t>
      </w:r>
      <w:r>
        <w:rPr/>
        <w:t> </w:t>
      </w:r>
      <w:r>
        <w:rPr>
          <w:spacing w:val="-2"/>
        </w:rPr>
        <w:t>业务经营许可的申请工作，并严格按照《征信业管理条例》和《征信机构管理办法》等相关法律法规要求，进行业务合规的</w:t>
      </w:r>
      <w:r>
        <w:rPr>
          <w:spacing w:val="-68"/>
        </w:rPr>
        <w:t> </w:t>
      </w:r>
      <w:r>
        <w:rPr>
          <w:spacing w:val="-68"/>
        </w:rPr>
      </w:r>
      <w:r>
        <w:rPr/>
        <w:t>准备和完善。目前，华道征信已于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月被中国人民银行列入</w:t>
      </w:r>
      <w:r>
        <w:rPr>
          <w:rFonts w:ascii="Times New Roman" w:hAnsi="Times New Roman" w:cs="Times New Roman" w:eastAsia="Times New Roman" w:hint="default"/>
        </w:rPr>
        <w:t>“</w:t>
      </w:r>
      <w:r>
        <w:rPr/>
        <w:t>开展个人征信业务准备工作的机构名单</w:t>
      </w:r>
      <w:r>
        <w:rPr>
          <w:rFonts w:ascii="Times New Roman" w:hAnsi="Times New Roman" w:cs="Times New Roman" w:eastAsia="Times New Roman" w:hint="default"/>
        </w:rPr>
        <w:t>”</w:t>
      </w:r>
      <w:r>
        <w:rPr/>
        <w:t>，是公司发展个 人征信业务取得的重要进展。</w:t>
      </w:r>
    </w:p>
    <w:p>
      <w:pPr>
        <w:pStyle w:val="BodyText"/>
        <w:spacing w:line="477" w:lineRule="auto" w:before="68"/>
        <w:ind w:left="513" w:right="93"/>
        <w:jc w:val="left"/>
      </w:pPr>
      <w:r>
        <w:rPr/>
        <w:t>报告期内，公司其他对外投资工作也工作取得了重要进展： </w:t>
      </w:r>
      <w:r>
        <w:rPr>
          <w:spacing w:val="-4"/>
        </w:rPr>
        <w:t>公司</w:t>
      </w:r>
      <w:r>
        <w:rPr>
          <w:rFonts w:ascii="宋体" w:hAnsi="宋体" w:cs="宋体" w:eastAsia="宋体" w:hint="default"/>
          <w:spacing w:val="-4"/>
        </w:rPr>
        <w:t>2013</w:t>
      </w:r>
      <w:r>
        <w:rPr>
          <w:spacing w:val="-4"/>
        </w:rPr>
        <w:t>年</w:t>
      </w:r>
      <w:r>
        <w:rPr>
          <w:rFonts w:ascii="宋体" w:hAnsi="宋体" w:cs="宋体" w:eastAsia="宋体" w:hint="default"/>
          <w:spacing w:val="-4"/>
        </w:rPr>
        <w:t>10</w:t>
      </w:r>
      <w:r>
        <w:rPr>
          <w:spacing w:val="-4"/>
        </w:rPr>
        <w:t>月与深圳联合金融服务集团有限公司合资成立深圳票联金融服务公司，开展支票自助金融服务业务。目前，</w:t>
      </w:r>
    </w:p>
    <w:p>
      <w:pPr>
        <w:pStyle w:val="BodyText"/>
        <w:spacing w:line="477" w:lineRule="auto" w:before="54"/>
        <w:ind w:left="513" w:right="183" w:hanging="360"/>
        <w:jc w:val="left"/>
      </w:pPr>
      <w:r>
        <w:rPr/>
        <w:t>以商业银行支票自助金融服务为核心的票联通业务已经在深圳地区开通上线。 </w:t>
      </w:r>
      <w:r>
        <w:rPr>
          <w:rFonts w:ascii="宋体" w:hAnsi="宋体" w:cs="宋体" w:eastAsia="宋体" w:hint="default"/>
        </w:rPr>
        <w:t>2014</w:t>
      </w:r>
      <w:r>
        <w:rPr/>
        <w:t>年</w:t>
      </w:r>
      <w:r>
        <w:rPr>
          <w:rFonts w:ascii="宋体" w:hAnsi="宋体" w:cs="宋体" w:eastAsia="宋体" w:hint="default"/>
        </w:rPr>
        <w:t>8</w:t>
      </w:r>
      <w:r>
        <w:rPr/>
        <w:t>月，公司参与发起设立互联网财产保险公司，进一步推进公司在互联网金融领域的战略布局。目前，公司正与</w:t>
      </w:r>
    </w:p>
    <w:p>
      <w:pPr>
        <w:pStyle w:val="BodyText"/>
        <w:spacing w:line="477" w:lineRule="auto" w:before="54"/>
        <w:ind w:left="514" w:right="182" w:hanging="360"/>
        <w:jc w:val="left"/>
      </w:pPr>
      <w:r>
        <w:rPr/>
        <w:t>合作方共同向中国保监会申请财产保险公司经营许可。 </w:t>
      </w:r>
      <w:r>
        <w:rPr>
          <w:rFonts w:ascii="宋体" w:hAnsi="宋体" w:cs="宋体" w:eastAsia="宋体" w:hint="default"/>
        </w:rPr>
        <w:t>2014</w:t>
      </w:r>
      <w:r>
        <w:rPr/>
        <w:t>年</w:t>
      </w:r>
      <w:r>
        <w:rPr>
          <w:rFonts w:ascii="宋体" w:hAnsi="宋体" w:cs="宋体" w:eastAsia="宋体" w:hint="default"/>
        </w:rPr>
        <w:t>10</w:t>
      </w:r>
      <w:r>
        <w:rPr/>
        <w:t>月，公司以增资收购的形式，总投资人民币</w:t>
      </w:r>
      <w:r>
        <w:rPr>
          <w:rFonts w:ascii="宋体" w:hAnsi="宋体" w:cs="宋体" w:eastAsia="宋体" w:hint="default"/>
        </w:rPr>
        <w:t>1000</w:t>
      </w:r>
      <w:r>
        <w:rPr/>
        <w:t>万元、首期投资人民币</w:t>
      </w:r>
      <w:r>
        <w:rPr>
          <w:rFonts w:ascii="宋体" w:hAnsi="宋体" w:cs="宋体" w:eastAsia="宋体" w:hint="default"/>
        </w:rPr>
        <w:t>400</w:t>
      </w:r>
      <w:r>
        <w:rPr/>
        <w:t>万元，取得了以经营家居安防产品</w:t>
      </w:r>
    </w:p>
    <w:p>
      <w:pPr>
        <w:pStyle w:val="BodyText"/>
        <w:spacing w:line="477" w:lineRule="auto" w:before="54"/>
        <w:ind w:left="514" w:right="182" w:hanging="360"/>
        <w:jc w:val="left"/>
      </w:pPr>
      <w:r>
        <w:rPr/>
        <w:t>的跨境电商为主要业务的深圳市科安数字有限公司</w:t>
      </w:r>
      <w:r>
        <w:rPr>
          <w:rFonts w:ascii="宋体" w:hAnsi="宋体" w:cs="宋体" w:eastAsia="宋体" w:hint="default"/>
        </w:rPr>
        <w:t>51%</w:t>
      </w:r>
      <w:r>
        <w:rPr/>
        <w:t>的控股权。 此外，</w:t>
      </w:r>
      <w:r>
        <w:rPr>
          <w:rFonts w:ascii="宋体" w:hAnsi="宋体" w:cs="宋体" w:eastAsia="宋体" w:hint="default"/>
        </w:rPr>
        <w:t>2015</w:t>
      </w:r>
      <w:r>
        <w:rPr/>
        <w:t>年</w:t>
      </w:r>
      <w:r>
        <w:rPr>
          <w:rFonts w:ascii="宋体" w:hAnsi="宋体" w:cs="宋体" w:eastAsia="宋体" w:hint="default"/>
        </w:rPr>
        <w:t>2</w:t>
      </w:r>
      <w:r>
        <w:rPr/>
        <w:t>月，公司与深圳联金所金融信息服务有限公司（以下简称“联金所”）和深圳市金融联小额贷款股份有</w:t>
      </w:r>
    </w:p>
    <w:p>
      <w:pPr>
        <w:spacing w:after="0" w:line="477"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93"/>
        <w:jc w:val="left"/>
      </w:pPr>
      <w:r>
        <w:rPr>
          <w:spacing w:val="-4"/>
        </w:rPr>
        <w:t>限公司（以下简称“金融联贷”）的股东方签署《合作意向书》，就在条件成熟时，由公司收购联金所和金融联贷公司股权，</w:t>
      </w:r>
      <w:r>
        <w:rPr>
          <w:spacing w:val="-46"/>
        </w:rPr>
        <w:t> </w:t>
      </w:r>
      <w:r>
        <w:rPr>
          <w:spacing w:val="-46"/>
        </w:rPr>
      </w:r>
      <w:r>
        <w:rPr/>
        <w:t>并以公司最终取得联金所和金融联贷控股权为合作目标的事宜达成初步意向。</w:t>
      </w:r>
    </w:p>
    <w:p>
      <w:pPr>
        <w:pStyle w:val="BodyText"/>
        <w:spacing w:line="477" w:lineRule="auto" w:before="54"/>
        <w:ind w:right="193" w:firstLine="360"/>
        <w:jc w:val="both"/>
      </w:pPr>
      <w:r>
        <w:rPr>
          <w:spacing w:val="-2"/>
        </w:rPr>
        <w:t>通过以上投资和收购的外延式发展方式，公司稳步推进了业务领域向移动互联网、互联网金融等新兴产业延伸发展，进</w:t>
      </w:r>
      <w:r>
        <w:rPr/>
        <w:t> 一步拓宽和丰富了业务领域，为公司整体长远发展创造了广阔的发展空间，为公司长期可持续发展奠定了坚实的基础。</w:t>
      </w:r>
    </w:p>
    <w:p>
      <w:pPr>
        <w:pStyle w:val="BodyText"/>
        <w:spacing w:line="451" w:lineRule="auto" w:before="54"/>
        <w:ind w:left="154" w:right="276" w:firstLine="360"/>
        <w:jc w:val="both"/>
      </w:pPr>
      <w:r>
        <w:rPr/>
        <w:t>报告期内，公司营业收入为</w:t>
      </w:r>
      <w:r>
        <w:rPr>
          <w:rFonts w:ascii="Times New Roman" w:hAnsi="Times New Roman" w:cs="Times New Roman" w:eastAsia="Times New Roman" w:hint="default"/>
        </w:rPr>
        <w:t>192,124,040.97</w:t>
      </w:r>
      <w:r>
        <w:rPr/>
        <w:t>元，较上年同期增长</w:t>
      </w:r>
      <w:r>
        <w:rPr>
          <w:rFonts w:ascii="Times New Roman" w:hAnsi="Times New Roman" w:cs="Times New Roman" w:eastAsia="Times New Roman" w:hint="default"/>
        </w:rPr>
        <w:t>74.54%</w:t>
      </w:r>
      <w:r>
        <w:rPr/>
        <w:t>；实现营业利润</w:t>
      </w:r>
      <w:r>
        <w:rPr>
          <w:rFonts w:ascii="Times New Roman" w:hAnsi="Times New Roman" w:cs="Times New Roman" w:eastAsia="Times New Roman" w:hint="default"/>
        </w:rPr>
        <w:t>26,411,572.18</w:t>
      </w:r>
      <w:r>
        <w:rPr/>
        <w:t>元，较上年同期增 长</w:t>
      </w:r>
      <w:r>
        <w:rPr>
          <w:rFonts w:ascii="Times New Roman" w:hAnsi="Times New Roman" w:cs="Times New Roman" w:eastAsia="Times New Roman" w:hint="default"/>
        </w:rPr>
        <w:t>211.53%</w:t>
      </w:r>
      <w:r>
        <w:rPr/>
        <w:t>；净利润</w:t>
      </w:r>
      <w:r>
        <w:rPr>
          <w:rFonts w:ascii="Times New Roman" w:hAnsi="Times New Roman" w:cs="Times New Roman" w:eastAsia="Times New Roman" w:hint="default"/>
        </w:rPr>
        <w:t>27,686,672.11</w:t>
      </w:r>
      <w:r>
        <w:rPr/>
        <w:t>元，较上年同期增长</w:t>
      </w:r>
      <w:r>
        <w:rPr>
          <w:rFonts w:ascii="Times New Roman" w:hAnsi="Times New Roman" w:cs="Times New Roman" w:eastAsia="Times New Roman" w:hint="default"/>
        </w:rPr>
        <w:t>91.65%</w:t>
      </w:r>
      <w:r>
        <w:rPr/>
        <w:t>。</w:t>
      </w:r>
    </w:p>
    <w:p>
      <w:pPr>
        <w:pStyle w:val="BodyText"/>
        <w:spacing w:line="477" w:lineRule="auto" w:before="43"/>
        <w:ind w:right="191" w:firstLine="360"/>
        <w:jc w:val="both"/>
      </w:pPr>
      <w:r>
        <w:rPr>
          <w:spacing w:val="-2"/>
        </w:rPr>
        <w:t>报告期内，公司金融信息化软硬件产品和服务的收入规模与上年同期基本持平，但由于公司投资的票联金融服务和征信</w:t>
      </w:r>
      <w:r>
        <w:rPr/>
        <w:t> </w:t>
      </w:r>
      <w:r>
        <w:rPr>
          <w:spacing w:val="-2"/>
        </w:rPr>
        <w:t>服务等战略业务尚处于投入期，研发费用支出较上年同期增幅较大，利息收入减少，归属于上市公司股东净利润的增长主要</w:t>
      </w:r>
      <w:r>
        <w:rPr>
          <w:spacing w:val="-66"/>
        </w:rPr>
        <w:t> </w:t>
      </w:r>
      <w:r>
        <w:rPr>
          <w:spacing w:val="-66"/>
        </w:rPr>
      </w:r>
      <w:r>
        <w:rPr/>
        <w:t>为公司报告期内收购了北京亿美软通科技有限公司</w:t>
      </w:r>
      <w:r>
        <w:rPr>
          <w:rFonts w:ascii="Times New Roman" w:hAnsi="Times New Roman" w:cs="Times New Roman" w:eastAsia="Times New Roman" w:hint="default"/>
        </w:rPr>
        <w:t>100%</w:t>
      </w:r>
      <w:r>
        <w:rPr/>
        <w:t>股权，并按合并期间并表所致。</w:t>
      </w:r>
    </w:p>
    <w:p>
      <w:pPr>
        <w:pStyle w:val="BodyText"/>
        <w:spacing w:line="458" w:lineRule="auto" w:before="21"/>
        <w:ind w:right="191" w:firstLine="360"/>
        <w:jc w:val="both"/>
      </w:pPr>
      <w:r>
        <w:rPr>
          <w:spacing w:val="-2"/>
        </w:rPr>
        <w:t>为激励公司核心人员，充分调动其工作的积极性、提升主人翁意识，公司在</w:t>
      </w:r>
      <w:r>
        <w:rPr>
          <w:rFonts w:ascii="Times New Roman" w:hAnsi="Times New Roman" w:cs="Times New Roman" w:eastAsia="Times New Roman" w:hint="default"/>
          <w:spacing w:val="-2"/>
        </w:rPr>
        <w:t>2013</w:t>
      </w:r>
      <w:r>
        <w:rPr>
          <w:spacing w:val="-2"/>
        </w:rPr>
        <w:t>年推出了股票期权与限制性股票激励计</w:t>
      </w:r>
      <w:r>
        <w:rPr/>
        <w:t> 划。公司</w:t>
      </w:r>
      <w:r>
        <w:rPr>
          <w:rFonts w:ascii="Times New Roman" w:hAnsi="Times New Roman" w:cs="Times New Roman" w:eastAsia="Times New Roman" w:hint="default"/>
        </w:rPr>
        <w:t>2014</w:t>
      </w:r>
      <w:r>
        <w:rPr/>
        <w:t>年度业绩已达到公司股权激励计划的第二个行权</w:t>
      </w:r>
      <w:r>
        <w:rPr>
          <w:rFonts w:ascii="Times New Roman" w:hAnsi="Times New Roman" w:cs="Times New Roman" w:eastAsia="Times New Roman" w:hint="default"/>
        </w:rPr>
        <w:t>/</w:t>
      </w:r>
      <w:r>
        <w:rPr/>
        <w:t>解锁期的业绩考核条件，股权激励的顺利实施有利于公司核 </w:t>
      </w:r>
      <w:r>
        <w:rPr>
          <w:spacing w:val="-2"/>
        </w:rPr>
        <w:t>心团队的稳定性，能够让员工分享企业发展所带来的收益，增强员工的归属感和认同感，激发员工的积极性和创造性，并为</w:t>
      </w:r>
      <w:r>
        <w:rPr>
          <w:spacing w:val="-66"/>
        </w:rPr>
        <w:t> </w:t>
      </w:r>
      <w:r>
        <w:rPr>
          <w:spacing w:val="-66"/>
        </w:rPr>
      </w:r>
      <w:r>
        <w:rPr/>
        <w:t>公司持续发展奠定了人才基础。</w:t>
      </w:r>
    </w:p>
    <w:p>
      <w:pPr>
        <w:pStyle w:val="BodyText"/>
        <w:spacing w:line="477" w:lineRule="auto" w:before="68"/>
        <w:ind w:right="193" w:firstLine="360"/>
        <w:jc w:val="both"/>
      </w:pPr>
      <w:r>
        <w:rPr>
          <w:spacing w:val="-2"/>
        </w:rPr>
        <w:t>随着公司上市以后，尤其是近两年公司战略发展规划日渐清晰并逐步得到落实，公司竞争优势、品牌影响力得到进一步</w:t>
      </w:r>
      <w:r>
        <w:rPr/>
        <w:t> </w:t>
      </w:r>
      <w:r>
        <w:rPr>
          <w:spacing w:val="-2"/>
        </w:rPr>
        <w:t>提升。在此基础上，董事会和经营管理团队将继续秉持敢为人先的创新精神和务实进取的开拓精神，推动公司整体业务规模</w:t>
      </w:r>
      <w:r>
        <w:rPr>
          <w:spacing w:val="-66"/>
        </w:rPr>
        <w:t> </w:t>
      </w:r>
      <w:r>
        <w:rPr>
          <w:spacing w:val="-66"/>
        </w:rPr>
      </w:r>
      <w:r>
        <w:rPr/>
        <w:t>和产业领域升级，努力成为推动行业发展的开拓者和领导者，为股东及利益相关者创造更大的价值。</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2、报告期内主要经营情况" w:id="22"/>
      <w:bookmarkEnd w:id="22"/>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3"/>
        <w:jc w:val="left"/>
        <w:rPr>
          <w:b w:val="0"/>
          <w:bCs w:val="0"/>
        </w:rPr>
      </w:pPr>
      <w:bookmarkStart w:name="（1）主营业务分析" w:id="23"/>
      <w:bookmarkEnd w:id="23"/>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3"/>
        <w:jc w:val="left"/>
      </w:pPr>
      <w:r>
        <w:rPr>
          <w:rFonts w:ascii="Times New Roman" w:hAnsi="Times New Roman" w:cs="Times New Roman" w:eastAsia="Times New Roman" w:hint="default"/>
        </w:rPr>
        <w:t>1</w:t>
      </w:r>
      <w:r>
        <w:rPr/>
        <w:t>）概述</w:t>
      </w:r>
    </w:p>
    <w:p>
      <w:pPr>
        <w:spacing w:line="240" w:lineRule="auto" w:before="9"/>
        <w:rPr>
          <w:rFonts w:ascii="宋体" w:hAnsi="宋体" w:cs="宋体" w:eastAsia="宋体" w:hint="default"/>
          <w:sz w:val="13"/>
          <w:szCs w:val="13"/>
        </w:rPr>
      </w:pPr>
    </w:p>
    <w:p>
      <w:pPr>
        <w:pStyle w:val="BodyText"/>
        <w:spacing w:line="477" w:lineRule="auto"/>
        <w:ind w:right="191" w:firstLine="360"/>
        <w:jc w:val="both"/>
      </w:pPr>
      <w:r>
        <w:rPr/>
        <w:t>报告期内，公司营业收入为</w:t>
      </w:r>
      <w:r>
        <w:rPr>
          <w:rFonts w:ascii="宋体" w:hAnsi="宋体" w:cs="宋体" w:eastAsia="宋体" w:hint="default"/>
        </w:rPr>
        <w:t>192,124,040.97</w:t>
      </w:r>
      <w:r>
        <w:rPr/>
        <w:t>元，较上年同期增长</w:t>
      </w:r>
      <w:r>
        <w:rPr>
          <w:rFonts w:ascii="宋体" w:hAnsi="宋体" w:cs="宋体" w:eastAsia="宋体" w:hint="default"/>
        </w:rPr>
        <w:t>74.54%</w:t>
      </w:r>
      <w:r>
        <w:rPr/>
        <w:t>；实现营业利润</w:t>
      </w:r>
      <w:r>
        <w:rPr>
          <w:rFonts w:ascii="宋体" w:hAnsi="宋体" w:cs="宋体" w:eastAsia="宋体" w:hint="default"/>
        </w:rPr>
        <w:t>26,411,572.18</w:t>
      </w:r>
      <w:r>
        <w:rPr/>
        <w:t>元，较上年同期 </w:t>
      </w:r>
      <w:r>
        <w:rPr>
          <w:spacing w:val="-2"/>
        </w:rPr>
        <w:t>增长</w:t>
      </w:r>
      <w:r>
        <w:rPr>
          <w:rFonts w:ascii="宋体" w:hAnsi="宋体" w:cs="宋体" w:eastAsia="宋体" w:hint="default"/>
          <w:spacing w:val="-2"/>
        </w:rPr>
        <w:t>211.53%</w:t>
      </w:r>
      <w:r>
        <w:rPr>
          <w:spacing w:val="-2"/>
        </w:rPr>
        <w:t>；净利润</w:t>
      </w:r>
      <w:r>
        <w:rPr>
          <w:rFonts w:ascii="宋体" w:hAnsi="宋体" w:cs="宋体" w:eastAsia="宋体" w:hint="default"/>
          <w:spacing w:val="-2"/>
        </w:rPr>
        <w:t>27,686,672.11</w:t>
      </w:r>
      <w:r>
        <w:rPr>
          <w:spacing w:val="-2"/>
        </w:rPr>
        <w:t>元，较上年同期增长</w:t>
      </w:r>
      <w:r>
        <w:rPr>
          <w:rFonts w:ascii="宋体" w:hAnsi="宋体" w:cs="宋体" w:eastAsia="宋体" w:hint="default"/>
          <w:spacing w:val="-2"/>
        </w:rPr>
        <w:t>91.65%</w:t>
      </w:r>
      <w:r>
        <w:rPr>
          <w:spacing w:val="-2"/>
        </w:rPr>
        <w:t>。营业收入中主营业务收入主要集中于金融信息化行业、移</w:t>
      </w:r>
      <w:r>
        <w:rPr>
          <w:spacing w:val="-41"/>
        </w:rPr>
        <w:t> </w:t>
      </w:r>
      <w:r>
        <w:rPr>
          <w:spacing w:val="-41"/>
        </w:rPr>
      </w:r>
      <w:r>
        <w:rPr/>
        <w:t>动商务服务行业，占公司营业收入总额的</w:t>
      </w:r>
      <w:r>
        <w:rPr>
          <w:rFonts w:ascii="宋体" w:hAnsi="宋体" w:cs="宋体" w:eastAsia="宋体" w:hint="default"/>
        </w:rPr>
        <w:t>97.96%</w:t>
      </w:r>
      <w:r>
        <w:rPr/>
        <w:t>。</w:t>
      </w:r>
    </w:p>
    <w:p>
      <w:pPr>
        <w:pStyle w:val="BodyText"/>
        <w:spacing w:line="477" w:lineRule="auto" w:before="54"/>
        <w:ind w:right="183" w:firstLine="360"/>
        <w:jc w:val="left"/>
      </w:pPr>
      <w:r>
        <w:rPr>
          <w:spacing w:val="-2"/>
        </w:rPr>
        <w:t>报告期内，公司实现营业收入为</w:t>
      </w:r>
      <w:r>
        <w:rPr>
          <w:rFonts w:ascii="宋体" w:hAnsi="宋体" w:cs="宋体" w:eastAsia="宋体" w:hint="default"/>
          <w:spacing w:val="-2"/>
        </w:rPr>
        <w:t>192,124,040.97</w:t>
      </w:r>
      <w:r>
        <w:rPr>
          <w:spacing w:val="-2"/>
        </w:rPr>
        <w:t>元，较上年同期增长</w:t>
      </w:r>
      <w:r>
        <w:rPr>
          <w:rFonts w:ascii="宋体" w:hAnsi="宋体" w:cs="宋体" w:eastAsia="宋体" w:hint="default"/>
          <w:spacing w:val="-2"/>
        </w:rPr>
        <w:t>74.54%</w:t>
      </w:r>
      <w:r>
        <w:rPr>
          <w:spacing w:val="-2"/>
        </w:rPr>
        <w:t>，主要原因系公司金融信息化业务与上年同</w:t>
      </w:r>
      <w:r>
        <w:rPr/>
        <w:t> 期基本持平，而新增收购的全资子公司亿美软通的短彩信移动通讯服务和移动互联网应用业务，在合并报表期间实现收入 </w:t>
      </w:r>
      <w:r>
        <w:rPr>
          <w:rFonts w:ascii="宋体" w:hAnsi="宋体" w:cs="宋体" w:eastAsia="宋体" w:hint="default"/>
        </w:rPr>
        <w:t>73,186,559.72</w:t>
      </w:r>
      <w:r>
        <w:rPr/>
        <w:t>元，占上年营业收入的</w:t>
      </w:r>
      <w:r>
        <w:rPr>
          <w:rFonts w:ascii="宋体" w:hAnsi="宋体" w:cs="宋体" w:eastAsia="宋体" w:hint="default"/>
        </w:rPr>
        <w:t>66.49%</w:t>
      </w:r>
      <w:r>
        <w:rPr/>
        <w:t>；新增增资入股的子公司科安数字的电子商务业务，在合并报表期间业务实现 收入</w:t>
      </w:r>
      <w:r>
        <w:rPr>
          <w:rFonts w:ascii="宋体" w:hAnsi="宋体" w:cs="宋体" w:eastAsia="宋体" w:hint="default"/>
        </w:rPr>
        <w:t>8,149,663.79</w:t>
      </w:r>
      <w:r>
        <w:rPr/>
        <w:t>元，占上年营业收入的</w:t>
      </w:r>
      <w:r>
        <w:rPr>
          <w:rFonts w:ascii="宋体" w:hAnsi="宋体" w:cs="宋体" w:eastAsia="宋体" w:hint="default"/>
        </w:rPr>
        <w:t>7.40%</w:t>
      </w:r>
      <w:r>
        <w:rPr/>
        <w:t>，致使公司主营业务收入实现大幅增长。</w:t>
      </w:r>
    </w:p>
    <w:p>
      <w:pPr>
        <w:pStyle w:val="BodyText"/>
        <w:spacing w:line="477" w:lineRule="auto" w:before="54"/>
        <w:ind w:right="199" w:firstLine="360"/>
        <w:jc w:val="both"/>
      </w:pPr>
      <w:r>
        <w:rPr/>
        <w:t>报告期内，公司发生主营业务成本</w:t>
      </w:r>
      <w:r>
        <w:rPr>
          <w:rFonts w:ascii="宋体" w:hAnsi="宋体" w:cs="宋体" w:eastAsia="宋体" w:hint="default"/>
        </w:rPr>
        <w:t>94,162,159.92</w:t>
      </w:r>
      <w:r>
        <w:rPr/>
        <w:t>元，较上年同期增长</w:t>
      </w:r>
      <w:r>
        <w:rPr>
          <w:rFonts w:ascii="宋体" w:hAnsi="宋体" w:cs="宋体" w:eastAsia="宋体" w:hint="default"/>
        </w:rPr>
        <w:t>88.48%</w:t>
      </w:r>
      <w:r>
        <w:rPr/>
        <w:t>，主要原因系公司金融软件和金融专用设 备的生产成本和开发成本上升，以及新增子公司收入所对应的成本增加，致使公司主营业务成本上升。</w:t>
      </w:r>
    </w:p>
    <w:p>
      <w:pPr>
        <w:pStyle w:val="BodyText"/>
        <w:spacing w:line="240" w:lineRule="auto" w:before="54"/>
        <w:ind w:left="513" w:right="93"/>
        <w:jc w:val="left"/>
      </w:pPr>
      <w:r>
        <w:rPr/>
        <w:t>报告期内，公司发生管理费用</w:t>
      </w:r>
      <w:r>
        <w:rPr>
          <w:rFonts w:ascii="宋体" w:hAnsi="宋体" w:cs="宋体" w:eastAsia="宋体" w:hint="default"/>
        </w:rPr>
        <w:t>48,432,734.48</w:t>
      </w:r>
      <w:r>
        <w:rPr/>
        <w:t>元，较上年同期增长</w:t>
      </w:r>
      <w:r>
        <w:rPr>
          <w:rFonts w:ascii="宋体" w:hAnsi="宋体" w:cs="宋体" w:eastAsia="宋体" w:hint="default"/>
        </w:rPr>
        <w:t>39.67%</w:t>
      </w:r>
      <w:r>
        <w:rPr/>
        <w:t>，主要原因系并购亿美软通增加管理费用</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7"/>
          <w:szCs w:val="27"/>
        </w:rPr>
      </w:pPr>
    </w:p>
    <w:p>
      <w:pPr>
        <w:pStyle w:val="BodyText"/>
        <w:spacing w:line="477" w:lineRule="auto" w:before="44"/>
        <w:ind w:left="513" w:right="143" w:hanging="360"/>
        <w:jc w:val="left"/>
      </w:pPr>
      <w:r>
        <w:rPr>
          <w:rFonts w:ascii="宋体" w:hAnsi="宋体" w:cs="宋体" w:eastAsia="宋体" w:hint="default"/>
        </w:rPr>
        <w:t>7,781,710.00</w:t>
      </w:r>
      <w:r>
        <w:rPr/>
        <w:t>元，占上年管理费用</w:t>
      </w:r>
      <w:r>
        <w:rPr>
          <w:rFonts w:ascii="宋体" w:hAnsi="宋体" w:cs="宋体" w:eastAsia="宋体" w:hint="default"/>
        </w:rPr>
        <w:t>22.44%</w:t>
      </w:r>
      <w:r>
        <w:rPr/>
        <w:t>，同时，公司研发资产、股权激励的摊销费用增加造成管理费用的上升。 报告期内，公司研发投入金额为</w:t>
      </w:r>
      <w:r>
        <w:rPr>
          <w:rFonts w:ascii="宋体" w:hAnsi="宋体" w:cs="宋体" w:eastAsia="宋体" w:hint="default"/>
        </w:rPr>
        <w:t>42,050,674.76</w:t>
      </w:r>
      <w:r>
        <w:rPr/>
        <w:t>元，较上年同期增长</w:t>
      </w:r>
      <w:r>
        <w:rPr>
          <w:rFonts w:ascii="宋体" w:hAnsi="宋体" w:cs="宋体" w:eastAsia="宋体" w:hint="default"/>
        </w:rPr>
        <w:t>15.65%</w:t>
      </w:r>
      <w:r>
        <w:rPr/>
        <w:t>，主要原因系公司新增了远程柜员机等一批</w:t>
      </w:r>
    </w:p>
    <w:p>
      <w:pPr>
        <w:pStyle w:val="BodyText"/>
        <w:spacing w:line="477" w:lineRule="auto" w:before="54"/>
        <w:ind w:left="513" w:right="0" w:hanging="360"/>
        <w:jc w:val="left"/>
      </w:pPr>
      <w:r>
        <w:rPr/>
        <w:t>研发项目，并对柜面业务影像采集平台、印章智能控制机、票据自助柜员机等新产品项目加大了研发投入力度。 </w:t>
      </w:r>
      <w:r>
        <w:rPr>
          <w:spacing w:val="-2"/>
        </w:rPr>
        <w:t>报告期内，公司经营活动产生的现金流量净额为</w:t>
      </w:r>
      <w:r>
        <w:rPr>
          <w:rFonts w:ascii="宋体" w:hAnsi="宋体" w:cs="宋体" w:eastAsia="宋体" w:hint="default"/>
          <w:spacing w:val="-2"/>
        </w:rPr>
        <w:t>31,869,543.38</w:t>
      </w:r>
      <w:r>
        <w:rPr>
          <w:spacing w:val="-2"/>
        </w:rPr>
        <w:t>元，较上年同期增长</w:t>
      </w:r>
      <w:r>
        <w:rPr>
          <w:rFonts w:ascii="宋体" w:hAnsi="宋体" w:cs="宋体" w:eastAsia="宋体" w:hint="default"/>
          <w:spacing w:val="-2"/>
        </w:rPr>
        <w:t>870.56%</w:t>
      </w:r>
      <w:r>
        <w:rPr>
          <w:spacing w:val="-2"/>
        </w:rPr>
        <w:t>，主要原因系公司报告期内</w:t>
      </w:r>
    </w:p>
    <w:p>
      <w:pPr>
        <w:pStyle w:val="BodyText"/>
        <w:spacing w:line="477" w:lineRule="auto" w:before="54"/>
        <w:ind w:right="151"/>
        <w:jc w:val="left"/>
      </w:pPr>
      <w:r>
        <w:rPr/>
        <w:t>并购亿美软通和科安数字所带来的经营活动产生的现金流量净额增加所致；公司投资活动产生的现金流量净额为 </w:t>
      </w:r>
      <w:r>
        <w:rPr>
          <w:rFonts w:ascii="宋体" w:hAnsi="宋体" w:cs="宋体" w:eastAsia="宋体" w:hint="default"/>
        </w:rPr>
        <w:t>58,303,626.75</w:t>
      </w:r>
      <w:r>
        <w:rPr/>
        <w:t>元，较上年同期增长</w:t>
      </w:r>
      <w:r>
        <w:rPr>
          <w:rFonts w:ascii="宋体" w:hAnsi="宋体" w:cs="宋体" w:eastAsia="宋体" w:hint="default"/>
        </w:rPr>
        <w:t>175.59%</w:t>
      </w:r>
      <w:r>
        <w:rPr/>
        <w:t>，主要原因系公司报告期内收回超过</w:t>
      </w:r>
      <w:r>
        <w:rPr>
          <w:rFonts w:ascii="宋体" w:hAnsi="宋体" w:cs="宋体" w:eastAsia="宋体" w:hint="default"/>
        </w:rPr>
        <w:t>3</w:t>
      </w:r>
      <w:r>
        <w:rPr/>
        <w:t>个月的定期银行存款以及公司并购亿美软 </w:t>
      </w:r>
      <w:r>
        <w:rPr>
          <w:spacing w:val="-2"/>
        </w:rPr>
        <w:t>通和科安数字时现金增加所致；公司筹资活动产生的现金流量净额为</w:t>
      </w:r>
      <w:r>
        <w:rPr>
          <w:rFonts w:ascii="宋体" w:hAnsi="宋体" w:cs="宋体" w:eastAsia="宋体" w:hint="default"/>
          <w:spacing w:val="-2"/>
        </w:rPr>
        <w:t>-8,840,725.92</w:t>
      </w:r>
      <w:r>
        <w:rPr>
          <w:spacing w:val="-2"/>
        </w:rPr>
        <w:t>元，较上年同期减少</w:t>
      </w:r>
      <w:r>
        <w:rPr>
          <w:rFonts w:ascii="宋体" w:hAnsi="宋体" w:cs="宋体" w:eastAsia="宋体" w:hint="default"/>
          <w:spacing w:val="-2"/>
        </w:rPr>
        <w:t>9.02%</w:t>
      </w:r>
      <w:r>
        <w:rPr>
          <w:spacing w:val="-2"/>
        </w:rPr>
        <w:t>，主要原因系</w:t>
      </w:r>
      <w:r>
        <w:rPr>
          <w:spacing w:val="-49"/>
        </w:rPr>
        <w:t> </w:t>
      </w:r>
      <w:r>
        <w:rPr>
          <w:spacing w:val="-49"/>
        </w:rPr>
      </w:r>
      <w:r>
        <w:rPr/>
        <w:t>公司在报告期内向全体股东派发了现金股利</w:t>
      </w:r>
      <w:r>
        <w:rPr>
          <w:rFonts w:ascii="宋体" w:hAnsi="宋体" w:cs="宋体" w:eastAsia="宋体" w:hint="default"/>
        </w:rPr>
        <w:t>606.65</w:t>
      </w:r>
      <w:r>
        <w:rPr/>
        <w:t>万元，比上年同期派发现金股利减少造成的。</w:t>
      </w:r>
    </w:p>
    <w:p>
      <w:pPr>
        <w:spacing w:line="240" w:lineRule="auto" w:before="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）报告期利润构成或利润来源发生重大变动的说明</w:t>
      </w:r>
    </w:p>
    <w:p>
      <w:pPr>
        <w:spacing w:line="240" w:lineRule="auto" w:before="12"/>
        <w:rPr>
          <w:rFonts w:ascii="宋体" w:hAnsi="宋体" w:cs="宋体" w:eastAsia="宋体" w:hint="default"/>
          <w:sz w:val="13"/>
          <w:szCs w:val="13"/>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0" w:firstLine="450"/>
        <w:jc w:val="left"/>
      </w:pPr>
      <w:r>
        <w:rPr>
          <w:spacing w:val="-1"/>
        </w:rPr>
        <w:t>报告期内，由于公司实施对外投资计划，控股收购了亿美软通和科安数字两家公司，亿美软通和科安数字自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rFonts w:ascii="Times New Roman" w:hAnsi="Times New Roman" w:cs="Times New Roman" w:eastAsia="Times New Roman" w:hint="default"/>
          <w:spacing w:val="-8"/>
        </w:rPr>
        <w:t> </w:t>
      </w:r>
      <w:r>
        <w:rPr/>
        <w:t>月起纳入公司合并报表范围，良好的推动了公司全年业绩的增长。</w:t>
      </w:r>
    </w:p>
    <w:p>
      <w:pPr>
        <w:spacing w:line="240" w:lineRule="auto" w:before="8"/>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3</w:t>
      </w:r>
      <w:r>
        <w:rPr/>
        <w:t>）收入</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192,124,040.97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0" w:right="0"/>
              <w:jc w:val="left"/>
              <w:rPr>
                <w:rFonts w:ascii="Times New Roman" w:hAnsi="Times New Roman" w:cs="Times New Roman" w:eastAsia="Times New Roman" w:hint="default"/>
                <w:sz w:val="18"/>
                <w:szCs w:val="18"/>
              </w:rPr>
            </w:pPr>
            <w:r>
              <w:rPr>
                <w:rFonts w:ascii="Times New Roman"/>
                <w:sz w:val="18"/>
              </w:rPr>
              <w:t>110,074,729.26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74.54%</w:t>
            </w:r>
          </w:p>
        </w:tc>
      </w:tr>
    </w:tbl>
    <w:p>
      <w:pPr>
        <w:pStyle w:val="BodyText"/>
        <w:spacing w:line="436" w:lineRule="auto" w:before="51"/>
        <w:ind w:left="513" w:right="0" w:hanging="360"/>
        <w:jc w:val="left"/>
        <w:rPr>
          <w:rFonts w:ascii="Times New Roman" w:hAnsi="Times New Roman" w:cs="Times New Roman" w:eastAsia="Times New Roman" w:hint="default"/>
        </w:rPr>
      </w:pPr>
      <w:r>
        <w:rPr/>
        <w:t>驱动收入变化的因素 </w:t>
      </w:r>
      <w:r>
        <w:rPr>
          <w:spacing w:val="-1"/>
        </w:rPr>
        <w:t>报告期内，公司合并报表实现营业收入比上年同期增长</w:t>
      </w:r>
      <w:r>
        <w:rPr>
          <w:rFonts w:ascii="宋体" w:hAnsi="宋体" w:cs="宋体" w:eastAsia="宋体" w:hint="default"/>
          <w:spacing w:val="-1"/>
        </w:rPr>
        <w:t>74.54%</w:t>
      </w:r>
      <w:r>
        <w:rPr>
          <w:spacing w:val="-1"/>
        </w:rPr>
        <w:t>，主要是由于合并亿美软通和科安数字</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12</w:t>
      </w:r>
    </w:p>
    <w:p>
      <w:pPr>
        <w:spacing w:line="600" w:lineRule="auto" w:before="55"/>
        <w:ind w:left="153" w:right="4193" w:firstLine="0"/>
        <w:jc w:val="left"/>
        <w:rPr>
          <w:rFonts w:ascii="宋体" w:hAnsi="宋体" w:cs="宋体" w:eastAsia="宋体" w:hint="default"/>
          <w:sz w:val="18"/>
          <w:szCs w:val="18"/>
        </w:rPr>
      </w:pPr>
      <w:r>
        <w:rPr>
          <w:rFonts w:ascii="宋体" w:hAnsi="宋体" w:cs="宋体" w:eastAsia="宋体" w:hint="default"/>
          <w:sz w:val="18"/>
          <w:szCs w:val="18"/>
        </w:rPr>
        <w:t>月的销售收入，母公司报告期内实现的营业收入与上年同期基本持平。 </w:t>
      </w:r>
      <w:r>
        <w:rPr>
          <w:rFonts w:ascii="宋体" w:hAnsi="宋体" w:cs="宋体" w:eastAsia="宋体" w:hint="default"/>
          <w:b/>
          <w:bCs/>
          <w:sz w:val="18"/>
          <w:szCs w:val="18"/>
        </w:rPr>
        <w:t>公司实物销售收入是否大于劳务收入</w:t>
      </w:r>
      <w:r>
        <w:rPr>
          <w:rFonts w:ascii="宋体" w:hAnsi="宋体" w:cs="宋体" w:eastAsia="宋体" w:hint="default"/>
          <w:sz w:val="18"/>
          <w:szCs w:val="18"/>
        </w:rPr>
      </w:r>
    </w:p>
    <w:p>
      <w:pPr>
        <w:spacing w:line="489" w:lineRule="auto" w:before="5"/>
        <w:ind w:left="153" w:right="77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公司重大的在手订单情况</w:t>
      </w:r>
      <w:r>
        <w:rPr>
          <w:rFonts w:ascii="宋体" w:hAnsi="宋体" w:cs="宋体" w:eastAsia="宋体" w:hint="default"/>
          <w:sz w:val="18"/>
          <w:szCs w:val="18"/>
        </w:rPr>
      </w:r>
    </w:p>
    <w:p>
      <w:pPr>
        <w:spacing w:line="489" w:lineRule="auto" w:before="88"/>
        <w:ind w:left="153" w:right="81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数量分散的订单情况</w:t>
      </w:r>
      <w:r>
        <w:rPr>
          <w:rFonts w:ascii="宋体" w:hAnsi="宋体" w:cs="宋体" w:eastAsia="宋体" w:hint="default"/>
          <w:sz w:val="18"/>
          <w:szCs w:val="18"/>
        </w:rPr>
      </w:r>
    </w:p>
    <w:p>
      <w:pPr>
        <w:spacing w:line="489" w:lineRule="auto" w:before="88"/>
        <w:ind w:left="153" w:right="54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公司报告期内产品或服务发生重大变化或调整有关情况</w:t>
      </w:r>
      <w:r>
        <w:rPr>
          <w:rFonts w:ascii="宋体" w:hAnsi="宋体" w:cs="宋体" w:eastAsia="宋体" w:hint="default"/>
          <w:sz w:val="18"/>
          <w:szCs w:val="18"/>
        </w:rPr>
      </w:r>
    </w:p>
    <w:p>
      <w:pPr>
        <w:pStyle w:val="BodyText"/>
        <w:spacing w:line="412" w:lineRule="auto" w:before="88"/>
        <w:ind w:left="513" w:right="1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报告期内，公司通过实施重大资产重组，以发行股份的方式收购了北京亿美软通科技有限公司的</w:t>
      </w:r>
      <w:r>
        <w:rPr>
          <w:rFonts w:ascii="Times New Roman" w:hAnsi="Times New Roman" w:cs="Times New Roman" w:eastAsia="Times New Roman" w:hint="default"/>
        </w:rPr>
        <w:t>100%</w:t>
      </w:r>
      <w:r>
        <w:rPr/>
        <w:t>股权；同年，公</w:t>
      </w:r>
    </w:p>
    <w:p>
      <w:pPr>
        <w:pStyle w:val="BodyText"/>
        <w:spacing w:line="451" w:lineRule="auto" w:before="75"/>
        <w:ind w:right="138"/>
        <w:jc w:val="left"/>
      </w:pPr>
      <w:r>
        <w:rPr>
          <w:spacing w:val="-1"/>
        </w:rPr>
        <w:t>司以增资收购的形式，取得了以经营家居安防产品的跨境电商为主要业务的深圳市科安数字有限公司</w:t>
      </w:r>
      <w:r>
        <w:rPr>
          <w:rFonts w:ascii="Times New Roman" w:hAnsi="Times New Roman" w:cs="Times New Roman" w:eastAsia="Times New Roman" w:hint="default"/>
          <w:spacing w:val="-1"/>
        </w:rPr>
        <w:t>51%</w:t>
      </w:r>
      <w:r>
        <w:rPr>
          <w:spacing w:val="-1"/>
        </w:rPr>
        <w:t>的控股权。通过以</w:t>
      </w:r>
      <w:r>
        <w:rPr/>
        <w:t> 上并购，公司的产品和服务范围，从单一的金融信息化服务，扩展到移动商务服务和电子商务行业领域。</w:t>
      </w:r>
    </w:p>
    <w:p>
      <w:pPr>
        <w:spacing w:after="0" w:line="451"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4</w:t>
      </w:r>
      <w:r>
        <w:rPr/>
        <w:t>）成本</w:t>
      </w:r>
    </w:p>
    <w:p>
      <w:pPr>
        <w:spacing w:line="240" w:lineRule="auto" w:before="6"/>
        <w:rPr>
          <w:rFonts w:ascii="宋体" w:hAnsi="宋体" w:cs="宋体" w:eastAsia="宋体" w:hint="default"/>
          <w:sz w:val="10"/>
          <w:szCs w:val="10"/>
        </w:rPr>
      </w:pPr>
    </w:p>
    <w:p>
      <w:pPr>
        <w:pStyle w:val="BodyText"/>
        <w:spacing w:line="240" w:lineRule="auto" w:before="44"/>
        <w:ind w:left="0" w:right="21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28,428,098.25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24,240,542.02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29,955,690.40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25,718,114.81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31,462,918.40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4,315,452.87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94,162,159.92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49,958,656.83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88.48%</w:t>
            </w:r>
          </w:p>
        </w:tc>
      </w:tr>
    </w:tbl>
    <w:p>
      <w:pPr>
        <w:spacing w:line="240" w:lineRule="auto" w:before="4"/>
        <w:rPr>
          <w:rFonts w:ascii="宋体" w:hAnsi="宋体" w:cs="宋体" w:eastAsia="宋体" w:hint="default"/>
          <w:sz w:val="15"/>
          <w:szCs w:val="15"/>
        </w:rPr>
      </w:pPr>
    </w:p>
    <w:p>
      <w:pPr>
        <w:pStyle w:val="BodyText"/>
        <w:spacing w:line="240" w:lineRule="auto" w:before="44"/>
        <w:ind w:left="154" w:right="0"/>
        <w:jc w:val="left"/>
      </w:pPr>
      <w:r>
        <w:rPr>
          <w:rFonts w:ascii="Times New Roman" w:hAnsi="Times New Roman" w:cs="Times New Roman" w:eastAsia="Times New Roman" w:hint="default"/>
        </w:rPr>
        <w:t>5</w:t>
      </w:r>
      <w:r>
        <w:rPr/>
        <w:t>）费用</w:t>
      </w:r>
    </w:p>
    <w:p>
      <w:pPr>
        <w:spacing w:line="240" w:lineRule="auto" w:before="6"/>
        <w:rPr>
          <w:rFonts w:ascii="宋体" w:hAnsi="宋体" w:cs="宋体" w:eastAsia="宋体" w:hint="default"/>
          <w:sz w:val="10"/>
          <w:szCs w:val="10"/>
        </w:rPr>
      </w:pPr>
    </w:p>
    <w:p>
      <w:pPr>
        <w:pStyle w:val="BodyText"/>
        <w:spacing w:line="240" w:lineRule="auto" w:before="44"/>
        <w:ind w:left="0" w:right="21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24,069,964.04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22,718,310.81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3" w:right="0"/>
              <w:jc w:val="left"/>
              <w:rPr>
                <w:rFonts w:ascii="Times New Roman" w:hAnsi="Times New Roman" w:cs="Times New Roman" w:eastAsia="Times New Roman" w:hint="default"/>
                <w:sz w:val="18"/>
                <w:szCs w:val="18"/>
              </w:rPr>
            </w:pPr>
            <w:r>
              <w:rPr>
                <w:rFonts w:ascii="Times New Roman"/>
                <w:sz w:val="18"/>
              </w:rPr>
              <w:t>5.95%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48,432,734.48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34,676,402.39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39.67%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除并购亿美软通带来的增长因素以 </w:t>
            </w:r>
            <w:r>
              <w:rPr>
                <w:rFonts w:ascii="宋体" w:hAnsi="宋体" w:cs="宋体" w:eastAsia="宋体" w:hint="default"/>
                <w:spacing w:val="-2"/>
                <w:sz w:val="18"/>
                <w:szCs w:val="18"/>
              </w:rPr>
              <w:t>外，主要原因系研发资产、股权激励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费用摊销增大造成费用的增加。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-6,518,251.80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-10,509,771.74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37.98%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主要原因系报告期内对外支付投资 </w:t>
            </w:r>
            <w:r>
              <w:rPr>
                <w:rFonts w:ascii="宋体" w:hAnsi="宋体" w:cs="宋体" w:eastAsia="宋体" w:hint="default"/>
                <w:spacing w:val="-2"/>
                <w:sz w:val="18"/>
                <w:szCs w:val="18"/>
              </w:rPr>
              <w:t>款、股利分派及回购股权激励投资款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等资金支出较大，导致利息收入下 降。</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2,595,219.05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4" w:right="0"/>
              <w:jc w:val="left"/>
              <w:rPr>
                <w:rFonts w:ascii="Times New Roman" w:hAnsi="Times New Roman" w:cs="Times New Roman" w:eastAsia="Times New Roman" w:hint="default"/>
                <w:sz w:val="18"/>
                <w:szCs w:val="18"/>
              </w:rPr>
            </w:pPr>
            <w:r>
              <w:rPr>
                <w:rFonts w:ascii="Times New Roman"/>
                <w:sz w:val="18"/>
              </w:rPr>
              <w:t>87,413.08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7" w:right="0"/>
              <w:jc w:val="left"/>
              <w:rPr>
                <w:rFonts w:ascii="Times New Roman" w:hAnsi="Times New Roman" w:cs="Times New Roman" w:eastAsia="Times New Roman" w:hint="default"/>
                <w:sz w:val="18"/>
                <w:szCs w:val="18"/>
              </w:rPr>
            </w:pPr>
            <w:r>
              <w:rPr>
                <w:rFonts w:ascii="Times New Roman"/>
                <w:sz w:val="18"/>
              </w:rPr>
              <w:t>2,868.91%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主要原因系公司并购的亿美软通和 科安数字的应纳税所得额增加造成 的。</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5"/>
          <w:szCs w:val="15"/>
        </w:rPr>
      </w:pPr>
    </w:p>
    <w:p>
      <w:pPr>
        <w:pStyle w:val="BodyText"/>
        <w:spacing w:line="240" w:lineRule="auto" w:before="44"/>
        <w:ind w:left="154" w:right="0"/>
        <w:jc w:val="left"/>
      </w:pPr>
      <w:r>
        <w:rPr>
          <w:rFonts w:ascii="Times New Roman" w:hAnsi="Times New Roman" w:cs="Times New Roman" w:eastAsia="Times New Roman" w:hint="default"/>
        </w:rPr>
        <w:t>6</w:t>
      </w:r>
      <w:r>
        <w:rPr/>
        <w:t>）研发投入</w:t>
      </w:r>
    </w:p>
    <w:p>
      <w:pPr>
        <w:spacing w:line="240" w:lineRule="auto" w:before="12"/>
        <w:rPr>
          <w:rFonts w:ascii="宋体" w:hAnsi="宋体" w:cs="宋体" w:eastAsia="宋体" w:hint="default"/>
          <w:sz w:val="13"/>
          <w:szCs w:val="13"/>
        </w:rPr>
      </w:pPr>
    </w:p>
    <w:p>
      <w:pPr>
        <w:pStyle w:val="BodyText"/>
        <w:spacing w:line="412" w:lineRule="auto"/>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金融行业业务创新层出不穷，市场需求日新月异。作为金融信息化和新兴金融领域的高新技术企业，公司一直十分重视</w:t>
      </w:r>
    </w:p>
    <w:p>
      <w:pPr>
        <w:pStyle w:val="BodyText"/>
        <w:spacing w:line="477" w:lineRule="auto" w:before="103"/>
        <w:ind w:right="0"/>
        <w:jc w:val="left"/>
      </w:pPr>
      <w:r>
        <w:rPr>
          <w:spacing w:val="-2"/>
        </w:rPr>
        <w:t>研发投入，坚持以客户需求为导向，走自主创新的产品研发道路。公司一方面努力做好提高、完善现有产品的各项技术和功</w:t>
      </w:r>
      <w:r>
        <w:rPr>
          <w:spacing w:val="-66"/>
        </w:rPr>
        <w:t> </w:t>
      </w:r>
      <w:r>
        <w:rPr>
          <w:spacing w:val="-66"/>
        </w:rPr>
      </w:r>
      <w:r>
        <w:rPr/>
        <w:t>能，另一方面加大新产品的研发力度。目前公司正在进行的研发项目主要包括：</w:t>
      </w:r>
    </w:p>
    <w:p>
      <w:pPr>
        <w:spacing w:line="240" w:lineRule="auto" w:before="4"/>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160"/>
        <w:gridCol w:w="5401"/>
        <w:gridCol w:w="2160"/>
      </w:tblGrid>
      <w:tr>
        <w:trPr>
          <w:trHeight w:val="586" w:hRule="exact"/>
        </w:trPr>
        <w:tc>
          <w:tcPr>
            <w:tcW w:w="216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40"/>
              <w:ind w:left="7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401"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技术目标</w:t>
            </w:r>
          </w:p>
        </w:tc>
        <w:tc>
          <w:tcPr>
            <w:tcW w:w="216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40"/>
              <w:ind w:left="711" w:right="0"/>
              <w:jc w:val="left"/>
              <w:rPr>
                <w:rFonts w:ascii="宋体" w:hAnsi="宋体" w:cs="宋体" w:eastAsia="宋体" w:hint="default"/>
                <w:sz w:val="18"/>
                <w:szCs w:val="18"/>
              </w:rPr>
            </w:pPr>
            <w:r>
              <w:rPr>
                <w:rFonts w:ascii="宋体" w:hAnsi="宋体" w:cs="宋体" w:eastAsia="宋体" w:hint="default"/>
                <w:sz w:val="18"/>
                <w:szCs w:val="18"/>
              </w:rPr>
              <w:t>业务目标</w:t>
            </w:r>
          </w:p>
        </w:tc>
      </w:tr>
      <w:tr>
        <w:trPr>
          <w:trHeight w:val="1644"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印章智能控制机</w:t>
            </w:r>
          </w:p>
        </w:tc>
        <w:tc>
          <w:tcPr>
            <w:tcW w:w="5401"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95"/>
              <w:ind w:left="2" w:right="0"/>
              <w:jc w:val="left"/>
              <w:rPr>
                <w:rFonts w:ascii="宋体" w:hAnsi="宋体" w:cs="宋体" w:eastAsia="宋体" w:hint="default"/>
                <w:sz w:val="18"/>
                <w:szCs w:val="18"/>
              </w:rPr>
            </w:pPr>
            <w:r>
              <w:rPr>
                <w:rFonts w:ascii="宋体" w:hAnsi="宋体" w:cs="宋体" w:eastAsia="宋体" w:hint="default"/>
                <w:sz w:val="18"/>
                <w:szCs w:val="18"/>
              </w:rPr>
              <w:t>1.</w:t>
              <w:tab/>
            </w:r>
            <w:r>
              <w:rPr>
                <w:rFonts w:ascii="宋体" w:hAnsi="宋体" w:cs="宋体" w:eastAsia="宋体" w:hint="default"/>
                <w:sz w:val="18"/>
                <w:szCs w:val="18"/>
              </w:rPr>
              <w:t>解决银行及其他大型组织机构中的重要印章的远程监管问题；</w:t>
            </w:r>
          </w:p>
          <w:p>
            <w:pPr>
              <w:pStyle w:val="TableParagraph"/>
              <w:tabs>
                <w:tab w:pos="422" w:val="left" w:leader="none"/>
              </w:tabs>
              <w:spacing w:line="240" w:lineRule="auto" w:before="147"/>
              <w:ind w:left="2" w:right="0"/>
              <w:jc w:val="left"/>
              <w:rPr>
                <w:rFonts w:ascii="宋体" w:hAnsi="宋体" w:cs="宋体" w:eastAsia="宋体" w:hint="default"/>
                <w:sz w:val="18"/>
                <w:szCs w:val="18"/>
              </w:rPr>
            </w:pPr>
            <w:r>
              <w:rPr>
                <w:rFonts w:ascii="宋体" w:hAnsi="宋体" w:cs="宋体" w:eastAsia="宋体" w:hint="default"/>
                <w:sz w:val="18"/>
                <w:szCs w:val="18"/>
              </w:rPr>
              <w:t>2.</w:t>
              <w:tab/>
            </w:r>
            <w:r>
              <w:rPr>
                <w:rFonts w:ascii="宋体" w:hAnsi="宋体" w:cs="宋体" w:eastAsia="宋体" w:hint="default"/>
                <w:sz w:val="18"/>
                <w:szCs w:val="18"/>
              </w:rPr>
              <w:t>采用安全设备保管印章；</w:t>
            </w:r>
          </w:p>
          <w:p>
            <w:pPr>
              <w:pStyle w:val="TableParagraph"/>
              <w:tabs>
                <w:tab w:pos="422" w:val="left" w:leader="none"/>
              </w:tabs>
              <w:spacing w:line="240" w:lineRule="auto" w:before="148"/>
              <w:ind w:left="2" w:right="0"/>
              <w:jc w:val="left"/>
              <w:rPr>
                <w:rFonts w:ascii="宋体" w:hAnsi="宋体" w:cs="宋体" w:eastAsia="宋体" w:hint="default"/>
                <w:sz w:val="18"/>
                <w:szCs w:val="18"/>
              </w:rPr>
            </w:pPr>
            <w:r>
              <w:rPr>
                <w:rFonts w:ascii="宋体" w:hAnsi="宋体" w:cs="宋体" w:eastAsia="宋体" w:hint="default"/>
                <w:sz w:val="18"/>
                <w:szCs w:val="18"/>
              </w:rPr>
              <w:t>3.</w:t>
              <w:tab/>
            </w:r>
            <w:r>
              <w:rPr>
                <w:rFonts w:ascii="宋体" w:hAnsi="宋体" w:cs="宋体" w:eastAsia="宋体" w:hint="default"/>
                <w:sz w:val="18"/>
                <w:szCs w:val="18"/>
              </w:rPr>
              <w:t>计算机智能控制提取、加盖印章功能；</w:t>
            </w:r>
          </w:p>
          <w:p>
            <w:pPr>
              <w:pStyle w:val="TableParagraph"/>
              <w:tabs>
                <w:tab w:pos="422" w:val="left" w:leader="none"/>
              </w:tabs>
              <w:spacing w:line="240" w:lineRule="auto" w:before="148"/>
              <w:ind w:left="2" w:right="0"/>
              <w:jc w:val="left"/>
              <w:rPr>
                <w:rFonts w:ascii="宋体" w:hAnsi="宋体" w:cs="宋体" w:eastAsia="宋体" w:hint="default"/>
                <w:sz w:val="18"/>
                <w:szCs w:val="18"/>
              </w:rPr>
            </w:pPr>
            <w:r>
              <w:rPr>
                <w:rFonts w:ascii="宋体" w:hAnsi="宋体" w:cs="宋体" w:eastAsia="宋体" w:hint="default"/>
                <w:sz w:val="18"/>
                <w:szCs w:val="18"/>
              </w:rPr>
              <w:t>4.</w:t>
              <w:tab/>
            </w:r>
            <w:r>
              <w:rPr>
                <w:rFonts w:ascii="宋体" w:hAnsi="宋体" w:cs="宋体" w:eastAsia="宋体" w:hint="default"/>
                <w:sz w:val="18"/>
                <w:szCs w:val="18"/>
              </w:rPr>
              <w:t>自动留存印章使用记录；</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 w:right="1"/>
              <w:jc w:val="both"/>
              <w:rPr>
                <w:rFonts w:ascii="宋体" w:hAnsi="宋体" w:cs="宋体" w:eastAsia="宋体" w:hint="default"/>
                <w:sz w:val="18"/>
                <w:szCs w:val="18"/>
              </w:rPr>
            </w:pPr>
            <w:r>
              <w:rPr>
                <w:rFonts w:ascii="宋体" w:hAnsi="宋体" w:cs="宋体" w:eastAsia="宋体" w:hint="default"/>
                <w:spacing w:val="13"/>
                <w:sz w:val="18"/>
                <w:szCs w:val="18"/>
              </w:rPr>
              <w:t>继续完善公司现有产品的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功能和性能，提升公司新产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品业务收入</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92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160"/>
        <w:gridCol w:w="5401"/>
        <w:gridCol w:w="2160"/>
      </w:tblGrid>
      <w:tr>
        <w:trPr>
          <w:trHeight w:val="419" w:hRule="exact"/>
        </w:trPr>
        <w:tc>
          <w:tcPr>
            <w:tcW w:w="2160" w:type="dxa"/>
            <w:tcBorders>
              <w:top w:val="single" w:sz="6" w:space="0" w:color="000000"/>
              <w:left w:val="single" w:sz="6" w:space="0" w:color="000000"/>
              <w:bottom w:val="single" w:sz="6" w:space="0" w:color="000000"/>
              <w:right w:val="single" w:sz="6" w:space="0" w:color="000000"/>
            </w:tcBorders>
          </w:tcPr>
          <w:p>
            <w:pPr/>
          </w:p>
        </w:tc>
        <w:tc>
          <w:tcPr>
            <w:tcW w:w="5401"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5.</w:t>
              <w:tab/>
            </w:r>
            <w:r>
              <w:rPr>
                <w:rFonts w:ascii="宋体" w:hAnsi="宋体" w:cs="宋体" w:eastAsia="宋体" w:hint="default"/>
                <w:sz w:val="18"/>
                <w:szCs w:val="18"/>
              </w:rPr>
              <w:t>实现重点客户的个性化需求。</w:t>
            </w:r>
          </w:p>
        </w:tc>
        <w:tc>
          <w:tcPr>
            <w:tcW w:w="2160" w:type="dxa"/>
            <w:tcBorders>
              <w:top w:val="single" w:sz="6" w:space="0" w:color="000000"/>
              <w:left w:val="single" w:sz="6" w:space="0" w:color="000000"/>
              <w:bottom w:val="single" w:sz="6" w:space="0" w:color="000000"/>
              <w:right w:val="single" w:sz="6" w:space="0" w:color="000000"/>
            </w:tcBorders>
          </w:tcPr>
          <w:p>
            <w:pPr/>
          </w:p>
        </w:tc>
      </w:tr>
      <w:tr>
        <w:trPr>
          <w:trHeight w:val="1571"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票据自助柜员机</w:t>
            </w:r>
          </w:p>
        </w:tc>
        <w:tc>
          <w:tcPr>
            <w:tcW w:w="5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6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能够</w:t>
            </w:r>
            <w:r>
              <w:rPr>
                <w:rFonts w:ascii="Times New Roman" w:hAnsi="Times New Roman" w:cs="Times New Roman" w:eastAsia="Times New Roman" w:hint="default"/>
                <w:sz w:val="18"/>
                <w:szCs w:val="18"/>
              </w:rPr>
              <w:t>7*24</w:t>
            </w:r>
            <w:r>
              <w:rPr>
                <w:rFonts w:ascii="宋体" w:hAnsi="宋体" w:cs="宋体" w:eastAsia="宋体" w:hint="default"/>
                <w:sz w:val="18"/>
                <w:szCs w:val="18"/>
              </w:rPr>
              <w:t>小时自助式接收客户多种类支票；</w:t>
            </w:r>
          </w:p>
          <w:p>
            <w:pPr>
              <w:pStyle w:val="TableParagraph"/>
              <w:spacing w:line="319" w:lineRule="auto" w:before="133"/>
              <w:ind w:left="422" w:right="7" w:hanging="36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pacing w:val="3"/>
                <w:sz w:val="18"/>
                <w:szCs w:val="18"/>
              </w:rPr>
              <w:t>双面扫描接收到的支票，并实时的传递支票影像到后台作业中</w:t>
            </w:r>
            <w:r>
              <w:rPr>
                <w:rFonts w:ascii="宋体" w:hAnsi="宋体" w:cs="宋体" w:eastAsia="宋体" w:hint="default"/>
                <w:sz w:val="18"/>
                <w:szCs w:val="18"/>
              </w:rPr>
              <w:t> 心；</w:t>
            </w:r>
          </w:p>
          <w:p>
            <w:pPr>
              <w:pStyle w:val="TableParagraph"/>
              <w:spacing w:line="240" w:lineRule="auto" w:before="89"/>
              <w:ind w:left="6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提供实物支票的有效保管和存储。</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9" w:lineRule="auto"/>
              <w:ind w:left="2" w:right="1"/>
              <w:jc w:val="both"/>
              <w:rPr>
                <w:rFonts w:ascii="宋体" w:hAnsi="宋体" w:cs="宋体" w:eastAsia="宋体" w:hint="default"/>
                <w:sz w:val="18"/>
                <w:szCs w:val="18"/>
              </w:rPr>
            </w:pPr>
            <w:r>
              <w:rPr>
                <w:rFonts w:ascii="宋体" w:hAnsi="宋体" w:cs="宋体" w:eastAsia="宋体" w:hint="default"/>
                <w:spacing w:val="13"/>
                <w:sz w:val="18"/>
                <w:szCs w:val="18"/>
              </w:rPr>
              <w:t>支持达成票联通项目稳定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运行，形成符合市场应用需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求的产品升级，拓宽公司产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品线</w:t>
            </w:r>
          </w:p>
        </w:tc>
      </w:tr>
      <w:tr>
        <w:trPr>
          <w:trHeight w:val="226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远程视频签约项目</w:t>
            </w:r>
          </w:p>
        </w:tc>
        <w:tc>
          <w:tcPr>
            <w:tcW w:w="5401"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1.</w:t>
              <w:tab/>
            </w:r>
            <w:r>
              <w:rPr>
                <w:rFonts w:ascii="宋体" w:hAnsi="宋体" w:cs="宋体" w:eastAsia="宋体" w:hint="default"/>
                <w:sz w:val="18"/>
                <w:szCs w:val="18"/>
              </w:rPr>
              <w:t>通过远程视频技术实现业务远程签约；</w:t>
            </w:r>
          </w:p>
          <w:p>
            <w:pPr>
              <w:pStyle w:val="TableParagraph"/>
              <w:tabs>
                <w:tab w:pos="422" w:val="left" w:leader="none"/>
              </w:tabs>
              <w:spacing w:line="316" w:lineRule="auto" w:before="147"/>
              <w:ind w:left="2" w:right="1"/>
              <w:jc w:val="left"/>
              <w:rPr>
                <w:rFonts w:ascii="宋体" w:hAnsi="宋体" w:cs="宋体" w:eastAsia="宋体" w:hint="default"/>
                <w:sz w:val="18"/>
                <w:szCs w:val="18"/>
              </w:rPr>
            </w:pPr>
            <w:r>
              <w:rPr>
                <w:rFonts w:ascii="宋体" w:hAnsi="宋体" w:cs="宋体" w:eastAsia="宋体" w:hint="default"/>
                <w:sz w:val="18"/>
                <w:szCs w:val="18"/>
              </w:rPr>
              <w:t>2.</w:t>
              <w:tab/>
            </w:r>
            <w:r>
              <w:rPr>
                <w:rFonts w:ascii="宋体" w:hAnsi="宋体" w:cs="宋体" w:eastAsia="宋体" w:hint="default"/>
                <w:spacing w:val="-3"/>
                <w:sz w:val="18"/>
                <w:szCs w:val="18"/>
              </w:rPr>
              <w:t>采用产业标准技术、可扩展的系统架构、开放式语言，保证系统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可在异构的平台之间移植；</w:t>
            </w:r>
          </w:p>
          <w:p>
            <w:pPr>
              <w:pStyle w:val="TableParagraph"/>
              <w:tabs>
                <w:tab w:pos="422" w:val="left" w:leader="none"/>
              </w:tabs>
              <w:spacing w:line="240" w:lineRule="auto" w:before="91"/>
              <w:ind w:left="2" w:right="-17"/>
              <w:jc w:val="left"/>
              <w:rPr>
                <w:rFonts w:ascii="宋体" w:hAnsi="宋体" w:cs="宋体" w:eastAsia="宋体" w:hint="default"/>
                <w:sz w:val="18"/>
                <w:szCs w:val="18"/>
              </w:rPr>
            </w:pPr>
            <w:r>
              <w:rPr>
                <w:rFonts w:ascii="宋体" w:hAnsi="宋体" w:cs="宋体" w:eastAsia="宋体" w:hint="default"/>
                <w:sz w:val="18"/>
                <w:szCs w:val="18"/>
              </w:rPr>
              <w:t>3.</w:t>
              <w:tab/>
            </w:r>
            <w:r>
              <w:rPr>
                <w:rFonts w:ascii="宋体" w:hAnsi="宋体" w:cs="宋体" w:eastAsia="宋体" w:hint="default"/>
                <w:spacing w:val="-3"/>
                <w:sz w:val="18"/>
                <w:szCs w:val="18"/>
              </w:rPr>
              <w:t>保证数据管理和应用、信息的安全性和灾难恢复的快速有效性；</w:t>
            </w:r>
            <w:r>
              <w:rPr>
                <w:rFonts w:ascii="宋体" w:hAnsi="宋体" w:cs="宋体" w:eastAsia="宋体" w:hint="default"/>
                <w:sz w:val="18"/>
                <w:szCs w:val="18"/>
              </w:rPr>
            </w:r>
          </w:p>
          <w:p>
            <w:pPr>
              <w:pStyle w:val="TableParagraph"/>
              <w:tabs>
                <w:tab w:pos="422" w:val="left" w:leader="none"/>
              </w:tabs>
              <w:spacing w:line="316" w:lineRule="auto" w:before="148"/>
              <w:ind w:left="2" w:right="1"/>
              <w:jc w:val="left"/>
              <w:rPr>
                <w:rFonts w:ascii="宋体" w:hAnsi="宋体" w:cs="宋体" w:eastAsia="宋体" w:hint="default"/>
                <w:sz w:val="18"/>
                <w:szCs w:val="18"/>
              </w:rPr>
            </w:pPr>
            <w:r>
              <w:rPr>
                <w:rFonts w:ascii="宋体" w:hAnsi="宋体" w:cs="宋体" w:eastAsia="宋体" w:hint="default"/>
                <w:sz w:val="18"/>
                <w:szCs w:val="18"/>
              </w:rPr>
              <w:t>4.</w:t>
              <w:tab/>
            </w:r>
            <w:r>
              <w:rPr>
                <w:rFonts w:ascii="宋体" w:hAnsi="宋体" w:cs="宋体" w:eastAsia="宋体" w:hint="default"/>
                <w:spacing w:val="-3"/>
                <w:sz w:val="18"/>
                <w:szCs w:val="18"/>
              </w:rPr>
              <w:t>保持统一的管理界面、安全控制机制、开发接口标准，增强可拓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展性。</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 w:right="4"/>
              <w:jc w:val="left"/>
              <w:rPr>
                <w:rFonts w:ascii="宋体" w:hAnsi="宋体" w:cs="宋体" w:eastAsia="宋体" w:hint="default"/>
                <w:sz w:val="18"/>
                <w:szCs w:val="18"/>
              </w:rPr>
            </w:pPr>
            <w:r>
              <w:rPr>
                <w:rFonts w:ascii="宋体" w:hAnsi="宋体" w:cs="宋体" w:eastAsia="宋体" w:hint="default"/>
                <w:spacing w:val="13"/>
                <w:sz w:val="18"/>
                <w:szCs w:val="18"/>
              </w:rPr>
              <w:t>形成符合市场应用需求的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新产品，拓宽公司产品线</w:t>
            </w:r>
          </w:p>
        </w:tc>
      </w:tr>
      <w:tr>
        <w:trPr>
          <w:trHeight w:val="1260"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远程开户解决方案</w:t>
            </w:r>
          </w:p>
        </w:tc>
        <w:tc>
          <w:tcPr>
            <w:tcW w:w="5401"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1.</w:t>
              <w:tab/>
            </w:r>
            <w:r>
              <w:rPr>
                <w:rFonts w:ascii="宋体" w:hAnsi="宋体" w:cs="宋体" w:eastAsia="宋体" w:hint="default"/>
                <w:spacing w:val="-7"/>
                <w:sz w:val="18"/>
                <w:szCs w:val="18"/>
              </w:rPr>
              <w:t>通过视频通信、人脸识别、卡证识别等技术，实现远程开户应用</w:t>
            </w:r>
          </w:p>
          <w:p>
            <w:pPr>
              <w:pStyle w:val="TableParagraph"/>
              <w:tabs>
                <w:tab w:pos="422" w:val="left" w:leader="none"/>
              </w:tabs>
              <w:spacing w:line="240" w:lineRule="auto" w:before="147"/>
              <w:ind w:left="2" w:right="0"/>
              <w:jc w:val="left"/>
              <w:rPr>
                <w:rFonts w:ascii="宋体" w:hAnsi="宋体" w:cs="宋体" w:eastAsia="宋体" w:hint="default"/>
                <w:sz w:val="18"/>
                <w:szCs w:val="18"/>
              </w:rPr>
            </w:pPr>
            <w:r>
              <w:rPr>
                <w:rFonts w:ascii="宋体" w:hAnsi="宋体" w:cs="宋体" w:eastAsia="宋体" w:hint="default"/>
                <w:sz w:val="18"/>
                <w:szCs w:val="18"/>
              </w:rPr>
              <w:t>2.</w:t>
              <w:tab/>
            </w:r>
            <w:r>
              <w:rPr>
                <w:rFonts w:ascii="宋体" w:hAnsi="宋体" w:cs="宋体" w:eastAsia="宋体" w:hint="default"/>
                <w:sz w:val="18"/>
                <w:szCs w:val="18"/>
              </w:rPr>
              <w:t>有效加快银行开户业务办理效率；</w:t>
            </w:r>
          </w:p>
          <w:p>
            <w:pPr>
              <w:pStyle w:val="TableParagraph"/>
              <w:tabs>
                <w:tab w:pos="422" w:val="left" w:leader="none"/>
              </w:tabs>
              <w:spacing w:line="240" w:lineRule="auto" w:before="148"/>
              <w:ind w:left="2" w:right="0"/>
              <w:jc w:val="left"/>
              <w:rPr>
                <w:rFonts w:ascii="宋体" w:hAnsi="宋体" w:cs="宋体" w:eastAsia="宋体" w:hint="default"/>
                <w:sz w:val="18"/>
                <w:szCs w:val="18"/>
              </w:rPr>
            </w:pPr>
            <w:r>
              <w:rPr>
                <w:rFonts w:ascii="宋体" w:hAnsi="宋体" w:cs="宋体" w:eastAsia="宋体" w:hint="default"/>
                <w:sz w:val="18"/>
                <w:szCs w:val="18"/>
              </w:rPr>
              <w:t>3.</w:t>
              <w:tab/>
            </w:r>
            <w:r>
              <w:rPr>
                <w:rFonts w:ascii="宋体" w:hAnsi="宋体" w:cs="宋体" w:eastAsia="宋体" w:hint="default"/>
                <w:sz w:val="18"/>
                <w:szCs w:val="18"/>
              </w:rPr>
              <w:t>自动留存客户开户信息。</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before="94"/>
              <w:ind w:left="-10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ind w:left="2" w:right="4"/>
              <w:jc w:val="left"/>
              <w:rPr>
                <w:rFonts w:ascii="宋体" w:hAnsi="宋体" w:cs="宋体" w:eastAsia="宋体" w:hint="default"/>
                <w:sz w:val="18"/>
                <w:szCs w:val="18"/>
              </w:rPr>
            </w:pPr>
            <w:r>
              <w:rPr>
                <w:rFonts w:ascii="宋体" w:hAnsi="宋体" w:cs="宋体" w:eastAsia="宋体" w:hint="default"/>
                <w:spacing w:val="13"/>
                <w:sz w:val="18"/>
                <w:szCs w:val="18"/>
              </w:rPr>
              <w:t>形成符合市场应用需求的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新产品，拓宽公司产品线</w:t>
            </w:r>
          </w:p>
        </w:tc>
      </w:tr>
      <w:tr>
        <w:trPr>
          <w:trHeight w:val="1955"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 w:right="0"/>
              <w:jc w:val="left"/>
              <w:rPr>
                <w:rFonts w:ascii="宋体" w:hAnsi="宋体" w:cs="宋体" w:eastAsia="宋体" w:hint="default"/>
                <w:sz w:val="18"/>
                <w:szCs w:val="18"/>
              </w:rPr>
            </w:pPr>
            <w:r>
              <w:rPr>
                <w:rFonts w:ascii="宋体" w:hAnsi="宋体" w:cs="宋体" w:eastAsia="宋体" w:hint="default"/>
                <w:sz w:val="18"/>
                <w:szCs w:val="18"/>
              </w:rPr>
              <w:t>流程银行业务平台系统</w:t>
            </w:r>
          </w:p>
        </w:tc>
        <w:tc>
          <w:tcPr>
            <w:tcW w:w="5401"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93"/>
              <w:ind w:left="2" w:right="0"/>
              <w:jc w:val="left"/>
              <w:rPr>
                <w:rFonts w:ascii="宋体" w:hAnsi="宋体" w:cs="宋体" w:eastAsia="宋体" w:hint="default"/>
                <w:sz w:val="18"/>
                <w:szCs w:val="18"/>
              </w:rPr>
            </w:pPr>
            <w:r>
              <w:rPr>
                <w:rFonts w:ascii="宋体" w:hAnsi="宋体" w:cs="宋体" w:eastAsia="宋体" w:hint="default"/>
                <w:sz w:val="18"/>
                <w:szCs w:val="18"/>
              </w:rPr>
              <w:t>1.</w:t>
              <w:tab/>
            </w:r>
            <w:r>
              <w:rPr>
                <w:rFonts w:ascii="宋体" w:hAnsi="宋体" w:cs="宋体" w:eastAsia="宋体" w:hint="default"/>
                <w:sz w:val="18"/>
                <w:szCs w:val="18"/>
              </w:rPr>
              <w:t>通过流程作业的方式使银行传统作业型网点向营销型网点转变</w:t>
            </w:r>
          </w:p>
          <w:p>
            <w:pPr>
              <w:pStyle w:val="TableParagraph"/>
              <w:tabs>
                <w:tab w:pos="422" w:val="left" w:leader="none"/>
              </w:tabs>
              <w:spacing w:line="316" w:lineRule="auto" w:before="147"/>
              <w:ind w:left="2" w:right="-17"/>
              <w:jc w:val="left"/>
              <w:rPr>
                <w:rFonts w:ascii="宋体" w:hAnsi="宋体" w:cs="宋体" w:eastAsia="宋体" w:hint="default"/>
                <w:sz w:val="18"/>
                <w:szCs w:val="18"/>
              </w:rPr>
            </w:pPr>
            <w:r>
              <w:rPr>
                <w:rFonts w:ascii="宋体" w:hAnsi="宋体" w:cs="宋体" w:eastAsia="宋体" w:hint="default"/>
                <w:sz w:val="18"/>
                <w:szCs w:val="18"/>
              </w:rPr>
              <w:t>2.</w:t>
              <w:tab/>
            </w:r>
            <w:r>
              <w:rPr>
                <w:rFonts w:ascii="宋体" w:hAnsi="宋体" w:cs="宋体" w:eastAsia="宋体" w:hint="default"/>
                <w:spacing w:val="-9"/>
                <w:sz w:val="18"/>
                <w:szCs w:val="18"/>
              </w:rPr>
              <w:t>采用影像处理机制，前台业务采集、上传、影像拆分、切片录入、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组合拼装，解决银行网点分散处理向集中作业的转变；</w:t>
            </w:r>
          </w:p>
          <w:p>
            <w:pPr>
              <w:pStyle w:val="TableParagraph"/>
              <w:tabs>
                <w:tab w:pos="422" w:val="left" w:leader="none"/>
              </w:tabs>
              <w:spacing w:line="240" w:lineRule="auto" w:before="91"/>
              <w:ind w:left="2" w:right="0"/>
              <w:jc w:val="left"/>
              <w:rPr>
                <w:rFonts w:ascii="宋体" w:hAnsi="宋体" w:cs="宋体" w:eastAsia="宋体" w:hint="default"/>
                <w:sz w:val="18"/>
                <w:szCs w:val="18"/>
              </w:rPr>
            </w:pPr>
            <w:r>
              <w:rPr>
                <w:rFonts w:ascii="宋体" w:hAnsi="宋体" w:cs="宋体" w:eastAsia="宋体" w:hint="default"/>
                <w:sz w:val="18"/>
                <w:szCs w:val="18"/>
              </w:rPr>
              <w:t>3.</w:t>
              <w:tab/>
            </w:r>
            <w:r>
              <w:rPr>
                <w:rFonts w:ascii="宋体" w:hAnsi="宋体" w:cs="宋体" w:eastAsia="宋体" w:hint="default"/>
                <w:sz w:val="18"/>
                <w:szCs w:val="18"/>
              </w:rPr>
              <w:t>应用工作流引擎提供灵活的业务规则设计和实施；</w:t>
            </w:r>
          </w:p>
          <w:p>
            <w:pPr>
              <w:pStyle w:val="TableParagraph"/>
              <w:tabs>
                <w:tab w:pos="422" w:val="left" w:leader="none"/>
              </w:tabs>
              <w:spacing w:line="240" w:lineRule="auto" w:before="149"/>
              <w:ind w:left="2" w:right="0"/>
              <w:jc w:val="left"/>
              <w:rPr>
                <w:rFonts w:ascii="宋体" w:hAnsi="宋体" w:cs="宋体" w:eastAsia="宋体" w:hint="default"/>
                <w:sz w:val="18"/>
                <w:szCs w:val="18"/>
              </w:rPr>
            </w:pPr>
            <w:r>
              <w:rPr>
                <w:rFonts w:ascii="宋体" w:hAnsi="宋体" w:cs="宋体" w:eastAsia="宋体" w:hint="default"/>
                <w:sz w:val="18"/>
                <w:szCs w:val="18"/>
              </w:rPr>
              <w:t>4.</w:t>
              <w:tab/>
            </w:r>
            <w:r>
              <w:rPr>
                <w:rFonts w:ascii="宋体" w:hAnsi="宋体" w:cs="宋体" w:eastAsia="宋体" w:hint="default"/>
                <w:sz w:val="18"/>
                <w:szCs w:val="18"/>
              </w:rPr>
              <w:t>应用内容管理技术为非结构化数据提供归档、查询和备份。</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1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
              <w:ind w:right="0"/>
              <w:jc w:val="left"/>
              <w:rPr>
                <w:rFonts w:ascii="宋体" w:hAnsi="宋体" w:cs="宋体" w:eastAsia="宋体" w:hint="default"/>
                <w:sz w:val="14"/>
                <w:szCs w:val="14"/>
              </w:rPr>
            </w:pPr>
          </w:p>
          <w:p>
            <w:pPr>
              <w:pStyle w:val="TableParagraph"/>
              <w:spacing w:line="309" w:lineRule="auto"/>
              <w:ind w:left="2" w:right="0"/>
              <w:jc w:val="both"/>
              <w:rPr>
                <w:rFonts w:ascii="宋体" w:hAnsi="宋体" w:cs="宋体" w:eastAsia="宋体" w:hint="default"/>
                <w:sz w:val="18"/>
                <w:szCs w:val="18"/>
              </w:rPr>
            </w:pPr>
            <w:r>
              <w:rPr>
                <w:rFonts w:ascii="宋体" w:hAnsi="宋体" w:cs="宋体" w:eastAsia="宋体" w:hint="default"/>
                <w:spacing w:val="13"/>
                <w:sz w:val="18"/>
                <w:szCs w:val="18"/>
              </w:rPr>
              <w:t>形成符合流程银行建设需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要的</w:t>
            </w: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解决方案，拓宽公司 产品线</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ind w:left="154" w:right="0"/>
        <w:jc w:val="left"/>
        <w:rPr>
          <w:b w:val="0"/>
          <w:bCs w:val="0"/>
        </w:rPr>
      </w:pPr>
      <w:r>
        <w:rPr/>
        <w:t>近三年公司研发投入金额及占营业收入的比例</w:t>
      </w:r>
      <w:r>
        <w:rPr>
          <w:b w:val="0"/>
          <w:bCs w:val="0"/>
        </w:rPr>
      </w:r>
    </w:p>
    <w:p>
      <w:pPr>
        <w:spacing w:line="240" w:lineRule="auto" w:before="2"/>
        <w:rPr>
          <w:rFonts w:ascii="宋体" w:hAnsi="宋体" w:cs="宋体" w:eastAsia="宋体" w:hint="default"/>
          <w:b/>
          <w:bCs/>
          <w:sz w:val="20"/>
          <w:szCs w:val="20"/>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42,050,674.76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36,360,379.43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26,661,766.29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19,455,693.81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15,824,777.48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9,030,448.05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50.08%</w:t>
            </w:r>
          </w:p>
        </w:tc>
      </w:tr>
    </w:tbl>
    <w:p>
      <w:pPr>
        <w:spacing w:line="240" w:lineRule="auto" w:before="7"/>
        <w:rPr>
          <w:rFonts w:ascii="宋体" w:hAnsi="宋体" w:cs="宋体" w:eastAsia="宋体" w:hint="default"/>
          <w:b/>
          <w:bCs/>
          <w:sz w:val="12"/>
          <w:szCs w:val="12"/>
        </w:rPr>
      </w:pPr>
    </w:p>
    <w:p>
      <w:pPr>
        <w:pStyle w:val="Heading4"/>
        <w:spacing w:line="240" w:lineRule="auto" w:before="44"/>
        <w:ind w:left="154" w:right="0"/>
        <w:jc w:val="left"/>
        <w:rPr>
          <w:b w:val="0"/>
          <w:bCs w:val="0"/>
        </w:rPr>
      </w:pPr>
      <w:r>
        <w:rPr/>
        <w:t>研发投入资本化率大幅变动的原因及其合理性说明</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494" w:right="292"/>
        <w:jc w:val="center"/>
        <w:rPr>
          <w:rFonts w:ascii="Times New Roman" w:hAnsi="Times New Roman" w:cs="Times New Roman" w:eastAsia="Times New Roman" w:hint="default"/>
        </w:rPr>
      </w:pPr>
      <w:r>
        <w:rPr>
          <w:rFonts w:ascii="Times New Roman" w:hAnsi="Times New Roman" w:cs="Times New Roman" w:eastAsia="Times New Roman" w:hint="default"/>
        </w:rPr>
        <w:t>2014</w:t>
      </w:r>
      <w:r>
        <w:rPr/>
        <w:t>年，公司研发投入较上年度继续保持增长。研发支出资本化金额为</w:t>
      </w:r>
      <w:r>
        <w:rPr>
          <w:rFonts w:ascii="Times New Roman" w:hAnsi="Times New Roman" w:cs="Times New Roman" w:eastAsia="Times New Roman" w:hint="default"/>
        </w:rPr>
        <w:t>19,455,693.81</w:t>
      </w:r>
      <w:r>
        <w:rPr/>
        <w:t>元，较</w:t>
      </w:r>
      <w:r>
        <w:rPr>
          <w:rFonts w:ascii="Times New Roman" w:hAnsi="Times New Roman" w:cs="Times New Roman" w:eastAsia="Times New Roman" w:hint="default"/>
        </w:rPr>
        <w:t>2013</w:t>
      </w:r>
      <w:r>
        <w:rPr/>
        <w:t>年度增长</w:t>
      </w:r>
      <w:r>
        <w:rPr>
          <w:rFonts w:ascii="Times New Roman" w:hAnsi="Times New Roman" w:cs="Times New Roman" w:eastAsia="Times New Roman" w:hint="default"/>
        </w:rPr>
        <w:t>3,630,916.33</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154" w:right="0"/>
        <w:jc w:val="left"/>
      </w:pPr>
      <w:r>
        <w:rPr/>
        <w:t>元，增长</w:t>
      </w:r>
      <w:r>
        <w:rPr>
          <w:rFonts w:ascii="Times New Roman" w:hAnsi="Times New Roman" w:cs="Times New Roman" w:eastAsia="Times New Roman" w:hint="default"/>
        </w:rPr>
        <w:t>22.94%</w:t>
      </w:r>
      <w:r>
        <w:rPr/>
        <w:t>。研发支出金额增长主要是公司</w:t>
      </w:r>
      <w:r>
        <w:rPr>
          <w:rFonts w:ascii="Times New Roman" w:hAnsi="Times New Roman" w:cs="Times New Roman" w:eastAsia="Times New Roman" w:hint="default"/>
        </w:rPr>
        <w:t>2014</w:t>
      </w:r>
      <w:r>
        <w:rPr/>
        <w:t>年度公司新增了远程柜员机、集成控件电子验印等多个立项研发项目，</w:t>
      </w:r>
    </w:p>
    <w:p>
      <w:pPr>
        <w:spacing w:after="0" w:line="240" w:lineRule="auto"/>
        <w:jc w:val="left"/>
        <w:sectPr>
          <w:pgSz w:w="11910" w:h="16840"/>
          <w:pgMar w:header="877" w:footer="979" w:top="1100" w:bottom="1160" w:left="980" w:right="920"/>
        </w:sectPr>
      </w:pPr>
    </w:p>
    <w:p>
      <w:pPr>
        <w:spacing w:line="240" w:lineRule="auto" w:before="11"/>
        <w:rPr>
          <w:rFonts w:ascii="宋体" w:hAnsi="宋体" w:cs="宋体" w:eastAsia="宋体" w:hint="default"/>
          <w:sz w:val="27"/>
          <w:szCs w:val="27"/>
        </w:rPr>
      </w:pPr>
    </w:p>
    <w:p>
      <w:pPr>
        <w:pStyle w:val="BodyText"/>
        <w:spacing w:line="477" w:lineRule="auto" w:before="44"/>
        <w:ind w:right="93"/>
        <w:jc w:val="left"/>
      </w:pPr>
      <w:r>
        <w:rPr>
          <w:spacing w:val="-2"/>
        </w:rPr>
        <w:t>并对柜面业务影像采集平台、印章智能控制机、票据自助柜员机等新产品项目加大了研发投入力度。同时，研发投入资本化</w:t>
      </w:r>
      <w:r>
        <w:rPr>
          <w:spacing w:val="-65"/>
        </w:rPr>
        <w:t> </w:t>
      </w:r>
      <w:r>
        <w:rPr>
          <w:spacing w:val="-65"/>
        </w:rPr>
      </w:r>
      <w:r>
        <w:rPr>
          <w:spacing w:val="-2"/>
        </w:rPr>
        <w:t>占当期净利润的比率为</w:t>
      </w:r>
      <w:r>
        <w:rPr>
          <w:rFonts w:ascii="宋体" w:hAnsi="宋体" w:cs="宋体" w:eastAsia="宋体" w:hint="default"/>
          <w:spacing w:val="-2"/>
        </w:rPr>
        <w:t>70.27%</w:t>
      </w:r>
      <w:r>
        <w:rPr>
          <w:spacing w:val="-2"/>
        </w:rPr>
        <w:t>，较上年同期下降</w:t>
      </w:r>
      <w:r>
        <w:rPr>
          <w:rFonts w:ascii="宋体" w:hAnsi="宋体" w:cs="宋体" w:eastAsia="宋体" w:hint="default"/>
          <w:spacing w:val="-2"/>
        </w:rPr>
        <w:t>39.27</w:t>
      </w:r>
      <w:r>
        <w:rPr>
          <w:spacing w:val="-2"/>
        </w:rPr>
        <w:t>个百分点，主要是因为报告期内并购了亿美软通和科安数字两家企业，</w:t>
      </w:r>
      <w:r>
        <w:rPr>
          <w:spacing w:val="-52"/>
        </w:rPr>
        <w:t> </w:t>
      </w:r>
      <w:r>
        <w:rPr>
          <w:spacing w:val="-52"/>
        </w:rPr>
      </w:r>
      <w:r>
        <w:rPr/>
        <w:t>合并报告期内并入的净利润大幅增加所致。</w:t>
      </w:r>
    </w:p>
    <w:p>
      <w:pPr>
        <w:spacing w:line="240" w:lineRule="auto" w:before="1"/>
        <w:rPr>
          <w:rFonts w:ascii="宋体" w:hAnsi="宋体" w:cs="宋体" w:eastAsia="宋体" w:hint="default"/>
          <w:sz w:val="16"/>
          <w:szCs w:val="16"/>
        </w:rPr>
      </w:pPr>
    </w:p>
    <w:p>
      <w:pPr>
        <w:pStyle w:val="BodyText"/>
        <w:spacing w:line="240" w:lineRule="auto"/>
        <w:ind w:right="93"/>
        <w:jc w:val="left"/>
      </w:pPr>
      <w:r>
        <w:rPr>
          <w:rFonts w:ascii="Times New Roman" w:hAnsi="Times New Roman" w:cs="Times New Roman" w:eastAsia="Times New Roman" w:hint="default"/>
        </w:rPr>
        <w:t>7</w:t>
      </w:r>
      <w:r>
        <w:rPr/>
        <w:t>）现金流</w:t>
      </w:r>
    </w:p>
    <w:p>
      <w:pPr>
        <w:spacing w:line="240" w:lineRule="auto" w:before="12"/>
        <w:rPr>
          <w:rFonts w:ascii="宋体" w:hAnsi="宋体" w:cs="宋体" w:eastAsia="宋体" w:hint="default"/>
          <w:sz w:val="13"/>
          <w:szCs w:val="13"/>
        </w:rPr>
      </w:pPr>
    </w:p>
    <w:p>
      <w:pPr>
        <w:pStyle w:val="BodyText"/>
        <w:spacing w:line="240" w:lineRule="auto"/>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200,219,824.03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113,076,896.90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168,350,280.65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117,212,775.33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31,869,543.38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-4,135,878.43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88,955,531.87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2,138,254.13%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30,651,905.12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77,135,370.62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58,303,626.75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-77,131,210.62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6,304,200.00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8,850,725.92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14,413,222.00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-8,840,725.92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-8,109,022.00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81,312,044.81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-89,376,111.05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190.98%</w:t>
            </w:r>
          </w:p>
        </w:tc>
      </w:tr>
    </w:tbl>
    <w:p>
      <w:pPr>
        <w:spacing w:line="240" w:lineRule="auto" w:before="7"/>
        <w:rPr>
          <w:rFonts w:ascii="宋体" w:hAnsi="宋体" w:cs="宋体" w:eastAsia="宋体" w:hint="default"/>
          <w:sz w:val="12"/>
          <w:szCs w:val="12"/>
        </w:rPr>
      </w:pPr>
    </w:p>
    <w:p>
      <w:pPr>
        <w:pStyle w:val="Heading4"/>
        <w:spacing w:line="240" w:lineRule="auto" w:before="44"/>
        <w:ind w:left="154" w:right="93"/>
        <w:jc w:val="left"/>
        <w:rPr>
          <w:b w:val="0"/>
          <w:bCs w:val="0"/>
        </w:rPr>
      </w:pPr>
      <w:r>
        <w:rPr/>
        <w:t>相关数据同比发生变动</w:t>
      </w:r>
      <w:r>
        <w:rPr>
          <w:spacing w:val="-49"/>
        </w:rPr>
        <w:t> </w:t>
      </w:r>
      <w:r>
        <w:rPr>
          <w:rFonts w:ascii="Times New Roman" w:hAnsi="Times New Roman" w:cs="Times New Roman" w:eastAsia="Times New Roman" w:hint="default"/>
        </w:rPr>
        <w:t>30%</w:t>
      </w:r>
      <w:r>
        <w:rPr/>
        <w:t>以上的原因说明</w:t>
      </w:r>
      <w:r>
        <w:rPr>
          <w:b w:val="0"/>
          <w:bCs w:val="0"/>
        </w:rPr>
      </w:r>
    </w:p>
    <w:p>
      <w:pPr>
        <w:spacing w:line="240" w:lineRule="auto" w:before="0"/>
        <w:rPr>
          <w:rFonts w:ascii="宋体" w:hAnsi="宋体" w:cs="宋体" w:eastAsia="宋体" w:hint="default"/>
          <w:b/>
          <w:bCs/>
          <w:sz w:val="20"/>
          <w:szCs w:val="20"/>
        </w:rPr>
      </w:pPr>
    </w:p>
    <w:p>
      <w:pPr>
        <w:pStyle w:val="BodyText"/>
        <w:spacing w:line="412" w:lineRule="auto"/>
        <w:ind w:left="513" w:right="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报告期内，经营活动现金流入增加</w:t>
      </w:r>
      <w:r>
        <w:rPr>
          <w:rFonts w:ascii="宋体" w:hAnsi="宋体" w:cs="宋体" w:eastAsia="宋体" w:hint="default"/>
          <w:spacing w:val="-2"/>
        </w:rPr>
        <w:t>8,714.29</w:t>
      </w:r>
      <w:r>
        <w:rPr>
          <w:spacing w:val="-2"/>
        </w:rPr>
        <w:t>万元，升幅为</w:t>
      </w:r>
      <w:r>
        <w:rPr>
          <w:rFonts w:ascii="宋体" w:hAnsi="宋体" w:cs="宋体" w:eastAsia="宋体" w:hint="default"/>
          <w:spacing w:val="-2"/>
        </w:rPr>
        <w:t>77.07%</w:t>
      </w:r>
      <w:r>
        <w:rPr>
          <w:spacing w:val="-2"/>
        </w:rPr>
        <w:t>，主要是公司报告期内并购亿美软通、科安数字两家子</w:t>
      </w:r>
    </w:p>
    <w:p>
      <w:pPr>
        <w:pStyle w:val="BodyText"/>
        <w:spacing w:line="477" w:lineRule="auto" w:before="103"/>
        <w:ind w:right="93"/>
        <w:jc w:val="left"/>
      </w:pPr>
      <w:r>
        <w:rPr/>
        <w:t>公司所带来的收取销售款项的增加，其中亿美软通增加</w:t>
      </w:r>
      <w:r>
        <w:rPr>
          <w:rFonts w:ascii="宋体" w:hAnsi="宋体" w:cs="宋体" w:eastAsia="宋体" w:hint="default"/>
        </w:rPr>
        <w:t>6,890.12</w:t>
      </w:r>
      <w:r>
        <w:rPr/>
        <w:t>万元，科安数字增加</w:t>
      </w:r>
      <w:r>
        <w:rPr>
          <w:rFonts w:ascii="宋体" w:hAnsi="宋体" w:cs="宋体" w:eastAsia="宋体" w:hint="default"/>
        </w:rPr>
        <w:t>886.19</w:t>
      </w:r>
      <w:r>
        <w:rPr/>
        <w:t>万元；经营活动现金流出增加 </w:t>
      </w:r>
      <w:r>
        <w:rPr>
          <w:rFonts w:ascii="宋体" w:hAnsi="宋体" w:cs="宋体" w:eastAsia="宋体" w:hint="default"/>
          <w:spacing w:val="-2"/>
        </w:rPr>
        <w:t>5,113.75</w:t>
      </w:r>
      <w:r>
        <w:rPr>
          <w:spacing w:val="-2"/>
        </w:rPr>
        <w:t>万元，升幅为</w:t>
      </w:r>
      <w:r>
        <w:rPr>
          <w:rFonts w:ascii="宋体" w:hAnsi="宋体" w:cs="宋体" w:eastAsia="宋体" w:hint="default"/>
          <w:spacing w:val="-2"/>
        </w:rPr>
        <w:t>43.63%</w:t>
      </w:r>
      <w:r>
        <w:rPr>
          <w:spacing w:val="-2"/>
        </w:rPr>
        <w:t>，主要是由于报告期内并购亿美软通、科安数字所带来的支付运营商成本、电子商务商品成本</w:t>
      </w:r>
      <w:r>
        <w:rPr>
          <w:spacing w:val="-54"/>
        </w:rPr>
        <w:t> </w:t>
      </w:r>
      <w:r>
        <w:rPr>
          <w:spacing w:val="-54"/>
        </w:rPr>
      </w:r>
      <w:r>
        <w:rPr>
          <w:spacing w:val="-2"/>
        </w:rPr>
        <w:t>及公司运营费用支出，其中亿美软通支付运营商成本</w:t>
      </w:r>
      <w:r>
        <w:rPr>
          <w:rFonts w:ascii="宋体" w:hAnsi="宋体" w:cs="宋体" w:eastAsia="宋体" w:hint="default"/>
          <w:spacing w:val="-2"/>
        </w:rPr>
        <w:t>2,701.09</w:t>
      </w:r>
      <w:r>
        <w:rPr>
          <w:spacing w:val="-2"/>
        </w:rPr>
        <w:t>万元，科安数字支付电子商务商品成本</w:t>
      </w:r>
      <w:r>
        <w:rPr>
          <w:rFonts w:ascii="宋体" w:hAnsi="宋体" w:cs="宋体" w:eastAsia="宋体" w:hint="default"/>
          <w:spacing w:val="-2"/>
        </w:rPr>
        <w:t>849.34</w:t>
      </w:r>
      <w:r>
        <w:rPr>
          <w:spacing w:val="-2"/>
        </w:rPr>
        <w:t>万元，两家子公</w:t>
      </w:r>
      <w:r>
        <w:rPr>
          <w:spacing w:val="-54"/>
        </w:rPr>
        <w:t> </w:t>
      </w:r>
      <w:r>
        <w:rPr>
          <w:spacing w:val="-54"/>
        </w:rPr>
      </w:r>
      <w:r>
        <w:rPr/>
        <w:t>司合计支出运营费用</w:t>
      </w:r>
      <w:r>
        <w:rPr>
          <w:rFonts w:ascii="宋体" w:hAnsi="宋体" w:cs="宋体" w:eastAsia="宋体" w:hint="default"/>
        </w:rPr>
        <w:t>1,224.39</w:t>
      </w:r>
      <w:r>
        <w:rPr/>
        <w:t>万元。</w:t>
      </w:r>
    </w:p>
    <w:p>
      <w:pPr>
        <w:pStyle w:val="BodyText"/>
        <w:spacing w:line="477" w:lineRule="auto" w:before="54"/>
        <w:ind w:right="93" w:firstLine="360"/>
        <w:jc w:val="left"/>
      </w:pPr>
      <w:r>
        <w:rPr>
          <w:spacing w:val="-2"/>
        </w:rPr>
        <w:t>报告期内，投资活动现金流入增加</w:t>
      </w:r>
      <w:r>
        <w:rPr>
          <w:rFonts w:ascii="宋体" w:hAnsi="宋体" w:cs="宋体" w:eastAsia="宋体" w:hint="default"/>
          <w:spacing w:val="-2"/>
        </w:rPr>
        <w:t>8,895.14</w:t>
      </w:r>
      <w:r>
        <w:rPr>
          <w:spacing w:val="-2"/>
        </w:rPr>
        <w:t>万元，升幅为</w:t>
      </w:r>
      <w:r>
        <w:rPr>
          <w:rFonts w:ascii="宋体" w:hAnsi="宋体" w:cs="宋体" w:eastAsia="宋体" w:hint="default"/>
          <w:spacing w:val="-2"/>
        </w:rPr>
        <w:t>2,138,254.13%</w:t>
      </w:r>
      <w:r>
        <w:rPr>
          <w:spacing w:val="-2"/>
        </w:rPr>
        <w:t>，主要是公司报告期内收回超过</w:t>
      </w:r>
      <w:r>
        <w:rPr>
          <w:rFonts w:ascii="宋体" w:hAnsi="宋体" w:cs="宋体" w:eastAsia="宋体" w:hint="default"/>
          <w:spacing w:val="-2"/>
        </w:rPr>
        <w:t>3</w:t>
      </w:r>
      <w:r>
        <w:rPr>
          <w:spacing w:val="-2"/>
        </w:rPr>
        <w:t>个月的定期银</w:t>
      </w:r>
      <w:r>
        <w:rPr/>
        <w:t> 行存款</w:t>
      </w:r>
      <w:r>
        <w:rPr>
          <w:rFonts w:ascii="宋体" w:hAnsi="宋体" w:cs="宋体" w:eastAsia="宋体" w:hint="default"/>
        </w:rPr>
        <w:t>3,200.00</w:t>
      </w:r>
      <w:r>
        <w:rPr/>
        <w:t>万元，以及公司并购子公司时增加现金及现金等价物</w:t>
      </w:r>
      <w:r>
        <w:rPr>
          <w:rFonts w:ascii="宋体" w:hAnsi="宋体" w:cs="宋体" w:eastAsia="宋体" w:hint="default"/>
        </w:rPr>
        <w:t>5,614.80</w:t>
      </w:r>
      <w:r>
        <w:rPr/>
        <w:t>万元；投资活动现金流出减少</w:t>
      </w:r>
      <w:r>
        <w:rPr>
          <w:rFonts w:ascii="宋体" w:hAnsi="宋体" w:cs="宋体" w:eastAsia="宋体" w:hint="default"/>
        </w:rPr>
        <w:t>4,648,35</w:t>
      </w:r>
      <w:r>
        <w:rPr/>
        <w:t>万元， 降幅为</w:t>
      </w:r>
      <w:r>
        <w:rPr>
          <w:rFonts w:ascii="宋体" w:hAnsi="宋体" w:cs="宋体" w:eastAsia="宋体" w:hint="default"/>
        </w:rPr>
        <w:t>60.26%</w:t>
      </w:r>
      <w:r>
        <w:rPr/>
        <w:t>，主要是公司报告期内与上年同期相比减少</w:t>
      </w:r>
      <w:r>
        <w:rPr>
          <w:rFonts w:ascii="宋体" w:hAnsi="宋体" w:cs="宋体" w:eastAsia="宋体" w:hint="default"/>
        </w:rPr>
        <w:t>3</w:t>
      </w:r>
      <w:r>
        <w:rPr/>
        <w:t>个月以上的定期银行存款，以及同期对比对外投资减少的原因。</w:t>
      </w:r>
    </w:p>
    <w:p>
      <w:pPr>
        <w:pStyle w:val="BodyText"/>
        <w:spacing w:line="477" w:lineRule="auto" w:before="54"/>
        <w:ind w:right="190" w:firstLine="360"/>
        <w:jc w:val="both"/>
      </w:pPr>
      <w:r>
        <w:rPr>
          <w:spacing w:val="-2"/>
        </w:rPr>
        <w:t>报告期内，筹资活动现金流入减少</w:t>
      </w:r>
      <w:r>
        <w:rPr>
          <w:rFonts w:ascii="宋体" w:hAnsi="宋体" w:cs="宋体" w:eastAsia="宋体" w:hint="default"/>
          <w:spacing w:val="-2"/>
        </w:rPr>
        <w:t>629.42</w:t>
      </w:r>
      <w:r>
        <w:rPr>
          <w:spacing w:val="-2"/>
        </w:rPr>
        <w:t>万元，降幅</w:t>
      </w:r>
      <w:r>
        <w:rPr>
          <w:rFonts w:ascii="宋体" w:hAnsi="宋体" w:cs="宋体" w:eastAsia="宋体" w:hint="default"/>
          <w:spacing w:val="-2"/>
        </w:rPr>
        <w:t>99.84%</w:t>
      </w:r>
      <w:r>
        <w:rPr>
          <w:spacing w:val="-2"/>
        </w:rPr>
        <w:t>，主要是公司上年同期收到的代收代缴原始股东利润分配个</w:t>
      </w:r>
      <w:r>
        <w:rPr/>
        <w:t> </w:t>
      </w:r>
      <w:r>
        <w:rPr>
          <w:spacing w:val="-2"/>
        </w:rPr>
        <w:t>人所得税款项，在本报告期大幅下降所致；筹资活动现金流出减少</w:t>
      </w:r>
      <w:r>
        <w:rPr>
          <w:rFonts w:ascii="宋体" w:hAnsi="宋体" w:cs="宋体" w:eastAsia="宋体" w:hint="default"/>
          <w:spacing w:val="-2"/>
        </w:rPr>
        <w:t>556.25</w:t>
      </w:r>
      <w:r>
        <w:rPr>
          <w:spacing w:val="-2"/>
        </w:rPr>
        <w:t>万元，降幅</w:t>
      </w:r>
      <w:r>
        <w:rPr>
          <w:rFonts w:ascii="宋体" w:hAnsi="宋体" w:cs="宋体" w:eastAsia="宋体" w:hint="default"/>
          <w:spacing w:val="-2"/>
        </w:rPr>
        <w:t>38.59%</w:t>
      </w:r>
      <w:r>
        <w:rPr>
          <w:spacing w:val="-2"/>
        </w:rPr>
        <w:t>，主要由于公司在报告期内向全</w:t>
      </w:r>
      <w:r>
        <w:rPr>
          <w:spacing w:val="-55"/>
        </w:rPr>
        <w:t> </w:t>
      </w:r>
      <w:r>
        <w:rPr>
          <w:spacing w:val="-55"/>
        </w:rPr>
      </w:r>
      <w:r>
        <w:rPr/>
        <w:t>体股东派发了现金股利</w:t>
      </w:r>
      <w:r>
        <w:rPr>
          <w:rFonts w:ascii="宋体" w:hAnsi="宋体" w:cs="宋体" w:eastAsia="宋体" w:hint="default"/>
        </w:rPr>
        <w:t>606.65</w:t>
      </w:r>
      <w:r>
        <w:rPr/>
        <w:t>万元，比上年同期派发现金股利减少的原因。</w:t>
      </w:r>
    </w:p>
    <w:p>
      <w:pPr>
        <w:spacing w:after="0" w:line="477" w:lineRule="auto"/>
        <w:jc w:val="both"/>
        <w:sectPr>
          <w:pgSz w:w="11910" w:h="16840"/>
          <w:pgMar w:header="877" w:footer="979" w:top="1100" w:bottom="1160" w:left="980" w:right="940"/>
        </w:sectPr>
      </w:pPr>
    </w:p>
    <w:p>
      <w:pPr>
        <w:spacing w:line="240" w:lineRule="auto" w:before="11"/>
        <w:rPr>
          <w:rFonts w:ascii="宋体" w:hAnsi="宋体" w:cs="宋体" w:eastAsia="宋体" w:hint="default"/>
          <w:sz w:val="27"/>
          <w:szCs w:val="27"/>
        </w:rPr>
      </w:pPr>
    </w:p>
    <w:p>
      <w:pPr>
        <w:pStyle w:val="Heading4"/>
        <w:spacing w:line="240" w:lineRule="auto" w:before="44"/>
        <w:ind w:right="93"/>
        <w:jc w:val="left"/>
        <w:rPr>
          <w:b w:val="0"/>
          <w:bCs w:val="0"/>
        </w:rPr>
      </w:pPr>
      <w:r>
        <w:rPr/>
        <w:t>报告期内公司经营活动的现金流量与本年度净利润存在重大差异的原因说明</w:t>
      </w:r>
      <w:r>
        <w:rPr>
          <w:b w:val="0"/>
          <w:bCs w:val="0"/>
        </w:rPr>
      </w:r>
    </w:p>
    <w:p>
      <w:pPr>
        <w:spacing w:line="240" w:lineRule="auto" w:before="1"/>
        <w:rPr>
          <w:rFonts w:ascii="宋体" w:hAnsi="宋体" w:cs="宋体" w:eastAsia="宋体" w:hint="default"/>
          <w:b/>
          <w:bCs/>
          <w:sz w:val="21"/>
          <w:szCs w:val="21"/>
        </w:rPr>
      </w:pPr>
    </w:p>
    <w:p>
      <w:pPr>
        <w:pStyle w:val="BodyText"/>
        <w:spacing w:line="412" w:lineRule="auto"/>
        <w:ind w:left="513" w:right="29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报告期内，公司经营活动的现金流量较本年度净利增加</w:t>
      </w:r>
      <w:r>
        <w:rPr>
          <w:rFonts w:ascii="宋体" w:hAnsi="宋体" w:cs="宋体" w:eastAsia="宋体" w:hint="default"/>
        </w:rPr>
        <w:t>366.18</w:t>
      </w:r>
      <w:r>
        <w:rPr/>
        <w:t>万元，主要原因是：</w:t>
      </w:r>
    </w:p>
    <w:p>
      <w:pPr>
        <w:pStyle w:val="BodyText"/>
        <w:spacing w:line="477" w:lineRule="auto" w:before="103"/>
        <w:ind w:right="93" w:firstLine="360"/>
        <w:jc w:val="left"/>
      </w:pPr>
      <w:r>
        <w:rPr>
          <w:spacing w:val="-4"/>
        </w:rPr>
        <w:t>公司（包括新增并购子公司）计提坏账准备、长期资产摊销等非现金支出，形成了经营活动的现金支出与净利润的差异；</w:t>
      </w:r>
      <w:r>
        <w:rPr/>
        <w:t> </w:t>
      </w:r>
      <w:r>
        <w:rPr>
          <w:spacing w:val="-2"/>
        </w:rPr>
        <w:t>同时，报告期内公司并购亿美软通，其部分移动商务服务业务采用预收款的结算模式，合并报表后，增加了经营活动的现金</w:t>
      </w:r>
      <w:r>
        <w:rPr>
          <w:spacing w:val="-66"/>
        </w:rPr>
        <w:t> </w:t>
      </w:r>
      <w:r>
        <w:rPr>
          <w:spacing w:val="-66"/>
        </w:rPr>
      </w:r>
      <w:r>
        <w:rPr/>
        <w:t>流入所致。</w:t>
      </w:r>
    </w:p>
    <w:p>
      <w:pPr>
        <w:spacing w:line="240" w:lineRule="auto" w:before="1"/>
        <w:rPr>
          <w:rFonts w:ascii="宋体" w:hAnsi="宋体" w:cs="宋体" w:eastAsia="宋体" w:hint="default"/>
          <w:sz w:val="16"/>
          <w:szCs w:val="16"/>
        </w:rPr>
      </w:pPr>
    </w:p>
    <w:p>
      <w:pPr>
        <w:pStyle w:val="BodyText"/>
        <w:spacing w:line="415" w:lineRule="auto"/>
        <w:ind w:left="154" w:right="7382"/>
        <w:jc w:val="left"/>
      </w:pPr>
      <w:r>
        <w:rPr/>
        <w:pict>
          <v:shape style="position:absolute;margin-left:56.459999pt;margin-top:38.591736pt;width:479.2pt;height:40.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30,419,695.02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16.17%</w:t>
                        </w:r>
                      </w:p>
                    </w:tc>
                  </w:tr>
                </w:tbl>
                <w:p>
                  <w:pPr/>
                </w:p>
              </w:txbxContent>
            </v:textbox>
            <w10:wrap type="none"/>
          </v:shape>
        </w:pict>
      </w:r>
      <w:r>
        <w:rPr>
          <w:rFonts w:ascii="Times New Roman" w:hAnsi="Times New Roman" w:cs="Times New Roman" w:eastAsia="Times New Roman" w:hint="default"/>
        </w:rPr>
        <w:t>8</w:t>
      </w:r>
      <w:r>
        <w:rPr/>
        <w:t>）公司主要供应商、客户情况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left="154" w:right="93"/>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35,411,178.38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37.61%</w:t>
            </w:r>
          </w:p>
        </w:tc>
      </w:tr>
    </w:tbl>
    <w:p>
      <w:pPr>
        <w:pStyle w:val="BodyText"/>
        <w:spacing w:line="240" w:lineRule="auto" w:before="51"/>
        <w:ind w:left="154" w:right="93"/>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4"/>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22"/>
          <w:szCs w:val="22"/>
        </w:rPr>
      </w:pPr>
    </w:p>
    <w:p>
      <w:pPr>
        <w:spacing w:line="566" w:lineRule="auto" w:before="0"/>
        <w:ind w:left="154" w:right="2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）公司未来发展与规划延续至报告期的说明 </w:t>
      </w:r>
      <w:r>
        <w:rPr>
          <w:rFonts w:ascii="宋体" w:hAnsi="宋体" w:cs="宋体" w:eastAsia="宋体" w:hint="default"/>
          <w:b/>
          <w:bCs/>
          <w:w w:val="95"/>
          <w:sz w:val="18"/>
          <w:szCs w:val="18"/>
        </w:rPr>
        <w:t>首次公开发行招股说明书中披露的未来发展与规划在本报告期的实施情况</w:t>
      </w:r>
      <w:r>
        <w:rPr>
          <w:rFonts w:ascii="宋体" w:hAnsi="宋体" w:cs="宋体" w:eastAsia="宋体" w:hint="default"/>
          <w:sz w:val="18"/>
          <w:szCs w:val="18"/>
        </w:rPr>
      </w:r>
    </w:p>
    <w:p>
      <w:pPr>
        <w:spacing w:line="489" w:lineRule="auto" w:before="31"/>
        <w:ind w:left="153" w:right="54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前期披露的发展战略和经营计划在报告期内的进展情况</w:t>
      </w:r>
      <w:r>
        <w:rPr>
          <w:rFonts w:ascii="宋体" w:hAnsi="宋体" w:cs="宋体" w:eastAsia="宋体" w:hint="default"/>
          <w:sz w:val="18"/>
          <w:szCs w:val="18"/>
        </w:rPr>
      </w:r>
    </w:p>
    <w:p>
      <w:pPr>
        <w:spacing w:line="240" w:lineRule="auto" w:before="8"/>
        <w:rPr>
          <w:rFonts w:ascii="宋体" w:hAnsi="宋体" w:cs="宋体" w:eastAsia="宋体" w:hint="default"/>
          <w:b/>
          <w:bCs/>
          <w:sz w:val="12"/>
          <w:szCs w:val="12"/>
        </w:rPr>
      </w:pPr>
    </w:p>
    <w:p>
      <w:pPr>
        <w:pStyle w:val="BodyText"/>
        <w:spacing w:line="477" w:lineRule="auto"/>
        <w:ind w:right="191" w:firstLine="360"/>
        <w:jc w:val="both"/>
      </w:pPr>
      <w:r>
        <w:rPr>
          <w:spacing w:val="-2"/>
        </w:rPr>
        <w:t>公司</w:t>
      </w:r>
      <w:r>
        <w:rPr>
          <w:rFonts w:ascii="宋体" w:hAnsi="宋体" w:cs="宋体" w:eastAsia="宋体" w:hint="default"/>
          <w:spacing w:val="-2"/>
        </w:rPr>
        <w:t>2013</w:t>
      </w:r>
      <w:r>
        <w:rPr>
          <w:spacing w:val="-2"/>
        </w:rPr>
        <w:t>年度报告中披露了本报告期内公司将坚持既定发展战略，专注于金融信息化领域，并在我国深化金融改革的政</w:t>
      </w:r>
      <w:r>
        <w:rPr/>
        <w:t> 策背景下，充分发挥公司积累的行业竞争优势，积极探索和发展创新金融信息化业务。</w:t>
      </w:r>
    </w:p>
    <w:p>
      <w:pPr>
        <w:pStyle w:val="BodyText"/>
        <w:spacing w:line="477" w:lineRule="auto" w:before="54"/>
        <w:ind w:right="191" w:firstLine="360"/>
        <w:jc w:val="both"/>
      </w:pPr>
      <w:r>
        <w:rPr>
          <w:spacing w:val="-2"/>
        </w:rPr>
        <w:t>报告期内，公司按照既定的发展战略和年度经营计划，在做好公司金融信息化领域主体业务的基础上，积极探索，把握</w:t>
      </w:r>
      <w:r>
        <w:rPr/>
        <w:t> 市场机遇，将公司业务向移动互联网、互联网金融等新兴产业领域进行延伸拓展，稳步开展各项工作。</w:t>
      </w:r>
    </w:p>
    <w:p>
      <w:pPr>
        <w:pStyle w:val="BodyText"/>
        <w:spacing w:line="477" w:lineRule="auto" w:before="54"/>
        <w:ind w:left="154" w:right="191" w:firstLine="360"/>
        <w:jc w:val="both"/>
      </w:pPr>
      <w:r>
        <w:rPr/>
        <w:t>（</w:t>
      </w:r>
      <w:r>
        <w:rPr>
          <w:rFonts w:ascii="宋体" w:hAnsi="宋体" w:cs="宋体" w:eastAsia="宋体" w:hint="default"/>
        </w:rPr>
        <w:t>1</w:t>
      </w:r>
      <w:r>
        <w:rPr/>
        <w:t>）新产品市场推广计划。报告期内，公司立足于传统优势产品领域，紧密围绕行业热点、市场需求进行深度挖掘和 </w:t>
      </w:r>
      <w:r>
        <w:rPr>
          <w:spacing w:val="-2"/>
        </w:rPr>
        <w:t>创新，持续落实新产品开发和市场推广计划，推动公司主营业务业绩提升。目前，公司重点新产品印章智能控制机已经在中</w:t>
      </w:r>
      <w:r>
        <w:rPr>
          <w:spacing w:val="-66"/>
        </w:rPr>
        <w:t> </w:t>
      </w:r>
      <w:r>
        <w:rPr>
          <w:spacing w:val="-66"/>
        </w:rPr>
      </w:r>
      <w:r>
        <w:rPr/>
        <w:t>国民生银行、中国农业银行、光大银行、兴业银行、成都银行等银行取得了招标入围或上线应用，市场推广成果良好。</w:t>
      </w:r>
    </w:p>
    <w:p>
      <w:pPr>
        <w:pStyle w:val="BodyText"/>
        <w:spacing w:line="477" w:lineRule="auto" w:before="54"/>
        <w:ind w:left="154" w:right="201" w:firstLine="360"/>
        <w:jc w:val="both"/>
      </w:pPr>
      <w:r>
        <w:rPr/>
        <w:t>（</w:t>
      </w:r>
      <w:r>
        <w:rPr>
          <w:rFonts w:ascii="宋体" w:hAnsi="宋体" w:cs="宋体" w:eastAsia="宋体" w:hint="default"/>
        </w:rPr>
        <w:t>2</w:t>
      </w:r>
      <w:r>
        <w:rPr/>
        <w:t>）流程银行软件业务发展计划。报告期内，公司继续大力推进流程银行软件业务的发展，在细化梳理银行业务流程 的过程中发现业务操作风险点，在丰富流程银行产品线方面取得了新的成果。</w:t>
      </w:r>
    </w:p>
    <w:p>
      <w:pPr>
        <w:spacing w:after="0" w:line="477" w:lineRule="auto"/>
        <w:jc w:val="both"/>
        <w:sectPr>
          <w:pgSz w:w="11910" w:h="16840"/>
          <w:pgMar w:header="877" w:footer="979" w:top="1100" w:bottom="116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93" w:firstLine="360"/>
        <w:jc w:val="left"/>
      </w:pPr>
      <w:r>
        <w:rPr/>
        <w:t>（</w:t>
      </w:r>
      <w:r>
        <w:rPr>
          <w:rFonts w:ascii="宋体" w:hAnsi="宋体" w:cs="宋体" w:eastAsia="宋体" w:hint="default"/>
        </w:rPr>
        <w:t>3</w:t>
      </w:r>
      <w:r>
        <w:rPr/>
        <w:t>）支票金融服务业务计划。报告期内，公司与深圳联合金融服务集团有限公司合资的票联金融公司顺利完成了“票 联通”项目的技术开发和上线运行。目前“票联通”业务已经在深圳地区的</w:t>
      </w:r>
      <w:r>
        <w:rPr>
          <w:rFonts w:ascii="宋体" w:hAnsi="宋体" w:cs="宋体" w:eastAsia="宋体" w:hint="default"/>
        </w:rPr>
        <w:t>30</w:t>
      </w:r>
      <w:r>
        <w:rPr/>
        <w:t>余个银行网点正式开通运行，市场反映良好， 为该项业务的后续市场推广奠定了基础。</w:t>
      </w:r>
    </w:p>
    <w:p>
      <w:pPr>
        <w:pStyle w:val="BodyText"/>
        <w:spacing w:line="477" w:lineRule="auto" w:before="54"/>
        <w:ind w:right="191" w:firstLine="360"/>
        <w:jc w:val="both"/>
      </w:pPr>
      <w:r>
        <w:rPr/>
        <w:t>（</w:t>
      </w:r>
      <w:r>
        <w:rPr>
          <w:rFonts w:ascii="宋体" w:hAnsi="宋体" w:cs="宋体" w:eastAsia="宋体" w:hint="default"/>
        </w:rPr>
        <w:t>4</w:t>
      </w:r>
      <w:r>
        <w:rPr/>
        <w:t>）征信服务业务发展计划。报告期内，公司发起设立的华道征信积极准备个人征信业务牌照申请方面的工作。</w:t>
      </w:r>
      <w:r>
        <w:rPr>
          <w:rFonts w:ascii="宋体" w:hAnsi="宋体" w:cs="宋体" w:eastAsia="宋体" w:hint="default"/>
        </w:rPr>
        <w:t>2015 </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5</w:t>
      </w:r>
      <w:r>
        <w:rPr>
          <w:spacing w:val="-2"/>
        </w:rPr>
        <w:t>日，华道征信被中国人民银行列入“开展个人征信业务准备工作的机构名单”，是公司发展个人征信业务取得的重要</w:t>
      </w:r>
      <w:r>
        <w:rPr>
          <w:spacing w:val="-64"/>
        </w:rPr>
        <w:t> </w:t>
      </w:r>
      <w:r>
        <w:rPr>
          <w:spacing w:val="-64"/>
        </w:rPr>
      </w:r>
      <w:r>
        <w:rPr/>
        <w:t>进展。目前华道征信正按照中国人民银行的要求，积极推进并做好个人征信业务的准备工作。</w:t>
      </w:r>
    </w:p>
    <w:p>
      <w:pPr>
        <w:pStyle w:val="BodyText"/>
        <w:spacing w:line="477" w:lineRule="auto" w:before="54"/>
        <w:ind w:right="191" w:firstLine="360"/>
        <w:jc w:val="both"/>
      </w:pPr>
      <w:r>
        <w:rPr/>
        <w:t>（</w:t>
      </w:r>
      <w:r>
        <w:rPr>
          <w:rFonts w:ascii="宋体" w:hAnsi="宋体" w:cs="宋体" w:eastAsia="宋体" w:hint="default"/>
        </w:rPr>
        <w:t>5</w:t>
      </w:r>
      <w:r>
        <w:rPr/>
        <w:t>）并购或投资计划。报告期内，公司通过实施重大资产重组，以发行股份的方式收购了北京亿美软通科技有限公司 </w:t>
      </w:r>
      <w:r>
        <w:rPr>
          <w:spacing w:val="-2"/>
        </w:rPr>
        <w:t>的</w:t>
      </w:r>
      <w:r>
        <w:rPr>
          <w:rFonts w:ascii="宋体" w:hAnsi="宋体" w:cs="宋体" w:eastAsia="宋体" w:hint="default"/>
          <w:spacing w:val="-2"/>
        </w:rPr>
        <w:t>100%</w:t>
      </w:r>
      <w:r>
        <w:rPr>
          <w:spacing w:val="-2"/>
        </w:rPr>
        <w:t>股权，亿美软通成为本公司的全资子公司。同年，公司以增资收购的形式，取得了以经营家居安防产品的跨境电商为</w:t>
      </w:r>
      <w:r>
        <w:rPr>
          <w:spacing w:val="-62"/>
        </w:rPr>
        <w:t> </w:t>
      </w:r>
      <w:r>
        <w:rPr>
          <w:spacing w:val="-62"/>
        </w:rPr>
      </w:r>
      <w:r>
        <w:rPr/>
        <w:t>主要业务的深圳市科安数字有限公司</w:t>
      </w:r>
      <w:r>
        <w:rPr>
          <w:rFonts w:ascii="宋体" w:hAnsi="宋体" w:cs="宋体" w:eastAsia="宋体" w:hint="default"/>
        </w:rPr>
        <w:t>51%</w:t>
      </w:r>
      <w:r>
        <w:rPr/>
        <w:t>的控股权，科安数字成为本公司的控股子公司。上述收购和投资计划实施后，使公 司业务领域进一步拓宽，经营业绩得到显著提升，并和公司其他战略规划业务形成了良好的协同效应。</w:t>
      </w:r>
    </w:p>
    <w:p>
      <w:pPr>
        <w:spacing w:line="240" w:lineRule="auto" w:before="4"/>
        <w:rPr>
          <w:rFonts w:ascii="宋体" w:hAnsi="宋体" w:cs="宋体" w:eastAsia="宋体" w:hint="default"/>
          <w:sz w:val="13"/>
          <w:szCs w:val="13"/>
        </w:rPr>
      </w:pPr>
    </w:p>
    <w:p>
      <w:pPr>
        <w:pStyle w:val="Heading4"/>
        <w:spacing w:line="240" w:lineRule="auto"/>
        <w:ind w:right="93"/>
        <w:jc w:val="left"/>
        <w:rPr>
          <w:b w:val="0"/>
          <w:bCs w:val="0"/>
        </w:rPr>
      </w:pPr>
      <w:r>
        <w:rPr/>
        <w:t>公司实际经营业绩较曾公开披露过的本年度盈利预测低于或高于</w:t>
      </w:r>
      <w:r>
        <w:rPr>
          <w:spacing w:val="-52"/>
        </w:rPr>
        <w:t> </w:t>
      </w:r>
      <w:r>
        <w:rPr>
          <w:rFonts w:ascii="Times New Roman" w:hAnsi="Times New Roman" w:cs="Times New Roman" w:eastAsia="Times New Roman" w:hint="default"/>
        </w:rPr>
        <w:t>20%</w:t>
      </w:r>
      <w:r>
        <w:rPr/>
        <w:t>以上的差异原因</w:t>
      </w:r>
      <w:r>
        <w:rPr>
          <w:b w:val="0"/>
          <w:bCs w:val="0"/>
        </w:rPr>
      </w:r>
    </w:p>
    <w:p>
      <w:pPr>
        <w:spacing w:line="240" w:lineRule="auto" w:before="0"/>
        <w:rPr>
          <w:rFonts w:ascii="宋体" w:hAnsi="宋体" w:cs="宋体" w:eastAsia="宋体" w:hint="default"/>
          <w:b/>
          <w:bCs/>
          <w:sz w:val="20"/>
          <w:szCs w:val="20"/>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3"/>
        <w:jc w:val="left"/>
        <w:rPr>
          <w:b w:val="0"/>
          <w:bCs w:val="0"/>
        </w:rPr>
      </w:pPr>
      <w:bookmarkStart w:name="（2）主营业务分部报告" w:id="24"/>
      <w:bookmarkEnd w:id="24"/>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right="93"/>
        <w:jc w:val="left"/>
      </w:pPr>
      <w:r>
        <w:rPr>
          <w:rFonts w:ascii="Times New Roman" w:hAnsi="Times New Roman" w:cs="Times New Roman" w:eastAsia="Times New Roman" w:hint="default"/>
        </w:rPr>
        <w:t>1</w:t>
      </w:r>
      <w:r>
        <w:rPr/>
        <w:t>）报告期主营业务收入及主营业务利润的构成</w:t>
      </w:r>
    </w:p>
    <w:p>
      <w:pPr>
        <w:spacing w:line="240" w:lineRule="auto" w:before="11"/>
        <w:rPr>
          <w:rFonts w:ascii="宋体" w:hAnsi="宋体" w:cs="宋体" w:eastAsia="宋体" w:hint="default"/>
          <w:sz w:val="13"/>
          <w:szCs w:val="13"/>
        </w:rPr>
      </w:pPr>
    </w:p>
    <w:p>
      <w:pPr>
        <w:pStyle w:val="BodyText"/>
        <w:spacing w:line="240" w:lineRule="auto"/>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106,864,838.10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51,189,813.13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73,186,559.72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38,986,762.46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8,149,663.79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3,862,326.10</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78,174,510.67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43,872,245.11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28,690,327.43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7,317,568.02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短彩信通讯服务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54,050,005.70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22,587,087.30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移动互联网应用服务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19,136,554.02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16,399,675.16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8,149,663.79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3,862,326.10</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181,676,999.68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91,186,601.64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6,524,061.93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2,852,300.05</w:t>
            </w:r>
          </w:p>
        </w:tc>
      </w:tr>
    </w:tbl>
    <w:p>
      <w:pPr>
        <w:spacing w:line="240" w:lineRule="auto" w:before="8"/>
        <w:rPr>
          <w:rFonts w:ascii="宋体" w:hAnsi="宋体" w:cs="宋体" w:eastAsia="宋体" w:hint="default"/>
          <w:sz w:val="12"/>
          <w:szCs w:val="12"/>
        </w:rPr>
      </w:pPr>
    </w:p>
    <w:p>
      <w:pPr>
        <w:pStyle w:val="BodyText"/>
        <w:spacing w:line="240" w:lineRule="auto" w:before="44"/>
        <w:ind w:left="154" w:right="93"/>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spacing w:after="0" w:line="240" w:lineRule="auto"/>
        <w:jc w:val="left"/>
        <w:sectPr>
          <w:pgSz w:w="11910" w:h="16840"/>
          <w:pgMar w:header="877" w:footer="979" w:top="1100" w:bottom="1160" w:left="980" w:right="94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106,864,838.10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55,675,024.97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73,186,559.72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34,199,797.26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8,149,663.79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4,287,337.69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78,174,510.67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34,302,265.56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28,690,327.43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21,372,759.41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短彩信通讯服务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54,050,005.70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31,462,918.40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移动互联网应用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19,136,554.02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2,736,878.86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8,149,663.79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4,287,337.69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181,676,999.68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90,490,398.04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6,524,061.93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3,671,761.88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2"/>
          <w:szCs w:val="12"/>
        </w:rPr>
      </w:pPr>
    </w:p>
    <w:p>
      <w:pPr>
        <w:pStyle w:val="BodyText"/>
        <w:spacing w:line="240" w:lineRule="auto" w:before="44"/>
        <w:ind w:left="154"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spacing w:line="240" w:lineRule="auto" w:before="5"/>
        <w:rPr>
          <w:rFonts w:ascii="宋体" w:hAnsi="宋体" w:cs="宋体" w:eastAsia="宋体" w:hint="default"/>
          <w:sz w:val="10"/>
          <w:szCs w:val="10"/>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9"/>
        <w:gridCol w:w="991"/>
        <w:gridCol w:w="992"/>
        <w:gridCol w:w="994"/>
        <w:gridCol w:w="991"/>
        <w:gridCol w:w="992"/>
        <w:gridCol w:w="993"/>
        <w:gridCol w:w="851"/>
        <w:gridCol w:w="709"/>
        <w:gridCol w:w="638"/>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1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2"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107,517,941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98,397,141.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94,463,450.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49,958,656.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45,978,891.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41,836,653.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55.71%</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移动商务服务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81,693,612.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78,979,904.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62,572,403.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32,674,608.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33,737,323.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18,289,527.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70.77%</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25,824,329.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19,417,236.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31,891,047.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17,284,048.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12,241,568.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23,547,125.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26.16%</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短彩信通讯服务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移动互联网应用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19"/>
        <w:gridCol w:w="991"/>
        <w:gridCol w:w="992"/>
        <w:gridCol w:w="994"/>
        <w:gridCol w:w="991"/>
        <w:gridCol w:w="992"/>
        <w:gridCol w:w="993"/>
        <w:gridCol w:w="851"/>
        <w:gridCol w:w="709"/>
        <w:gridCol w:w="638"/>
      </w:tblGrid>
      <w:tr>
        <w:trPr>
          <w:trHeight w:val="36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107,517,941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98,397,141.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94,463,450.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49,958,656.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45,978,891.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41,836,653.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55.71%</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3）资产、负债状况分析" w:id="25"/>
      <w:bookmarkEnd w:id="25"/>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15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44"/>
        <w:ind w:left="0" w:right="169"/>
        <w:jc w:val="right"/>
      </w:pPr>
      <w:r>
        <w:rPr/>
        <w:pict>
          <v:shape style="position:absolute;margin-left:57.029999pt;margin-top:-306.748291pt;width:478.65pt;height:483.0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53"/>
                    <w:gridCol w:w="1004"/>
                    <w:gridCol w:w="851"/>
                    <w:gridCol w:w="993"/>
                    <w:gridCol w:w="851"/>
                    <w:gridCol w:w="850"/>
                    <w:gridCol w:w="3758"/>
                  </w:tblGrid>
                  <w:tr>
                    <w:trPr>
                      <w:trHeight w:val="380" w:hRule="exact"/>
                    </w:trPr>
                    <w:tc>
                      <w:tcPr>
                        <w:tcW w:w="1253"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44"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5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75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253" w:type="dxa"/>
                        <w:vMerge w:val="restart"/>
                        <w:tcBorders>
                          <w:top w:val="single" w:sz="14" w:space="0" w:color="FFFFFF"/>
                          <w:left w:val="single" w:sz="4" w:space="0" w:color="000000"/>
                          <w:right w:val="single" w:sz="4" w:space="0" w:color="000000"/>
                        </w:tcBorders>
                        <w:shd w:val="clear" w:color="auto" w:fill="D2D2D2"/>
                      </w:tcPr>
                      <w:p>
                        <w:pPr/>
                      </w:p>
                    </w:tc>
                    <w:tc>
                      <w:tcPr>
                        <w:tcW w:w="1004" w:type="dxa"/>
                        <w:tcBorders>
                          <w:top w:val="single" w:sz="14" w:space="0" w:color="FFFFFF"/>
                          <w:left w:val="single" w:sz="4" w:space="0" w:color="000000"/>
                          <w:bottom w:val="nil" w:sz="6" w:space="0" w:color="auto"/>
                          <w:right w:val="single" w:sz="4" w:space="0" w:color="000000"/>
                        </w:tcBorders>
                        <w:shd w:val="clear" w:color="auto" w:fill="D2D2D2"/>
                      </w:tcPr>
                      <w:p>
                        <w:pPr/>
                      </w:p>
                    </w:tc>
                    <w:tc>
                      <w:tcPr>
                        <w:tcW w:w="85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93" w:type="dxa"/>
                        <w:tcBorders>
                          <w:top w:val="single" w:sz="14" w:space="0" w:color="FFFFFF"/>
                          <w:left w:val="single" w:sz="4" w:space="0" w:color="000000"/>
                          <w:bottom w:val="nil" w:sz="6" w:space="0" w:color="auto"/>
                          <w:right w:val="single" w:sz="4" w:space="0" w:color="000000"/>
                        </w:tcBorders>
                        <w:shd w:val="clear" w:color="auto" w:fill="D2D2D2"/>
                      </w:tcPr>
                      <w:p>
                        <w:pPr/>
                      </w:p>
                    </w:tc>
                    <w:tc>
                      <w:tcPr>
                        <w:tcW w:w="85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75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tcBorders>
                          <w:left w:val="single" w:sz="4" w:space="0" w:color="000000"/>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75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375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3758" w:type="dxa"/>
                        <w:vMerge/>
                        <w:tcBorders>
                          <w:left w:val="single" w:sz="4" w:space="0" w:color="000000"/>
                          <w:bottom w:val="single" w:sz="4" w:space="0" w:color="000000"/>
                          <w:right w:val="single" w:sz="4" w:space="0" w:color="000000"/>
                        </w:tcBorders>
                        <w:shd w:val="clear" w:color="auto" w:fill="D2D2D2"/>
                      </w:tcPr>
                      <w:p>
                        <w:pPr/>
                      </w:p>
                    </w:tc>
                  </w:tr>
                  <w:tr>
                    <w:trPr>
                      <w:trHeight w:val="589"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345,044,566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35.82%</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295,732,521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55.27%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-19.45%</w:t>
                        </w:r>
                      </w:p>
                    </w:tc>
                    <w:tc>
                      <w:tcPr>
                        <w:tcW w:w="3758" w:type="dxa"/>
                        <w:vMerge w:val="restart"/>
                        <w:tcBorders>
                          <w:top w:val="single" w:sz="4" w:space="0" w:color="000000"/>
                          <w:left w:val="single" w:sz="4" w:space="0" w:color="000000"/>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主要原因系公司并购亿美软通引起期末货币资 </w:t>
                        </w:r>
                        <w:r>
                          <w:rPr>
                            <w:rFonts w:ascii="宋体" w:hAnsi="宋体" w:cs="宋体" w:eastAsia="宋体" w:hint="default"/>
                            <w:spacing w:val="-4"/>
                            <w:sz w:val="18"/>
                            <w:szCs w:val="18"/>
                          </w:rPr>
                          <w:t>金的增加，而公司对外投资、派发现金股利、回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购股权激励投资款和研发项目的投入以及并购 </w:t>
                        </w:r>
                        <w:r>
                          <w:rPr>
                            <w:rFonts w:ascii="宋体" w:hAnsi="宋体" w:cs="宋体" w:eastAsia="宋体" w:hint="default"/>
                            <w:spacing w:val="-4"/>
                            <w:sz w:val="18"/>
                            <w:szCs w:val="18"/>
                          </w:rPr>
                          <w:t>亿美软通货币资金占合并成本比重较低，造成货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币资金比重降低。</w:t>
                        </w:r>
                      </w:p>
                    </w:tc>
                  </w:tr>
                  <w:tr>
                    <w:trPr>
                      <w:trHeight w:val="39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04"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588"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278"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174,536,753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Times New Roman" w:hAnsi="Times New Roman" w:cs="Times New Roman" w:eastAsia="Times New Roman" w:hint="default"/>
                            <w:sz w:val="18"/>
                            <w:szCs w:val="18"/>
                          </w:rPr>
                        </w:pPr>
                        <w:r>
                          <w:rPr>
                            <w:rFonts w:ascii="Times New Roman"/>
                            <w:sz w:val="18"/>
                          </w:rPr>
                          <w:t>18.12%</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91,468,105.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Times New Roman" w:hAnsi="Times New Roman" w:cs="Times New Roman" w:eastAsia="Times New Roman" w:hint="default"/>
                            <w:sz w:val="18"/>
                            <w:szCs w:val="18"/>
                          </w:rPr>
                        </w:pPr>
                        <w:r>
                          <w:rPr>
                            <w:rFonts w:ascii="Times New Roman"/>
                            <w:sz w:val="18"/>
                          </w:rPr>
                          <w:t>17.09%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2" w:right="0"/>
                          <w:jc w:val="left"/>
                          <w:rPr>
                            <w:rFonts w:ascii="Times New Roman" w:hAnsi="Times New Roman" w:cs="Times New Roman" w:eastAsia="Times New Roman" w:hint="default"/>
                            <w:sz w:val="18"/>
                            <w:szCs w:val="18"/>
                          </w:rPr>
                        </w:pPr>
                        <w:r>
                          <w:rPr>
                            <w:rFonts w:ascii="Times New Roman"/>
                            <w:sz w:val="18"/>
                          </w:rPr>
                          <w:t>1.03%</w:t>
                        </w:r>
                      </w:p>
                    </w:tc>
                    <w:tc>
                      <w:tcPr>
                        <w:tcW w:w="3758" w:type="dxa"/>
                        <w:vMerge w:val="restart"/>
                        <w:tcBorders>
                          <w:top w:val="single" w:sz="4" w:space="0" w:color="000000"/>
                          <w:left w:val="single" w:sz="4" w:space="0" w:color="000000"/>
                          <w:right w:val="single" w:sz="4" w:space="0" w:color="000000"/>
                        </w:tcBorders>
                      </w:tcPr>
                      <w:p>
                        <w:pPr>
                          <w:pStyle w:val="TableParagraph"/>
                          <w:spacing w:line="316" w:lineRule="auto" w:before="12"/>
                          <w:ind w:left="23" w:right="123"/>
                          <w:jc w:val="both"/>
                          <w:rPr>
                            <w:rFonts w:ascii="宋体" w:hAnsi="宋体" w:cs="宋体" w:eastAsia="宋体" w:hint="default"/>
                            <w:sz w:val="18"/>
                            <w:szCs w:val="18"/>
                          </w:rPr>
                        </w:pPr>
                        <w:r>
                          <w:rPr>
                            <w:rFonts w:ascii="宋体" w:hAnsi="宋体" w:cs="宋体" w:eastAsia="宋体" w:hint="default"/>
                            <w:sz w:val="18"/>
                            <w:szCs w:val="18"/>
                          </w:rPr>
                          <w:t>主要原因系公司并购亿美软通引起期末历年短 彩信通讯服务等后付费用客户应收款项的增加 所致。</w:t>
                        </w:r>
                      </w:p>
                    </w:tc>
                  </w:tr>
                  <w:tr>
                    <w:trPr>
                      <w:trHeight w:val="39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04"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277"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277"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33,558,835.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3" w:right="0"/>
                          <w:jc w:val="left"/>
                          <w:rPr>
                            <w:rFonts w:ascii="Times New Roman" w:hAnsi="Times New Roman" w:cs="Times New Roman" w:eastAsia="Times New Roman" w:hint="default"/>
                            <w:sz w:val="18"/>
                            <w:szCs w:val="18"/>
                          </w:rPr>
                        </w:pPr>
                        <w:r>
                          <w:rPr>
                            <w:rFonts w:ascii="Times New Roman"/>
                            <w:sz w:val="18"/>
                          </w:rPr>
                          <w:t>3.48%</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13,340,520.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3" w:right="0"/>
                          <w:jc w:val="left"/>
                          <w:rPr>
                            <w:rFonts w:ascii="Times New Roman" w:hAnsi="Times New Roman" w:cs="Times New Roman" w:eastAsia="Times New Roman" w:hint="default"/>
                            <w:sz w:val="18"/>
                            <w:szCs w:val="18"/>
                          </w:rPr>
                        </w:pPr>
                        <w:r>
                          <w:rPr>
                            <w:rFonts w:ascii="Times New Roman"/>
                            <w:sz w:val="18"/>
                          </w:rPr>
                          <w:t>2.49%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2" w:right="0"/>
                          <w:jc w:val="left"/>
                          <w:rPr>
                            <w:rFonts w:ascii="Times New Roman" w:hAnsi="Times New Roman" w:cs="Times New Roman" w:eastAsia="Times New Roman" w:hint="default"/>
                            <w:sz w:val="18"/>
                            <w:szCs w:val="18"/>
                          </w:rPr>
                        </w:pPr>
                        <w:r>
                          <w:rPr>
                            <w:rFonts w:ascii="Times New Roman"/>
                            <w:sz w:val="18"/>
                          </w:rPr>
                          <w:t>0.99%</w:t>
                        </w:r>
                      </w:p>
                    </w:tc>
                    <w:tc>
                      <w:tcPr>
                        <w:tcW w:w="3758" w:type="dxa"/>
                        <w:vMerge w:val="restart"/>
                        <w:tcBorders>
                          <w:top w:val="single" w:sz="4" w:space="0" w:color="000000"/>
                          <w:left w:val="single" w:sz="4" w:space="0" w:color="000000"/>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4"/>
                            <w:sz w:val="18"/>
                            <w:szCs w:val="18"/>
                          </w:rPr>
                          <w:t>主要原因系公司并购亿美软通、科安数字引起期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末历年移动终端产品、电子商务商品的增加所 致。</w:t>
                        </w:r>
                      </w:p>
                    </w:tc>
                  </w:tr>
                  <w:tr>
                    <w:trPr>
                      <w:trHeight w:val="391"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04"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277"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41,705,249.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4.33%</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42,863,094.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8.01%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-3.68%</w:t>
                        </w:r>
                      </w:p>
                    </w:tc>
                    <w:tc>
                      <w:tcPr>
                        <w:tcW w:w="3758" w:type="dxa"/>
                        <w:vMerge w:val="restart"/>
                        <w:tcBorders>
                          <w:top w:val="single" w:sz="4" w:space="0" w:color="000000"/>
                          <w:left w:val="single" w:sz="4" w:space="0" w:color="000000"/>
                          <w:right w:val="single" w:sz="4" w:space="0" w:color="000000"/>
                        </w:tcBorders>
                      </w:tcPr>
                      <w:p>
                        <w:pP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04"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162"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26,098,078.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2.71%</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24,897,990.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4.65%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-1.94%</w:t>
                        </w:r>
                      </w:p>
                    </w:tc>
                    <w:tc>
                      <w:tcPr>
                        <w:tcW w:w="375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主要原因系对外新增两家联营公司的投资。</w:t>
                        </w: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04"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8,361,898.9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0.87%</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6,009,551.9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1.12%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-0.25%</w:t>
                        </w:r>
                      </w:p>
                    </w:tc>
                    <w:tc>
                      <w:tcPr>
                        <w:tcW w:w="3758" w:type="dxa"/>
                        <w:vMerge w:val="restart"/>
                        <w:tcBorders>
                          <w:top w:val="single" w:sz="4" w:space="0" w:color="000000"/>
                          <w:left w:val="single" w:sz="4" w:space="0" w:color="000000"/>
                          <w:right w:val="single" w:sz="4" w:space="0" w:color="000000"/>
                        </w:tcBorders>
                      </w:tcPr>
                      <w:p>
                        <w:pPr>
                          <w:pStyle w:val="TableParagraph"/>
                          <w:spacing w:line="316" w:lineRule="auto" w:before="10"/>
                          <w:ind w:left="23" w:right="123"/>
                          <w:jc w:val="left"/>
                          <w:rPr>
                            <w:rFonts w:ascii="宋体" w:hAnsi="宋体" w:cs="宋体" w:eastAsia="宋体" w:hint="default"/>
                            <w:sz w:val="18"/>
                            <w:szCs w:val="18"/>
                          </w:rPr>
                        </w:pPr>
                        <w:r>
                          <w:rPr>
                            <w:rFonts w:ascii="宋体" w:hAnsi="宋体" w:cs="宋体" w:eastAsia="宋体" w:hint="default"/>
                            <w:sz w:val="18"/>
                            <w:szCs w:val="18"/>
                          </w:rPr>
                          <w:t>主要原因系公司固定资产设备的投入小于计提 折旧金额，及并购亿美软通固定资产增加所致</w:t>
                        </w: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04"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735,926.00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0.08%</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0.08%</w:t>
                        </w:r>
                      </w:p>
                    </w:tc>
                    <w:tc>
                      <w:tcPr>
                        <w:tcW w:w="3758" w:type="dxa"/>
                        <w:vMerge w:val="restart"/>
                        <w:tcBorders>
                          <w:top w:val="single" w:sz="4" w:space="0" w:color="000000"/>
                          <w:left w:val="single" w:sz="4" w:space="0" w:color="000000"/>
                          <w:right w:val="single" w:sz="4" w:space="0" w:color="000000"/>
                        </w:tcBorders>
                      </w:tcPr>
                      <w:p>
                        <w:pPr>
                          <w:pStyle w:val="TableParagraph"/>
                          <w:spacing w:line="316" w:lineRule="auto" w:before="10"/>
                          <w:ind w:left="23" w:right="123"/>
                          <w:jc w:val="left"/>
                          <w:rPr>
                            <w:rFonts w:ascii="宋体" w:hAnsi="宋体" w:cs="宋体" w:eastAsia="宋体" w:hint="default"/>
                            <w:sz w:val="18"/>
                            <w:szCs w:val="18"/>
                          </w:rPr>
                        </w:pPr>
                        <w:r>
                          <w:rPr>
                            <w:rFonts w:ascii="宋体" w:hAnsi="宋体" w:cs="宋体" w:eastAsia="宋体" w:hint="default"/>
                            <w:sz w:val="18"/>
                            <w:szCs w:val="18"/>
                          </w:rPr>
                          <w:t>主要原因系公司购置尚未达到预定可使用状态 的毛坯房产增加所致。</w:t>
                        </w: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04"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12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3"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308,000.00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0.03%</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0.03%</w:t>
                        </w:r>
                      </w:p>
                    </w:tc>
                    <w:tc>
                      <w:tcPr>
                        <w:tcW w:w="3758" w:type="dxa"/>
                        <w:vMerge w:val="restart"/>
                        <w:tcBorders>
                          <w:top w:val="single" w:sz="4" w:space="0" w:color="000000"/>
                          <w:left w:val="single" w:sz="4" w:space="0" w:color="000000"/>
                          <w:right w:val="single" w:sz="4" w:space="0" w:color="000000"/>
                        </w:tcBorders>
                      </w:tcPr>
                      <w:p>
                        <w:pPr>
                          <w:pStyle w:val="TableParagraph"/>
                          <w:spacing w:line="316" w:lineRule="auto" w:before="11"/>
                          <w:ind w:left="23" w:right="123"/>
                          <w:jc w:val="left"/>
                          <w:rPr>
                            <w:rFonts w:ascii="宋体" w:hAnsi="宋体" w:cs="宋体" w:eastAsia="宋体" w:hint="default"/>
                            <w:sz w:val="18"/>
                            <w:szCs w:val="18"/>
                          </w:rPr>
                        </w:pPr>
                        <w:r>
                          <w:rPr>
                            <w:rFonts w:ascii="宋体" w:hAnsi="宋体" w:cs="宋体" w:eastAsia="宋体" w:hint="default"/>
                            <w:sz w:val="18"/>
                            <w:szCs w:val="18"/>
                          </w:rPr>
                          <w:t>主要原因系公司期末收到银行承兑汇票的增加 所致。</w:t>
                        </w:r>
                      </w:p>
                    </w:tc>
                  </w:tr>
                  <w:tr>
                    <w:trPr>
                      <w:trHeight w:val="514"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04" w:type="dxa"/>
                        <w:vMerge/>
                        <w:tcBorders>
                          <w:left w:val="single" w:sz="13"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317"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45,987,536.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4.77%</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8,076,300.6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1.51%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3.26%</w:t>
                        </w:r>
                      </w:p>
                    </w:tc>
                    <w:tc>
                      <w:tcPr>
                        <w:tcW w:w="3758" w:type="dxa"/>
                        <w:vMerge w:val="restart"/>
                        <w:tcBorders>
                          <w:top w:val="single" w:sz="4" w:space="0" w:color="000000"/>
                          <w:left w:val="single" w:sz="4" w:space="0" w:color="000000"/>
                          <w:right w:val="single" w:sz="4" w:space="0" w:color="000000"/>
                        </w:tcBorders>
                      </w:tcPr>
                      <w:p>
                        <w:pPr>
                          <w:pStyle w:val="TableParagraph"/>
                          <w:spacing w:line="316" w:lineRule="auto" w:before="10"/>
                          <w:ind w:left="23" w:right="123"/>
                          <w:jc w:val="left"/>
                          <w:rPr>
                            <w:rFonts w:ascii="宋体" w:hAnsi="宋体" w:cs="宋体" w:eastAsia="宋体" w:hint="default"/>
                            <w:sz w:val="18"/>
                            <w:szCs w:val="18"/>
                          </w:rPr>
                        </w:pPr>
                        <w:r>
                          <w:rPr>
                            <w:rFonts w:ascii="宋体" w:hAnsi="宋体" w:cs="宋体" w:eastAsia="宋体" w:hint="default"/>
                            <w:sz w:val="18"/>
                            <w:szCs w:val="18"/>
                          </w:rPr>
                          <w:t>主要原因系公司并购亿美软通引起期末历年短 彩信通讯服务运营商预付成本的增加所致。</w:t>
                        </w:r>
                      </w:p>
                    </w:tc>
                  </w:tr>
                  <w:tr>
                    <w:trPr>
                      <w:trHeight w:val="317"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0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317"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1,417,892.6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0.15%</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951,133.33</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0.18%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-0.03%</w:t>
                        </w:r>
                      </w:p>
                    </w:tc>
                    <w:tc>
                      <w:tcPr>
                        <w:tcW w:w="3758" w:type="dxa"/>
                        <w:vMerge w:val="restart"/>
                        <w:tcBorders>
                          <w:top w:val="single" w:sz="4" w:space="0" w:color="000000"/>
                          <w:left w:val="single" w:sz="4" w:space="0" w:color="000000"/>
                          <w:right w:val="single" w:sz="4" w:space="0" w:color="000000"/>
                        </w:tcBorders>
                      </w:tcPr>
                      <w:p>
                        <w:pPr>
                          <w:pStyle w:val="TableParagraph"/>
                          <w:spacing w:line="316" w:lineRule="auto" w:before="10"/>
                          <w:ind w:left="23" w:right="123"/>
                          <w:jc w:val="left"/>
                          <w:rPr>
                            <w:rFonts w:ascii="宋体" w:hAnsi="宋体" w:cs="宋体" w:eastAsia="宋体" w:hint="default"/>
                            <w:sz w:val="18"/>
                            <w:szCs w:val="18"/>
                          </w:rPr>
                        </w:pPr>
                        <w:r>
                          <w:rPr>
                            <w:rFonts w:ascii="宋体" w:hAnsi="宋体" w:cs="宋体" w:eastAsia="宋体" w:hint="default"/>
                            <w:sz w:val="18"/>
                            <w:szCs w:val="18"/>
                          </w:rPr>
                          <w:t>主要原因系公司按权责发生制原则计提的银行 存款利息的增加。</w:t>
                        </w:r>
                      </w:p>
                    </w:tc>
                  </w:tr>
                  <w:tr>
                    <w:trPr>
                      <w:trHeight w:val="317"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0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162"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24,160,789.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2.51%</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8,357,709.7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1.56%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0.95%</w:t>
                        </w:r>
                      </w:p>
                    </w:tc>
                    <w:tc>
                      <w:tcPr>
                        <w:tcW w:w="3758" w:type="dxa"/>
                        <w:vMerge w:val="restart"/>
                        <w:tcBorders>
                          <w:top w:val="single" w:sz="4" w:space="0" w:color="000000"/>
                          <w:left w:val="single" w:sz="4" w:space="0" w:color="000000"/>
                          <w:right w:val="single" w:sz="4" w:space="0" w:color="000000"/>
                        </w:tcBorders>
                      </w:tcPr>
                      <w:p>
                        <w:pPr>
                          <w:pStyle w:val="TableParagraph"/>
                          <w:spacing w:line="316" w:lineRule="auto" w:before="11"/>
                          <w:ind w:left="23" w:right="110"/>
                          <w:jc w:val="left"/>
                          <w:rPr>
                            <w:rFonts w:ascii="宋体" w:hAnsi="宋体" w:cs="宋体" w:eastAsia="宋体" w:hint="default"/>
                            <w:sz w:val="18"/>
                            <w:szCs w:val="18"/>
                          </w:rPr>
                        </w:pPr>
                        <w:r>
                          <w:rPr>
                            <w:rFonts w:ascii="宋体" w:hAnsi="宋体" w:cs="宋体" w:eastAsia="宋体" w:hint="default"/>
                            <w:sz w:val="18"/>
                            <w:szCs w:val="18"/>
                          </w:rPr>
                          <w:t>主要原因系公司并购亿美软通引起期末历年往 </w:t>
                        </w:r>
                        <w:r>
                          <w:rPr>
                            <w:rFonts w:ascii="宋体" w:hAnsi="宋体" w:cs="宋体" w:eastAsia="宋体" w:hint="default"/>
                            <w:spacing w:val="-9"/>
                            <w:sz w:val="18"/>
                            <w:szCs w:val="18"/>
                          </w:rPr>
                          <w:t>来款、经营押金、员工备用金等款项的增加所致</w:t>
                        </w: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04"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57"/>
        <w:jc w:val="right"/>
      </w:pPr>
      <w:r>
        <w:rPr/>
        <w:t>。</w:t>
      </w:r>
    </w:p>
    <w:p>
      <w:pPr>
        <w:spacing w:after="0" w:line="240" w:lineRule="auto"/>
        <w:jc w:val="righ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76"/>
        <w:gridCol w:w="992"/>
        <w:gridCol w:w="851"/>
        <w:gridCol w:w="993"/>
        <w:gridCol w:w="851"/>
        <w:gridCol w:w="850"/>
        <w:gridCol w:w="3758"/>
      </w:tblGrid>
      <w:tr>
        <w:trPr>
          <w:trHeight w:val="63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7,200,221.7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333,715.65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23"/>
              <w:jc w:val="left"/>
              <w:rPr>
                <w:rFonts w:ascii="宋体" w:hAnsi="宋体" w:cs="宋体" w:eastAsia="宋体" w:hint="default"/>
                <w:sz w:val="18"/>
                <w:szCs w:val="18"/>
              </w:rPr>
            </w:pPr>
            <w:r>
              <w:rPr>
                <w:rFonts w:ascii="宋体" w:hAnsi="宋体" w:cs="宋体" w:eastAsia="宋体" w:hint="default"/>
                <w:sz w:val="18"/>
                <w:szCs w:val="18"/>
              </w:rPr>
              <w:t>主要原因系公司并购亿美软通引起期末历年应 收酬金的增加所致。</w:t>
            </w:r>
          </w:p>
        </w:tc>
      </w:tr>
      <w:tr>
        <w:trPr>
          <w:trHeight w:val="94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78,624,424.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8.16%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27,246,464.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3.07%</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3" w:right="21"/>
              <w:jc w:val="left"/>
              <w:rPr>
                <w:rFonts w:ascii="宋体" w:hAnsi="宋体" w:cs="宋体" w:eastAsia="宋体" w:hint="default"/>
                <w:sz w:val="18"/>
                <w:szCs w:val="18"/>
              </w:rPr>
            </w:pPr>
            <w:r>
              <w:rPr>
                <w:rFonts w:ascii="宋体" w:hAnsi="宋体" w:cs="宋体" w:eastAsia="宋体" w:hint="default"/>
                <w:sz w:val="18"/>
                <w:szCs w:val="18"/>
              </w:rPr>
              <w:t>主要原因系公司并购亿美软通账面无形资产评 </w:t>
            </w:r>
            <w:r>
              <w:rPr>
                <w:rFonts w:ascii="宋体" w:hAnsi="宋体" w:cs="宋体" w:eastAsia="宋体" w:hint="default"/>
                <w:spacing w:val="-4"/>
                <w:sz w:val="18"/>
                <w:szCs w:val="18"/>
              </w:rPr>
              <w:t>估增值，以及研发项目开发完成后形成无形资产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的增加所致。</w:t>
            </w:r>
          </w:p>
        </w:tc>
      </w:tr>
      <w:tr>
        <w:trPr>
          <w:trHeight w:val="94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152,676,360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15.85%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15.85%</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4"/>
                <w:sz w:val="18"/>
                <w:szCs w:val="18"/>
              </w:rPr>
              <w:t>主要原因系公司并购亿美软通、科安数字支付的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合并对价与取得的可辨认净资产公允价值份额 的差额。</w:t>
            </w:r>
          </w:p>
        </w:tc>
      </w:tr>
      <w:tr>
        <w:trPr>
          <w:trHeight w:val="63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3,430,967.5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1,543,294.2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23"/>
              <w:jc w:val="left"/>
              <w:rPr>
                <w:rFonts w:ascii="宋体" w:hAnsi="宋体" w:cs="宋体" w:eastAsia="宋体" w:hint="default"/>
                <w:sz w:val="18"/>
                <w:szCs w:val="18"/>
              </w:rPr>
            </w:pPr>
            <w:r>
              <w:rPr>
                <w:rFonts w:ascii="宋体" w:hAnsi="宋体" w:cs="宋体" w:eastAsia="宋体" w:hint="default"/>
                <w:sz w:val="18"/>
                <w:szCs w:val="18"/>
              </w:rPr>
              <w:t>主要原因系公司并购亿美软通办公场地的装修 费增加所致。</w:t>
            </w:r>
          </w:p>
        </w:tc>
      </w:tr>
      <w:tr>
        <w:trPr>
          <w:trHeight w:val="63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pacing w:val="-63"/>
                <w:sz w:val="18"/>
                <w:szCs w:val="18"/>
              </w:rPr>
              <w:t> </w:t>
            </w:r>
            <w:r>
              <w:rPr>
                <w:rFonts w:ascii="宋体" w:hAnsi="宋体" w:cs="宋体" w:eastAsia="宋体" w:hint="default"/>
                <w:sz w:val="18"/>
                <w:szCs w:val="18"/>
              </w:rPr>
              <w:t>延</w:t>
            </w:r>
            <w:r>
              <w:rPr>
                <w:rFonts w:ascii="宋体" w:hAnsi="宋体" w:cs="宋体" w:eastAsia="宋体" w:hint="default"/>
                <w:spacing w:val="-63"/>
                <w:sz w:val="18"/>
                <w:szCs w:val="18"/>
              </w:rPr>
              <w:t> </w:t>
            </w:r>
            <w:r>
              <w:rPr>
                <w:rFonts w:ascii="宋体" w:hAnsi="宋体" w:cs="宋体" w:eastAsia="宋体" w:hint="default"/>
                <w:sz w:val="18"/>
                <w:szCs w:val="18"/>
              </w:rPr>
              <w:t>所</w:t>
            </w:r>
            <w:r>
              <w:rPr>
                <w:rFonts w:ascii="宋体" w:hAnsi="宋体" w:cs="宋体" w:eastAsia="宋体" w:hint="default"/>
                <w:spacing w:val="-63"/>
                <w:sz w:val="18"/>
                <w:szCs w:val="18"/>
              </w:rPr>
              <w:t> </w:t>
            </w:r>
            <w:r>
              <w:rPr>
                <w:rFonts w:ascii="宋体" w:hAnsi="宋体" w:cs="宋体" w:eastAsia="宋体" w:hint="default"/>
                <w:sz w:val="18"/>
                <w:szCs w:val="18"/>
              </w:rPr>
              <w:t>得</w:t>
            </w:r>
            <w:r>
              <w:rPr>
                <w:rFonts w:ascii="宋体" w:hAnsi="宋体" w:cs="宋体" w:eastAsia="宋体" w:hint="default"/>
                <w:spacing w:val="-62"/>
                <w:sz w:val="18"/>
                <w:szCs w:val="18"/>
              </w:rPr>
              <w:t> </w:t>
            </w:r>
            <w:r>
              <w:rPr>
                <w:rFonts w:ascii="宋体" w:hAnsi="宋体" w:cs="宋体" w:eastAsia="宋体" w:hint="default"/>
                <w:sz w:val="18"/>
                <w:szCs w:val="18"/>
              </w:rPr>
              <w:t>税</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4,439,134.2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1,615,024.8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1"/>
              <w:jc w:val="left"/>
              <w:rPr>
                <w:rFonts w:ascii="宋体" w:hAnsi="宋体" w:cs="宋体" w:eastAsia="宋体" w:hint="default"/>
                <w:sz w:val="18"/>
                <w:szCs w:val="18"/>
              </w:rPr>
            </w:pPr>
            <w:r>
              <w:rPr>
                <w:rFonts w:ascii="宋体" w:hAnsi="宋体" w:cs="宋体" w:eastAsia="宋体" w:hint="default"/>
                <w:spacing w:val="-4"/>
                <w:sz w:val="18"/>
                <w:szCs w:val="18"/>
              </w:rPr>
              <w:t>主要原因系公司（包括并购子公司）可抵扣的企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业所得税暂时性差异的增加所致。</w:t>
            </w:r>
          </w:p>
        </w:tc>
      </w:tr>
    </w:tbl>
    <w:p>
      <w:pPr>
        <w:spacing w:line="240" w:lineRule="auto" w:before="8"/>
        <w:rPr>
          <w:rFonts w:ascii="宋体" w:hAnsi="宋体" w:cs="宋体" w:eastAsia="宋体" w:hint="default"/>
          <w:sz w:val="12"/>
          <w:szCs w:val="12"/>
        </w:rPr>
      </w:pPr>
    </w:p>
    <w:p>
      <w:pPr>
        <w:pStyle w:val="BodyText"/>
        <w:spacing w:line="240" w:lineRule="auto" w:before="44"/>
        <w:ind w:left="154" w:right="0"/>
        <w:jc w:val="left"/>
      </w:pPr>
      <w:r>
        <w:rPr>
          <w:rFonts w:ascii="Times New Roman" w:hAnsi="Times New Roman" w:cs="Times New Roman" w:eastAsia="Times New Roman" w:hint="default"/>
        </w:rPr>
        <w:t>2</w:t>
      </w:r>
      <w:r>
        <w:rPr/>
        <w:t>）负债项目重大变动情况</w:t>
      </w:r>
    </w:p>
    <w:p>
      <w:pPr>
        <w:spacing w:line="240" w:lineRule="auto" w:before="5"/>
        <w:rPr>
          <w:rFonts w:ascii="宋体" w:hAnsi="宋体" w:cs="宋体" w:eastAsia="宋体" w:hint="default"/>
          <w:sz w:val="10"/>
          <w:szCs w:val="10"/>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7"/>
        <w:gridCol w:w="1288"/>
        <w:gridCol w:w="901"/>
        <w:gridCol w:w="1226"/>
        <w:gridCol w:w="850"/>
        <w:gridCol w:w="851"/>
        <w:gridCol w:w="3048"/>
      </w:tblGrid>
      <w:tr>
        <w:trPr>
          <w:trHeight w:val="379" w:hRule="exact"/>
        </w:trPr>
        <w:tc>
          <w:tcPr>
            <w:tcW w:w="140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18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75"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6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1"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04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407" w:type="dxa"/>
            <w:vMerge w:val="restart"/>
            <w:tcBorders>
              <w:top w:val="single" w:sz="14" w:space="0" w:color="FFFFFF"/>
              <w:left w:val="single" w:sz="4" w:space="0" w:color="000000"/>
              <w:right w:val="single" w:sz="4" w:space="0" w:color="000000"/>
            </w:tcBorders>
            <w:shd w:val="clear" w:color="auto" w:fill="D2D2D2"/>
          </w:tcPr>
          <w:p>
            <w:pPr/>
          </w:p>
        </w:tc>
        <w:tc>
          <w:tcPr>
            <w:tcW w:w="1288" w:type="dxa"/>
            <w:tcBorders>
              <w:top w:val="single" w:sz="14" w:space="0" w:color="FFFFFF"/>
              <w:left w:val="single" w:sz="4" w:space="0" w:color="000000"/>
              <w:bottom w:val="nil" w:sz="6" w:space="0" w:color="auto"/>
              <w:right w:val="single" w:sz="4" w:space="0" w:color="000000"/>
            </w:tcBorders>
            <w:shd w:val="clear" w:color="auto" w:fill="D2D2D2"/>
          </w:tcPr>
          <w:p>
            <w:pPr/>
          </w:p>
        </w:tc>
        <w:tc>
          <w:tcPr>
            <w:tcW w:w="90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26" w:type="dxa"/>
            <w:tcBorders>
              <w:top w:val="single" w:sz="14" w:space="0" w:color="FFFFFF"/>
              <w:left w:val="single" w:sz="4" w:space="0" w:color="000000"/>
              <w:bottom w:val="nil" w:sz="6" w:space="0" w:color="auto"/>
              <w:right w:val="single" w:sz="4" w:space="0" w:color="000000"/>
            </w:tcBorders>
            <w:shd w:val="clear" w:color="auto" w:fill="D2D2D2"/>
          </w:tcPr>
          <w:p>
            <w:pPr/>
          </w:p>
        </w:tc>
        <w:tc>
          <w:tcPr>
            <w:tcW w:w="850"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04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7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407"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2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304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407"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22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
        </w:tc>
        <w:tc>
          <w:tcPr>
            <w:tcW w:w="304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2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304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4" w:right="0"/>
              <w:jc w:val="left"/>
              <w:rPr>
                <w:rFonts w:ascii="Times New Roman" w:hAnsi="Times New Roman" w:cs="Times New Roman" w:eastAsia="Times New Roman" w:hint="default"/>
                <w:sz w:val="18"/>
                <w:szCs w:val="18"/>
              </w:rPr>
            </w:pPr>
            <w:r>
              <w:rPr>
                <w:rFonts w:ascii="Times New Roman"/>
                <w:sz w:val="18"/>
              </w:rPr>
              <w:t>37,078,571.65</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3" w:right="0"/>
              <w:jc w:val="left"/>
              <w:rPr>
                <w:rFonts w:ascii="Times New Roman" w:hAnsi="Times New Roman" w:cs="Times New Roman" w:eastAsia="Times New Roman" w:hint="default"/>
                <w:sz w:val="18"/>
                <w:szCs w:val="18"/>
              </w:rPr>
            </w:pPr>
            <w:r>
              <w:rPr>
                <w:rFonts w:ascii="Times New Roman"/>
                <w:sz w:val="18"/>
              </w:rPr>
              <w:t>3.85%</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7" w:right="0"/>
              <w:jc w:val="left"/>
              <w:rPr>
                <w:rFonts w:ascii="Times New Roman" w:hAnsi="Times New Roman" w:cs="Times New Roman" w:eastAsia="Times New Roman" w:hint="default"/>
                <w:sz w:val="18"/>
                <w:szCs w:val="18"/>
              </w:rPr>
            </w:pPr>
            <w:r>
              <w:rPr>
                <w:rFonts w:ascii="Times New Roman"/>
                <w:sz w:val="18"/>
              </w:rPr>
              <w:t>7,033,233.21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2" w:right="0"/>
              <w:jc w:val="left"/>
              <w:rPr>
                <w:rFonts w:ascii="Times New Roman" w:hAnsi="Times New Roman" w:cs="Times New Roman" w:eastAsia="Times New Roman" w:hint="default"/>
                <w:sz w:val="18"/>
                <w:szCs w:val="18"/>
              </w:rPr>
            </w:pPr>
            <w:r>
              <w:rPr>
                <w:rFonts w:ascii="Times New Roman"/>
                <w:sz w:val="18"/>
              </w:rPr>
              <w:t>1.31%</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3" w:right="0"/>
              <w:jc w:val="left"/>
              <w:rPr>
                <w:rFonts w:ascii="Times New Roman" w:hAnsi="Times New Roman" w:cs="Times New Roman" w:eastAsia="Times New Roman" w:hint="default"/>
                <w:sz w:val="18"/>
                <w:szCs w:val="18"/>
              </w:rPr>
            </w:pPr>
            <w:r>
              <w:rPr>
                <w:rFonts w:ascii="Times New Roman"/>
                <w:sz w:val="18"/>
              </w:rPr>
              <w:t>2.54%</w:t>
            </w:r>
          </w:p>
        </w:tc>
        <w:tc>
          <w:tcPr>
            <w:tcW w:w="3048" w:type="dxa"/>
            <w:vMerge w:val="restart"/>
            <w:tcBorders>
              <w:top w:val="single" w:sz="4" w:space="0" w:color="000000"/>
              <w:left w:val="single" w:sz="4" w:space="0" w:color="000000"/>
              <w:right w:val="single" w:sz="4" w:space="0" w:color="000000"/>
            </w:tcBorders>
          </w:tcPr>
          <w:p>
            <w:pPr>
              <w:pStyle w:val="TableParagraph"/>
              <w:spacing w:line="316" w:lineRule="auto" w:before="10"/>
              <w:ind w:left="22" w:right="45" w:firstLine="90"/>
              <w:jc w:val="left"/>
              <w:rPr>
                <w:rFonts w:ascii="宋体" w:hAnsi="宋体" w:cs="宋体" w:eastAsia="宋体" w:hint="default"/>
                <w:sz w:val="18"/>
                <w:szCs w:val="18"/>
              </w:rPr>
            </w:pPr>
            <w:r>
              <w:rPr>
                <w:rFonts w:ascii="宋体" w:hAnsi="宋体" w:cs="宋体" w:eastAsia="宋体" w:hint="default"/>
                <w:sz w:val="18"/>
                <w:szCs w:val="18"/>
              </w:rPr>
              <w:t>主要原因系公司并购亿美软通引起期 末应付历年短彩信通讯服务运营成本 的增加所致。</w:t>
            </w:r>
          </w:p>
        </w:tc>
      </w:tr>
      <w:tr>
        <w:trPr>
          <w:trHeight w:val="31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88"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3048" w:type="dxa"/>
            <w:vMerge/>
            <w:tcBorders>
              <w:left w:val="single" w:sz="4" w:space="0" w:color="000000"/>
              <w:right w:val="single" w:sz="4" w:space="0" w:color="000000"/>
            </w:tcBorders>
          </w:tcPr>
          <w:p>
            <w:pPr/>
          </w:p>
        </w:tc>
      </w:tr>
      <w:tr>
        <w:trPr>
          <w:trHeight w:val="317"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048" w:type="dxa"/>
            <w:vMerge/>
            <w:tcBorders>
              <w:left w:val="single" w:sz="4" w:space="0" w:color="000000"/>
              <w:bottom w:val="single" w:sz="4" w:space="0" w:color="000000"/>
              <w:right w:val="single" w:sz="4" w:space="0" w:color="000000"/>
            </w:tcBorders>
          </w:tcPr>
          <w:p>
            <w:pPr/>
          </w:p>
        </w:tc>
      </w:tr>
      <w:tr>
        <w:trPr>
          <w:trHeight w:val="317"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4" w:right="0"/>
              <w:jc w:val="left"/>
              <w:rPr>
                <w:rFonts w:ascii="Times New Roman" w:hAnsi="Times New Roman" w:cs="Times New Roman" w:eastAsia="Times New Roman" w:hint="default"/>
                <w:sz w:val="18"/>
                <w:szCs w:val="18"/>
              </w:rPr>
            </w:pPr>
            <w:r>
              <w:rPr>
                <w:rFonts w:ascii="Times New Roman"/>
                <w:sz w:val="18"/>
              </w:rPr>
              <w:t>62,958,365.40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3" w:right="0"/>
              <w:jc w:val="left"/>
              <w:rPr>
                <w:rFonts w:ascii="Times New Roman" w:hAnsi="Times New Roman" w:cs="Times New Roman" w:eastAsia="Times New Roman" w:hint="default"/>
                <w:sz w:val="18"/>
                <w:szCs w:val="18"/>
              </w:rPr>
            </w:pPr>
            <w:r>
              <w:rPr>
                <w:rFonts w:ascii="Times New Roman"/>
                <w:sz w:val="18"/>
              </w:rPr>
              <w:t>6.54%</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61" w:right="0"/>
              <w:jc w:val="left"/>
              <w:rPr>
                <w:rFonts w:ascii="Times New Roman" w:hAnsi="Times New Roman" w:cs="Times New Roman" w:eastAsia="Times New Roman" w:hint="default"/>
                <w:sz w:val="18"/>
                <w:szCs w:val="18"/>
              </w:rPr>
            </w:pPr>
            <w:r>
              <w:rPr>
                <w:rFonts w:ascii="Times New Roman"/>
                <w:sz w:val="18"/>
              </w:rPr>
              <w:t>6,453.00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2" w:right="0"/>
              <w:jc w:val="left"/>
              <w:rPr>
                <w:rFonts w:ascii="Times New Roman" w:hAnsi="Times New Roman" w:cs="Times New Roman" w:eastAsia="Times New Roman" w:hint="default"/>
                <w:sz w:val="18"/>
                <w:szCs w:val="18"/>
              </w:rPr>
            </w:pPr>
            <w:r>
              <w:rPr>
                <w:rFonts w:ascii="Times New Roman"/>
                <w:sz w:val="18"/>
              </w:rPr>
              <w:t>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3" w:right="0"/>
              <w:jc w:val="left"/>
              <w:rPr>
                <w:rFonts w:ascii="Times New Roman" w:hAnsi="Times New Roman" w:cs="Times New Roman" w:eastAsia="Times New Roman" w:hint="default"/>
                <w:sz w:val="18"/>
                <w:szCs w:val="18"/>
              </w:rPr>
            </w:pPr>
            <w:r>
              <w:rPr>
                <w:rFonts w:ascii="Times New Roman"/>
                <w:sz w:val="18"/>
              </w:rPr>
              <w:t>6.54%</w:t>
            </w:r>
          </w:p>
        </w:tc>
        <w:tc>
          <w:tcPr>
            <w:tcW w:w="3048" w:type="dxa"/>
            <w:vMerge w:val="restart"/>
            <w:tcBorders>
              <w:top w:val="single" w:sz="4" w:space="0" w:color="000000"/>
              <w:left w:val="single" w:sz="4" w:space="0" w:color="000000"/>
              <w:right w:val="single" w:sz="4" w:space="0" w:color="000000"/>
            </w:tcBorders>
          </w:tcPr>
          <w:p>
            <w:pPr>
              <w:pStyle w:val="TableParagraph"/>
              <w:spacing w:line="316" w:lineRule="auto" w:before="11"/>
              <w:ind w:left="22" w:right="45" w:firstLine="90"/>
              <w:jc w:val="left"/>
              <w:rPr>
                <w:rFonts w:ascii="宋体" w:hAnsi="宋体" w:cs="宋体" w:eastAsia="宋体" w:hint="default"/>
                <w:sz w:val="18"/>
                <w:szCs w:val="18"/>
              </w:rPr>
            </w:pPr>
            <w:r>
              <w:rPr>
                <w:rFonts w:ascii="宋体" w:hAnsi="宋体" w:cs="宋体" w:eastAsia="宋体" w:hint="default"/>
                <w:sz w:val="18"/>
                <w:szCs w:val="18"/>
              </w:rPr>
              <w:t>主要原因系公司并购亿美软通引起期 末预先收取的短彩信通讯服务费的增 加所致。</w:t>
            </w:r>
          </w:p>
        </w:tc>
      </w:tr>
      <w:tr>
        <w:trPr>
          <w:trHeight w:val="31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88"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3048" w:type="dxa"/>
            <w:vMerge/>
            <w:tcBorders>
              <w:left w:val="single" w:sz="4" w:space="0" w:color="000000"/>
              <w:right w:val="single" w:sz="4" w:space="0" w:color="000000"/>
            </w:tcBorders>
          </w:tcPr>
          <w:p>
            <w:pPr/>
          </w:p>
        </w:tc>
      </w:tr>
      <w:tr>
        <w:trPr>
          <w:trHeight w:val="317"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048" w:type="dxa"/>
            <w:vMerge/>
            <w:tcBorders>
              <w:left w:val="single" w:sz="4" w:space="0" w:color="000000"/>
              <w:bottom w:val="single" w:sz="4" w:space="0" w:color="000000"/>
              <w:right w:val="single" w:sz="4" w:space="0" w:color="000000"/>
            </w:tcBorders>
          </w:tcPr>
          <w:p>
            <w:pPr/>
          </w:p>
        </w:tc>
      </w:tr>
      <w:tr>
        <w:trPr>
          <w:trHeight w:val="162"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12,762,341.33</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1.32%</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4,670,292.47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0.87%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0.45%</w:t>
            </w:r>
          </w:p>
        </w:tc>
        <w:tc>
          <w:tcPr>
            <w:tcW w:w="3048" w:type="dxa"/>
            <w:vMerge w:val="restart"/>
            <w:tcBorders>
              <w:top w:val="single" w:sz="4" w:space="0" w:color="000000"/>
              <w:left w:val="single" w:sz="4" w:space="0" w:color="000000"/>
              <w:right w:val="single" w:sz="4" w:space="0" w:color="000000"/>
            </w:tcBorders>
          </w:tcPr>
          <w:p>
            <w:pPr>
              <w:pStyle w:val="TableParagraph"/>
              <w:spacing w:line="316" w:lineRule="auto" w:before="11"/>
              <w:ind w:left="22" w:right="45" w:firstLine="90"/>
              <w:jc w:val="left"/>
              <w:rPr>
                <w:rFonts w:ascii="宋体" w:hAnsi="宋体" w:cs="宋体" w:eastAsia="宋体" w:hint="default"/>
                <w:sz w:val="18"/>
                <w:szCs w:val="18"/>
              </w:rPr>
            </w:pPr>
            <w:r>
              <w:rPr>
                <w:rFonts w:ascii="宋体" w:hAnsi="宋体" w:cs="宋体" w:eastAsia="宋体" w:hint="default"/>
                <w:sz w:val="18"/>
                <w:szCs w:val="18"/>
              </w:rPr>
              <w:t>主要原因系公司并购亿美软通引起期 末应交税金的增加所致。</w:t>
            </w:r>
          </w:p>
        </w:tc>
      </w:tr>
      <w:tr>
        <w:trPr>
          <w:trHeight w:val="31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88"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3048" w:type="dxa"/>
            <w:vMerge/>
            <w:tcBorders>
              <w:left w:val="single" w:sz="4" w:space="0" w:color="000000"/>
              <w:right w:val="single" w:sz="4" w:space="0" w:color="000000"/>
            </w:tcBorders>
          </w:tcPr>
          <w:p>
            <w:pPr/>
          </w:p>
        </w:tc>
      </w:tr>
      <w:tr>
        <w:trPr>
          <w:trHeight w:val="161"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048" w:type="dxa"/>
            <w:vMerge/>
            <w:tcBorders>
              <w:left w:val="single" w:sz="4" w:space="0" w:color="000000"/>
              <w:bottom w:val="single" w:sz="4" w:space="0" w:color="000000"/>
              <w:right w:val="single" w:sz="4" w:space="0" w:color="000000"/>
            </w:tcBorders>
          </w:tcPr>
          <w:p>
            <w:pPr/>
          </w:p>
        </w:tc>
      </w:tr>
      <w:tr>
        <w:trPr>
          <w:trHeight w:val="317"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4" w:right="0"/>
              <w:jc w:val="left"/>
              <w:rPr>
                <w:rFonts w:ascii="Times New Roman" w:hAnsi="Times New Roman" w:cs="Times New Roman" w:eastAsia="Times New Roman" w:hint="default"/>
                <w:sz w:val="18"/>
                <w:szCs w:val="18"/>
              </w:rPr>
            </w:pPr>
            <w:r>
              <w:rPr>
                <w:rFonts w:ascii="Times New Roman"/>
                <w:sz w:val="18"/>
              </w:rPr>
              <w:t>6,647,762.03</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3" w:right="0"/>
              <w:jc w:val="left"/>
              <w:rPr>
                <w:rFonts w:ascii="Times New Roman" w:hAnsi="Times New Roman" w:cs="Times New Roman" w:eastAsia="Times New Roman" w:hint="default"/>
                <w:sz w:val="18"/>
                <w:szCs w:val="18"/>
              </w:rPr>
            </w:pPr>
            <w:r>
              <w:rPr>
                <w:rFonts w:ascii="Times New Roman"/>
                <w:sz w:val="18"/>
              </w:rPr>
              <w:t>0.69%</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7" w:right="0"/>
              <w:jc w:val="left"/>
              <w:rPr>
                <w:rFonts w:ascii="Times New Roman" w:hAnsi="Times New Roman" w:cs="Times New Roman" w:eastAsia="Times New Roman" w:hint="default"/>
                <w:sz w:val="18"/>
                <w:szCs w:val="18"/>
              </w:rPr>
            </w:pPr>
            <w:r>
              <w:rPr>
                <w:rFonts w:ascii="Times New Roman"/>
                <w:sz w:val="18"/>
              </w:rPr>
              <w:t>1,337,260.31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2" w:right="0"/>
              <w:jc w:val="left"/>
              <w:rPr>
                <w:rFonts w:ascii="Times New Roman" w:hAnsi="Times New Roman" w:cs="Times New Roman" w:eastAsia="Times New Roman" w:hint="default"/>
                <w:sz w:val="18"/>
                <w:szCs w:val="18"/>
              </w:rPr>
            </w:pPr>
            <w:r>
              <w:rPr>
                <w:rFonts w:ascii="Times New Roman"/>
                <w:sz w:val="18"/>
              </w:rPr>
              <w:t>0.25%</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3" w:right="0"/>
              <w:jc w:val="left"/>
              <w:rPr>
                <w:rFonts w:ascii="Times New Roman" w:hAnsi="Times New Roman" w:cs="Times New Roman" w:eastAsia="Times New Roman" w:hint="default"/>
                <w:sz w:val="18"/>
                <w:szCs w:val="18"/>
              </w:rPr>
            </w:pPr>
            <w:r>
              <w:rPr>
                <w:rFonts w:ascii="Times New Roman"/>
                <w:sz w:val="18"/>
              </w:rPr>
              <w:t>0.44%</w:t>
            </w:r>
          </w:p>
        </w:tc>
        <w:tc>
          <w:tcPr>
            <w:tcW w:w="3048" w:type="dxa"/>
            <w:vMerge w:val="restart"/>
            <w:tcBorders>
              <w:top w:val="single" w:sz="4" w:space="0" w:color="000000"/>
              <w:left w:val="single" w:sz="4" w:space="0" w:color="000000"/>
              <w:right w:val="single" w:sz="4" w:space="0" w:color="000000"/>
            </w:tcBorders>
          </w:tcPr>
          <w:p>
            <w:pPr>
              <w:pStyle w:val="TableParagraph"/>
              <w:spacing w:line="316" w:lineRule="auto" w:before="10"/>
              <w:ind w:left="22" w:right="45" w:firstLine="90"/>
              <w:jc w:val="left"/>
              <w:rPr>
                <w:rFonts w:ascii="宋体" w:hAnsi="宋体" w:cs="宋体" w:eastAsia="宋体" w:hint="default"/>
                <w:sz w:val="18"/>
                <w:szCs w:val="18"/>
              </w:rPr>
            </w:pPr>
            <w:r>
              <w:rPr>
                <w:rFonts w:ascii="宋体" w:hAnsi="宋体" w:cs="宋体" w:eastAsia="宋体" w:hint="default"/>
                <w:sz w:val="18"/>
                <w:szCs w:val="18"/>
              </w:rPr>
              <w:t>主要原因系计提的尚未支付资产重组 中介服务费和预计的回购股权激励投 资款的增加所致。</w:t>
            </w:r>
          </w:p>
        </w:tc>
      </w:tr>
      <w:tr>
        <w:trPr>
          <w:trHeight w:val="31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88"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3048" w:type="dxa"/>
            <w:vMerge/>
            <w:tcBorders>
              <w:left w:val="single" w:sz="4" w:space="0" w:color="000000"/>
              <w:right w:val="single" w:sz="4" w:space="0" w:color="000000"/>
            </w:tcBorders>
          </w:tcPr>
          <w:p>
            <w:pPr/>
          </w:p>
        </w:tc>
      </w:tr>
      <w:tr>
        <w:trPr>
          <w:trHeight w:val="317"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048" w:type="dxa"/>
            <w:vMerge/>
            <w:tcBorders>
              <w:left w:val="single" w:sz="4" w:space="0" w:color="000000"/>
              <w:bottom w:val="single" w:sz="4" w:space="0" w:color="000000"/>
              <w:right w:val="single" w:sz="4" w:space="0" w:color="000000"/>
            </w:tcBorders>
          </w:tcPr>
          <w:p>
            <w:pPr/>
          </w:p>
        </w:tc>
      </w:tr>
      <w:tr>
        <w:trPr>
          <w:trHeight w:val="473"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5,923,157.70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0.61%</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0.61%</w:t>
            </w:r>
          </w:p>
        </w:tc>
        <w:tc>
          <w:tcPr>
            <w:tcW w:w="3048" w:type="dxa"/>
            <w:vMerge w:val="restart"/>
            <w:tcBorders>
              <w:top w:val="single" w:sz="4" w:space="0" w:color="000000"/>
              <w:left w:val="single" w:sz="4" w:space="0" w:color="000000"/>
              <w:right w:val="single" w:sz="4" w:space="0" w:color="000000"/>
            </w:tcBorders>
          </w:tcPr>
          <w:p>
            <w:pPr>
              <w:pStyle w:val="TableParagraph"/>
              <w:spacing w:line="316" w:lineRule="auto" w:before="10"/>
              <w:ind w:left="22" w:right="45" w:firstLine="90"/>
              <w:jc w:val="left"/>
              <w:rPr>
                <w:rFonts w:ascii="宋体" w:hAnsi="宋体" w:cs="宋体" w:eastAsia="宋体" w:hint="default"/>
                <w:sz w:val="18"/>
                <w:szCs w:val="18"/>
              </w:rPr>
            </w:pPr>
            <w:r>
              <w:rPr>
                <w:rFonts w:ascii="宋体" w:hAnsi="宋体" w:cs="宋体" w:eastAsia="宋体" w:hint="default"/>
                <w:sz w:val="18"/>
                <w:szCs w:val="18"/>
              </w:rPr>
              <w:t>主要原因系公司并购亿美软通账面无 形资产评估增值所引起未来应纳税所 得额增加对企业所得税产生增加的影 响所致。</w:t>
            </w:r>
          </w:p>
        </w:tc>
      </w:tr>
      <w:tr>
        <w:trPr>
          <w:trHeight w:val="31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88"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3048" w:type="dxa"/>
            <w:vMerge/>
            <w:tcBorders>
              <w:left w:val="single" w:sz="4" w:space="0" w:color="000000"/>
              <w:right w:val="single" w:sz="4" w:space="0" w:color="000000"/>
            </w:tcBorders>
          </w:tcPr>
          <w:p>
            <w:pPr/>
          </w:p>
        </w:tc>
      </w:tr>
      <w:tr>
        <w:trPr>
          <w:trHeight w:val="474"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048" w:type="dxa"/>
            <w:vMerge/>
            <w:tcBorders>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2"/>
          <w:szCs w:val="12"/>
        </w:rPr>
      </w:pPr>
    </w:p>
    <w:p>
      <w:pPr>
        <w:pStyle w:val="BodyText"/>
        <w:spacing w:line="240" w:lineRule="auto" w:before="44"/>
        <w:ind w:left="154" w:right="0"/>
        <w:jc w:val="left"/>
      </w:pPr>
      <w:r>
        <w:rPr>
          <w:rFonts w:ascii="Times New Roman" w:hAnsi="Times New Roman" w:cs="Times New Roman" w:eastAsia="Times New Roman" w:hint="default"/>
        </w:rPr>
        <w:t>3</w:t>
      </w:r>
      <w:r>
        <w:rPr/>
        <w:t>）以公允价值计量的资产和负债</w:t>
      </w:r>
    </w:p>
    <w:p>
      <w:pPr>
        <w:spacing w:line="240" w:lineRule="auto" w:before="10"/>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公司竞争能力重大变化分析" w:id="26"/>
      <w:bookmarkEnd w:id="26"/>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pStyle w:val="BodyText"/>
        <w:spacing w:line="489"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公司核心竞争能力包括：</w:t>
      </w:r>
    </w:p>
    <w:p>
      <w:pPr>
        <w:pStyle w:val="BodyText"/>
        <w:spacing w:line="240" w:lineRule="auto" w:before="85"/>
        <w:ind w:left="513" w:right="0"/>
        <w:jc w:val="left"/>
      </w:pPr>
      <w:r>
        <w:rPr/>
        <w:t>（</w:t>
      </w:r>
      <w:r>
        <w:rPr>
          <w:rFonts w:ascii="Times New Roman" w:hAnsi="Times New Roman" w:cs="Times New Roman" w:eastAsia="Times New Roman" w:hint="default"/>
        </w:rPr>
        <w:t>1</w:t>
      </w:r>
      <w:r>
        <w:rPr/>
        <w:t>）技术优势</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7"/>
          <w:szCs w:val="27"/>
        </w:rPr>
      </w:pPr>
    </w:p>
    <w:p>
      <w:pPr>
        <w:pStyle w:val="BodyText"/>
        <w:spacing w:line="468" w:lineRule="auto" w:before="44"/>
        <w:ind w:right="191" w:firstLine="360"/>
        <w:jc w:val="both"/>
      </w:pPr>
      <w:r>
        <w:rPr>
          <w:spacing w:val="-2"/>
        </w:rPr>
        <w:t>公司在行业内有长期的专业化积累，并且通过收购兼并国内相关行业的领先企业，使公司在全行业内的技术领先优势持</w:t>
      </w:r>
      <w:r>
        <w:rPr/>
        <w:t> </w:t>
      </w:r>
      <w:r>
        <w:rPr>
          <w:spacing w:val="-2"/>
        </w:rPr>
        <w:t>续得到加强。目前，公司在图像处理、模式识别、机器视觉、工作流引擎技术，以及大数据分析处理、互联网应用等技术领</w:t>
      </w:r>
      <w:r>
        <w:rPr>
          <w:spacing w:val="-72"/>
        </w:rPr>
        <w:t> </w:t>
      </w:r>
      <w:r>
        <w:rPr>
          <w:spacing w:val="-72"/>
        </w:rPr>
      </w:r>
      <w:r>
        <w:rPr/>
        <w:t>域具有行业领先地位。截至报告期末，公司及子公司已获得软件著作权</w:t>
      </w:r>
      <w:r>
        <w:rPr>
          <w:rFonts w:ascii="Times New Roman" w:hAnsi="Times New Roman" w:cs="Times New Roman" w:eastAsia="Times New Roman" w:hint="default"/>
        </w:rPr>
        <w:t>110</w:t>
      </w:r>
      <w:r>
        <w:rPr/>
        <w:t>项、专利授权</w:t>
      </w:r>
      <w:r>
        <w:rPr>
          <w:rFonts w:ascii="Times New Roman" w:hAnsi="Times New Roman" w:cs="Times New Roman" w:eastAsia="Times New Roman" w:hint="default"/>
        </w:rPr>
        <w:t>62</w:t>
      </w:r>
      <w:r>
        <w:rPr/>
        <w:t>项（其中发明专利</w:t>
      </w:r>
      <w:r>
        <w:rPr>
          <w:rFonts w:ascii="Times New Roman" w:hAnsi="Times New Roman" w:cs="Times New Roman" w:eastAsia="Times New Roman" w:hint="default"/>
        </w:rPr>
        <w:t>10</w:t>
      </w:r>
      <w:r>
        <w:rPr/>
        <w:t>项、</w:t>
      </w:r>
      <w:r>
        <w:rPr>
          <w:rFonts w:ascii="Times New Roman" w:hAnsi="Times New Roman" w:cs="Times New Roman" w:eastAsia="Times New Roman" w:hint="default"/>
        </w:rPr>
        <w:t>PCT</w:t>
      </w:r>
      <w:r>
        <w:rPr/>
        <w:t>国 际专利</w:t>
      </w:r>
      <w:r>
        <w:rPr>
          <w:rFonts w:ascii="Times New Roman" w:hAnsi="Times New Roman" w:cs="Times New Roman" w:eastAsia="Times New Roman" w:hint="default"/>
        </w:rPr>
        <w:t>2</w:t>
      </w:r>
      <w:r>
        <w:rPr/>
        <w:t>项、实用新型专利</w:t>
      </w:r>
      <w:r>
        <w:rPr>
          <w:rFonts w:ascii="Times New Roman" w:hAnsi="Times New Roman" w:cs="Times New Roman" w:eastAsia="Times New Roman" w:hint="default"/>
        </w:rPr>
        <w:t>42</w:t>
      </w:r>
      <w:r>
        <w:rPr/>
        <w:t>项、外观专利</w:t>
      </w:r>
      <w:r>
        <w:rPr>
          <w:rFonts w:ascii="Times New Roman" w:hAnsi="Times New Roman" w:cs="Times New Roman" w:eastAsia="Times New Roman" w:hint="default"/>
        </w:rPr>
        <w:t>8</w:t>
      </w:r>
      <w:r>
        <w:rPr/>
        <w:t>项）。依靠以上核心技术的领先优势，公司在行业的竞争力日益增强。</w:t>
      </w:r>
    </w:p>
    <w:p>
      <w:pPr>
        <w:pStyle w:val="BodyText"/>
        <w:spacing w:line="451" w:lineRule="auto" w:before="29"/>
        <w:ind w:left="513" w:right="93"/>
        <w:jc w:val="left"/>
      </w:pPr>
      <w:r>
        <w:rPr/>
        <w:t>（</w:t>
      </w:r>
      <w:r>
        <w:rPr>
          <w:rFonts w:ascii="Times New Roman" w:hAnsi="Times New Roman" w:cs="Times New Roman" w:eastAsia="Times New Roman" w:hint="default"/>
        </w:rPr>
        <w:t>2</w:t>
      </w:r>
      <w:r>
        <w:rPr/>
        <w:t>）市场优势 </w:t>
      </w:r>
      <w:r>
        <w:rPr>
          <w:spacing w:val="-2"/>
        </w:rPr>
        <w:t>公司在主营业务涉及的各行业领域客户积累了比较明显的客户资源优势。在金融信息化行业，公司客户包括大型国有银</w:t>
      </w:r>
    </w:p>
    <w:p>
      <w:pPr>
        <w:pStyle w:val="BodyText"/>
        <w:spacing w:line="458" w:lineRule="auto" w:before="74"/>
        <w:ind w:right="93"/>
        <w:jc w:val="left"/>
      </w:pPr>
      <w:r>
        <w:rPr/>
        <w:t>行、股份制商业银行、城市商业银行、农村商业银行、农村信用社及部分外资银行在内的</w:t>
      </w:r>
      <w:r>
        <w:rPr>
          <w:rFonts w:ascii="Times New Roman" w:hAnsi="Times New Roman" w:cs="Times New Roman" w:eastAsia="Times New Roman" w:hint="default"/>
        </w:rPr>
        <w:t>300</w:t>
      </w:r>
      <w:r>
        <w:rPr/>
        <w:t>余家银行或分行、数万个银行 </w:t>
      </w:r>
      <w:r>
        <w:rPr>
          <w:spacing w:val="-4"/>
        </w:rPr>
        <w:t>网点，遍布国内</w:t>
      </w:r>
      <w:r>
        <w:rPr>
          <w:rFonts w:ascii="Times New Roman" w:hAnsi="Times New Roman" w:cs="Times New Roman" w:eastAsia="Times New Roman" w:hint="default"/>
          <w:spacing w:val="-4"/>
        </w:rPr>
        <w:t>31</w:t>
      </w:r>
      <w:r>
        <w:rPr>
          <w:spacing w:val="-4"/>
        </w:rPr>
        <w:t>个省、直辖市、自治区。在移动商务服务领域，公司子公司亿美软通已为银行、酒店、航空、旅游、电商、</w:t>
      </w:r>
      <w:r>
        <w:rPr>
          <w:spacing w:val="-46"/>
        </w:rPr>
        <w:t> </w:t>
      </w:r>
      <w:r>
        <w:rPr>
          <w:spacing w:val="-46"/>
        </w:rPr>
      </w:r>
      <w:r>
        <w:rPr/>
        <w:t>商超等超过</w:t>
      </w:r>
      <w:r>
        <w:rPr>
          <w:rFonts w:ascii="宋体" w:hAnsi="宋体" w:cs="宋体" w:eastAsia="宋体" w:hint="default"/>
        </w:rPr>
        <w:t>40</w:t>
      </w:r>
      <w:r>
        <w:rPr/>
        <w:t>万家企业提供的移动通讯、大数据运营服务，服务数据覆盖约</w:t>
      </w:r>
      <w:r>
        <w:rPr>
          <w:rFonts w:ascii="宋体" w:hAnsi="宋体" w:cs="宋体" w:eastAsia="宋体" w:hint="default"/>
        </w:rPr>
        <w:t>5</w:t>
      </w:r>
      <w:r>
        <w:rPr/>
        <w:t>亿人群。这些宝贵的客户资源使公司具备了较 强的市场竞争优势，是公司今后业务持续发展的坚实基础。</w:t>
      </w:r>
    </w:p>
    <w:p>
      <w:pPr>
        <w:pStyle w:val="BodyText"/>
        <w:spacing w:line="451" w:lineRule="auto" w:before="68"/>
        <w:ind w:left="514" w:right="93"/>
        <w:jc w:val="left"/>
      </w:pPr>
      <w:r>
        <w:rPr/>
        <w:t>（</w:t>
      </w:r>
      <w:r>
        <w:rPr>
          <w:rFonts w:ascii="Times New Roman" w:hAnsi="Times New Roman" w:cs="Times New Roman" w:eastAsia="Times New Roman" w:hint="default"/>
        </w:rPr>
        <w:t>3</w:t>
      </w:r>
      <w:r>
        <w:rPr/>
        <w:t>）产业链布局的协同优势 </w:t>
      </w:r>
      <w:r>
        <w:rPr>
          <w:spacing w:val="-2"/>
        </w:rPr>
        <w:t>近年来，按照公司战略发展规划，公司的主营业务已经从金融信息化向互联网金融领域延伸发展。目前，公司主营业务</w:t>
      </w:r>
    </w:p>
    <w:p>
      <w:pPr>
        <w:pStyle w:val="BodyText"/>
        <w:spacing w:line="477" w:lineRule="auto" w:before="74"/>
        <w:ind w:left="154" w:right="190"/>
        <w:jc w:val="both"/>
      </w:pPr>
      <w:r>
        <w:rPr>
          <w:spacing w:val="-2"/>
        </w:rPr>
        <w:t>已经涉及金融信息化、移动商务服务、电子商务等多个行业领域，并且投资和布局个人征信服务、票据自助金融服务、互联</w:t>
      </w:r>
      <w:r>
        <w:rPr>
          <w:spacing w:val="-66"/>
        </w:rPr>
        <w:t> </w:t>
      </w:r>
      <w:r>
        <w:rPr>
          <w:spacing w:val="-66"/>
        </w:rPr>
      </w:r>
      <w:r>
        <w:rPr>
          <w:spacing w:val="-2"/>
        </w:rPr>
        <w:t>网保险、大数据运营服务等业务领域。公司逐步构建了金融信息化、移动互联网和互联网金融领域的产业生态圈。随着以上</w:t>
      </w:r>
      <w:r>
        <w:rPr>
          <w:spacing w:val="-65"/>
        </w:rPr>
        <w:t> </w:t>
      </w:r>
      <w:r>
        <w:rPr>
          <w:spacing w:val="-65"/>
        </w:rPr>
      </w:r>
      <w:r>
        <w:rPr/>
        <w:t>产业链布局的推进，公司在产业链布局方面的协同优势明显，使公司的整体竞争实力大为增强。</w:t>
      </w:r>
    </w:p>
    <w:p>
      <w:pPr>
        <w:pStyle w:val="BodyText"/>
        <w:spacing w:line="451" w:lineRule="auto" w:before="54"/>
        <w:ind w:left="513" w:right="93"/>
        <w:jc w:val="left"/>
      </w:pPr>
      <w:r>
        <w:rPr/>
        <w:t>（</w:t>
      </w:r>
      <w:r>
        <w:rPr>
          <w:rFonts w:ascii="Times New Roman" w:hAnsi="Times New Roman" w:cs="Times New Roman" w:eastAsia="Times New Roman" w:hint="default"/>
        </w:rPr>
        <w:t>4</w:t>
      </w:r>
      <w:r>
        <w:rPr/>
        <w:t>）人才优势 </w:t>
      </w:r>
      <w:r>
        <w:rPr>
          <w:spacing w:val="-2"/>
        </w:rPr>
        <w:t>经过多年的发展，公司逐步汇集了一批技术、市场、管理、资本领域的专业人才，其中不乏专业水平突出、行业经验丰</w:t>
      </w:r>
    </w:p>
    <w:p>
      <w:pPr>
        <w:pStyle w:val="BodyText"/>
        <w:spacing w:line="477" w:lineRule="auto" w:before="74"/>
        <w:ind w:right="93"/>
        <w:jc w:val="left"/>
      </w:pPr>
      <w:r>
        <w:rPr>
          <w:spacing w:val="-2"/>
        </w:rPr>
        <w:t>富的复合型人才。公司管理团队团结稳定、勤勉务实、积极进取，并高度重视人才梯队建设工作。随着企业经营规模不断扩</w:t>
      </w:r>
      <w:r>
        <w:rPr>
          <w:spacing w:val="-67"/>
        </w:rPr>
        <w:t> </w:t>
      </w:r>
      <w:r>
        <w:rPr>
          <w:spacing w:val="-67"/>
        </w:rPr>
      </w:r>
      <w:r>
        <w:rPr/>
        <w:t>大，公司仍将继续完善公司的人才战略，以人为本，广纳贤才，努力把人才优势转化为公司长远发展的推动力。</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5）投资状况分析" w:id="27"/>
      <w:bookmarkEnd w:id="27"/>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3"/>
        <w:jc w:val="left"/>
      </w:pPr>
      <w:r>
        <w:rPr>
          <w:rFonts w:ascii="Times New Roman" w:hAnsi="Times New Roman" w:cs="Times New Roman" w:eastAsia="Times New Roman" w:hint="default"/>
        </w:rPr>
        <w:t>1</w:t>
      </w:r>
      <w:r>
        <w:rPr/>
        <w:t>）对外投资情况</w:t>
      </w:r>
    </w:p>
    <w:p>
      <w:pPr>
        <w:pStyle w:val="BodyText"/>
        <w:spacing w:line="240" w:lineRule="auto" w:before="102"/>
        <w:ind w:left="154"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4"/>
        <w:gridCol w:w="1348"/>
        <w:gridCol w:w="779"/>
        <w:gridCol w:w="1487"/>
        <w:gridCol w:w="924"/>
        <w:gridCol w:w="138"/>
        <w:gridCol w:w="1064"/>
        <w:gridCol w:w="930"/>
        <w:gridCol w:w="105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306,450,000.00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1,130.72%</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8" w:right="107"/>
              <w:jc w:val="left"/>
              <w:rPr>
                <w:rFonts w:ascii="宋体" w:hAnsi="宋体" w:cs="宋体" w:eastAsia="宋体" w:hint="default"/>
                <w:sz w:val="18"/>
                <w:szCs w:val="18"/>
              </w:rPr>
            </w:pPr>
            <w:r>
              <w:rPr>
                <w:rFonts w:ascii="宋体" w:hAnsi="宋体" w:cs="宋体" w:eastAsia="宋体" w:hint="default"/>
                <w:sz w:val="18"/>
                <w:szCs w:val="18"/>
              </w:rPr>
              <w:t>上市公司占被投 资公司权益比例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北京亿美软通科技有 限公司</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为国内外企业提供移动商 务平台及运营服务。</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发行股份购 买资产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24,708,924.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提供先进的票据支付技术</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6"/>
              <w:jc w:val="center"/>
              <w:rPr>
                <w:rFonts w:ascii="宋体" w:hAnsi="宋体" w:cs="宋体" w:eastAsia="宋体" w:hint="default"/>
                <w:sz w:val="18"/>
                <w:szCs w:val="18"/>
              </w:rPr>
            </w:pPr>
            <w:r>
              <w:rPr>
                <w:rFonts w:ascii="宋体" w:hAnsi="宋体" w:cs="宋体" w:eastAsia="宋体" w:hint="default"/>
                <w:sz w:val="18"/>
                <w:szCs w:val="18"/>
              </w:rPr>
              <w:t>深圳联合金</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-1,309,101.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44"/>
        <w:gridCol w:w="2127"/>
        <w:gridCol w:w="1487"/>
        <w:gridCol w:w="1062"/>
        <w:gridCol w:w="1064"/>
        <w:gridCol w:w="930"/>
        <w:gridCol w:w="1057"/>
      </w:tblGrid>
      <w:tr>
        <w:trPr>
          <w:trHeight w:val="67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2"/>
              <w:jc w:val="left"/>
              <w:rPr>
                <w:rFonts w:ascii="宋体" w:hAnsi="宋体" w:cs="宋体" w:eastAsia="宋体" w:hint="default"/>
                <w:sz w:val="18"/>
                <w:szCs w:val="18"/>
              </w:rPr>
            </w:pPr>
            <w:r>
              <w:rPr>
                <w:rFonts w:ascii="宋体" w:hAnsi="宋体" w:cs="宋体" w:eastAsia="宋体" w:hint="default"/>
                <w:sz w:val="18"/>
                <w:szCs w:val="18"/>
              </w:rPr>
              <w:t>和与票据跨行信息交换相 关的专业化服务。</w:t>
            </w:r>
          </w:p>
        </w:tc>
        <w:tc>
          <w:tcPr>
            <w:tcW w:w="148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融服务集团 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22</w:t>
            </w:r>
          </w:p>
        </w:tc>
        <w:tc>
          <w:tcPr>
            <w:tcW w:w="10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深圳市科安数字有限 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提供网络视讯产品和相关 的系统解决方案。</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0" w:right="0"/>
              <w:jc w:val="left"/>
              <w:rPr>
                <w:rFonts w:ascii="Times New Roman" w:hAnsi="Times New Roman" w:cs="Times New Roman" w:eastAsia="Times New Roman" w:hint="default"/>
                <w:sz w:val="18"/>
                <w:szCs w:val="18"/>
              </w:rPr>
            </w:pPr>
            <w:r>
              <w:rPr>
                <w:rFonts w:ascii="Times New Roman"/>
                <w:sz w:val="18"/>
              </w:rPr>
              <w:t>51.00%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李俊</w:t>
            </w:r>
            <w:r>
              <w:rPr>
                <w:rFonts w:ascii="宋体" w:hAnsi="宋体" w:cs="宋体" w:eastAsia="宋体" w:hint="default"/>
                <w:spacing w:val="-74"/>
                <w:sz w:val="18"/>
                <w:szCs w:val="18"/>
              </w:rPr>
              <w:t>、</w:t>
            </w:r>
            <w:r>
              <w:rPr>
                <w:rFonts w:ascii="宋体" w:hAnsi="宋体" w:cs="宋体" w:eastAsia="宋体" w:hint="default"/>
                <w:sz w:val="18"/>
                <w:szCs w:val="18"/>
              </w:rPr>
              <w:t>叶仟安</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542,386.72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8"/>
        <w:rPr>
          <w:rFonts w:ascii="宋体" w:hAnsi="宋体" w:cs="宋体" w:eastAsia="宋体" w:hint="default"/>
          <w:sz w:val="12"/>
          <w:szCs w:val="12"/>
        </w:rPr>
      </w:pPr>
    </w:p>
    <w:p>
      <w:pPr>
        <w:pStyle w:val="BodyText"/>
        <w:spacing w:line="240" w:lineRule="auto" w:before="44"/>
        <w:ind w:left="154" w:right="0"/>
        <w:jc w:val="left"/>
      </w:pPr>
      <w:r>
        <w:rPr>
          <w:rFonts w:ascii="Times New Roman" w:hAnsi="Times New Roman" w:cs="Times New Roman" w:eastAsia="Times New Roman" w:hint="default"/>
        </w:rPr>
        <w:t>2</w:t>
      </w:r>
      <w:r>
        <w:rPr/>
        <w:t>）募集资金使用情况</w:t>
      </w:r>
    </w:p>
    <w:p>
      <w:pPr>
        <w:spacing w:line="240" w:lineRule="auto" w:before="10"/>
        <w:rPr>
          <w:rFonts w:ascii="宋体" w:hAnsi="宋体" w:cs="宋体" w:eastAsia="宋体" w:hint="default"/>
          <w:sz w:val="13"/>
          <w:szCs w:val="13"/>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1.</w:t>
      </w:r>
      <w:r>
        <w:rPr/>
        <w:t>募集资金总体使用情况</w:t>
      </w:r>
    </w:p>
    <w:p>
      <w:pPr>
        <w:spacing w:line="240" w:lineRule="auto" w:before="6"/>
        <w:rPr>
          <w:rFonts w:ascii="宋体" w:hAnsi="宋体" w:cs="宋体" w:eastAsia="宋体" w:hint="default"/>
          <w:sz w:val="10"/>
          <w:szCs w:val="10"/>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38,895.07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5,607.66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25,874.18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2,332.42</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3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公司经中国证券监督管理委员会</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w w:val="100"/>
                <w:sz w:val="18"/>
                <w:szCs w:val="18"/>
              </w:rPr>
              <w:t>”</w:t>
            </w:r>
            <w:r>
              <w:rPr>
                <w:rFonts w:ascii="宋体" w:hAnsi="宋体" w:cs="宋体" w:eastAsia="宋体" w:hint="default"/>
                <w:spacing w:val="1"/>
                <w:sz w:val="18"/>
                <w:szCs w:val="18"/>
              </w:rPr>
              <w:t>核</w:t>
            </w:r>
            <w:r>
              <w:rPr>
                <w:rFonts w:ascii="宋体" w:hAnsi="宋体" w:cs="宋体" w:eastAsia="宋体" w:hint="default"/>
                <w:sz w:val="18"/>
                <w:szCs w:val="18"/>
              </w:rPr>
              <w:t>准</w:t>
            </w:r>
            <w:r>
              <w:rPr>
                <w:rFonts w:ascii="宋体" w:hAnsi="宋体" w:cs="宋体" w:eastAsia="宋体" w:hint="default"/>
                <w:spacing w:val="-83"/>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首次向社会公开发行人民币普</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万股，发行价格每股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元，扣除发行费用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31,049,260.04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388,950,739.96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元。其中，募集资金投资项目使用资金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137,251,000.00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元，其余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251,699,739.96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元为用于其他与</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主营业务相关的营运资金（超募资金</w:t>
            </w:r>
            <w:r>
              <w:rPr>
                <w:rFonts w:ascii="宋体" w:hAnsi="宋体" w:cs="宋体" w:eastAsia="宋体" w:hint="default"/>
                <w:spacing w:val="-90"/>
                <w:sz w:val="18"/>
                <w:szCs w:val="18"/>
              </w:rPr>
              <w:t>）</w:t>
            </w:r>
            <w:r>
              <w:rPr>
                <w:rFonts w:ascii="宋体" w:hAnsi="宋体" w:cs="宋体" w:eastAsia="宋体" w:hint="default"/>
                <w:sz w:val="18"/>
                <w:szCs w:val="18"/>
              </w:rPr>
              <w:t>。上述资金已于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全部到位，资金到位情况业经深圳市鹏城会计师</w:t>
            </w:r>
            <w:r>
              <w:rPr>
                <w:rFonts w:ascii="宋体" w:hAnsi="宋体" w:cs="宋体" w:eastAsia="宋体" w:hint="default"/>
                <w:sz w:val="18"/>
                <w:szCs w:val="18"/>
              </w:rPr>
              <w:t> 事务所有限公司验证，并由其出具深鹏所验字</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。公司对募集资金采取了专户存储制度。</w:t>
            </w:r>
          </w:p>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日，经公司第一届董事会第十一次会议审议通过，公司使用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万元超募资金永久补充流动资金。</w:t>
            </w:r>
            <w:r>
              <w:rPr>
                <w:rFonts w:ascii="Times New Roman" w:hAnsi="Times New Roman" w:cs="Times New Roman" w:eastAsia="Times New Roman" w:hint="default"/>
                <w:spacing w:val="-4"/>
                <w:sz w:val="18"/>
                <w:szCs w:val="18"/>
              </w:rPr>
              <w:t>2012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w:t>
            </w:r>
            <w:r>
              <w:rPr>
                <w:rFonts w:ascii="宋体" w:hAnsi="宋体" w:cs="宋体" w:eastAsia="宋体" w:hint="default"/>
                <w:sz w:val="18"/>
                <w:szCs w:val="18"/>
              </w:rPr>
              <w:t>经公司第二届董事会第七次会议审议通过，公司与北京博世金信科技有限公司签订《资产收购合同</w:t>
            </w:r>
            <w:r>
              <w:rPr>
                <w:rFonts w:ascii="宋体" w:hAnsi="宋体" w:cs="宋体" w:eastAsia="宋体" w:hint="default"/>
                <w:spacing w:val="-90"/>
                <w:sz w:val="18"/>
                <w:szCs w:val="18"/>
              </w:rPr>
              <w:t>》</w:t>
            </w:r>
            <w:r>
              <w:rPr>
                <w:rFonts w:ascii="宋体" w:hAnsi="宋体" w:cs="宋体" w:eastAsia="宋体" w:hint="default"/>
                <w:sz w:val="18"/>
                <w:szCs w:val="18"/>
              </w:rPr>
              <w:t>，使用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833.10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万元收购其拥有的支票打码机的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项专利技术、相关专有技术等无形资产，以及相关存货、固定资产等有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形资产。截至报告期末，公司本项资产收购已使用超募资金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十一次会议审议通过，公司使用超募资金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万元发起设立北京华道征信有限公司，开展征信服务业务及其相关业务。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日，经公司第二届董事会第二十三次会议审议，并经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年度股东大会审议通过，公司使</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截至报告期末，公司首次公开发行股票募集资金净额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38,895.07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万元，已投入募集资金投资项目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25,817.95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万元，其中</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12,233.10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万元，公司其余超募资金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12,936.87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万元及衍生利息尚未使用。</w:t>
            </w:r>
          </w:p>
        </w:tc>
      </w:tr>
    </w:tbl>
    <w:p>
      <w:pPr>
        <w:spacing w:line="240" w:lineRule="auto" w:before="8"/>
        <w:rPr>
          <w:rFonts w:ascii="宋体" w:hAnsi="宋体" w:cs="宋体" w:eastAsia="宋体" w:hint="default"/>
          <w:sz w:val="12"/>
          <w:szCs w:val="12"/>
        </w:rPr>
      </w:pPr>
    </w:p>
    <w:p>
      <w:pPr>
        <w:pStyle w:val="BodyText"/>
        <w:spacing w:line="240" w:lineRule="auto" w:before="44"/>
        <w:ind w:left="154" w:right="0"/>
        <w:jc w:val="left"/>
      </w:pPr>
      <w:r>
        <w:rPr>
          <w:rFonts w:ascii="Times New Roman" w:hAnsi="Times New Roman" w:cs="Times New Roman" w:eastAsia="Times New Roman" w:hint="default"/>
        </w:rPr>
        <w:t>2.</w:t>
      </w:r>
      <w:r>
        <w:rPr/>
        <w:t>募集资金承诺项目情况</w:t>
      </w:r>
    </w:p>
    <w:p>
      <w:pPr>
        <w:spacing w:line="240" w:lineRule="auto" w:before="6"/>
        <w:rPr>
          <w:rFonts w:ascii="宋体" w:hAnsi="宋体" w:cs="宋体" w:eastAsia="宋体" w:hint="default"/>
          <w:sz w:val="10"/>
          <w:szCs w:val="10"/>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635"/>
        <w:gridCol w:w="811"/>
        <w:gridCol w:w="722"/>
        <w:gridCol w:w="720"/>
        <w:gridCol w:w="721"/>
        <w:gridCol w:w="722"/>
        <w:gridCol w:w="844"/>
        <w:gridCol w:w="712"/>
        <w:gridCol w:w="851"/>
        <w:gridCol w:w="568"/>
        <w:gridCol w:w="627"/>
      </w:tblGrid>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61" w:right="90"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1"/>
              <w:ind w:left="41" w:right="41"/>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9" w:right="4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2"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6" w:right="55"/>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81"/>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44" w:right="32"/>
              <w:jc w:val="both"/>
              <w:rPr>
                <w:rFonts w:ascii="宋体" w:hAnsi="宋体" w:cs="宋体" w:eastAsia="宋体" w:hint="default"/>
                <w:sz w:val="18"/>
                <w:szCs w:val="18"/>
              </w:rPr>
            </w:pPr>
            <w:r>
              <w:rPr>
                <w:rFonts w:ascii="宋体" w:hAnsi="宋体" w:cs="宋体" w:eastAsia="宋体" w:hint="default"/>
                <w:sz w:val="18"/>
                <w:szCs w:val="18"/>
              </w:rPr>
              <w:t>项目可 行性是 否发生 重大变</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622"/>
        <w:gridCol w:w="646"/>
        <w:gridCol w:w="811"/>
        <w:gridCol w:w="722"/>
        <w:gridCol w:w="720"/>
        <w:gridCol w:w="705"/>
        <w:gridCol w:w="739"/>
        <w:gridCol w:w="844"/>
        <w:gridCol w:w="712"/>
        <w:gridCol w:w="851"/>
        <w:gridCol w:w="568"/>
        <w:gridCol w:w="638"/>
      </w:tblGrid>
      <w:tr>
        <w:trPr>
          <w:trHeight w:val="362"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更</w:t>
            </w:r>
            <w:r>
              <w:rPr>
                <w:rFonts w:ascii="Times New Roman" w:hAnsi="Times New Roman" w:cs="Times New Roman" w:eastAsia="Times New Roman" w:hint="default"/>
                <w:sz w:val="18"/>
                <w:szCs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22"/>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2" w:hRule="exact"/>
        </w:trPr>
        <w:tc>
          <w:tcPr>
            <w:tcW w:w="957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商业银行全国票据 影像交换业务处理 系统升级改造</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599.58</w:t>
            </w:r>
          </w:p>
        </w:tc>
        <w:tc>
          <w:tcPr>
            <w:tcW w:w="72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599.58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501.61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商业银行同城票据 影像交换业务处理 系统</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3,763.6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3,763.6</w:t>
            </w:r>
          </w:p>
        </w:tc>
        <w:tc>
          <w:tcPr>
            <w:tcW w:w="72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3,763.6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1,310.19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银企对账管理系统</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3,144.9</w:t>
            </w:r>
          </w:p>
        </w:tc>
        <w:tc>
          <w:tcPr>
            <w:tcW w:w="72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3,144.9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1,541.48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客户服务中心</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1,705.2</w:t>
            </w:r>
          </w:p>
        </w:tc>
        <w:tc>
          <w:tcPr>
            <w:tcW w:w="72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1,705.2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1,907.65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研究开发中心</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2,179.4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2,179.4</w:t>
            </w:r>
          </w:p>
        </w:tc>
        <w:tc>
          <w:tcPr>
            <w:tcW w:w="72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2,179.4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商业银行集中运营 作业平台</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571.86</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2,212.6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813.78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119.82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35.80</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z w:val="18"/>
              </w:rPr>
              <w:t>35.80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13,725.10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13,725.1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607.66</w:t>
            </w:r>
          </w:p>
        </w:tc>
        <w:tc>
          <w:tcPr>
            <w:tcW w:w="705" w:type="dxa"/>
            <w:vMerge w:val="restart"/>
            <w:tcBorders>
              <w:top w:val="single" w:sz="4" w:space="0" w:color="000000"/>
              <w:left w:val="single" w:sz="4" w:space="0" w:color="000000"/>
              <w:right w:val="single" w:sz="9" w:space="0" w:color="D2D2D2"/>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13,641.0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1,763.61</w:t>
            </w:r>
          </w:p>
        </w:tc>
        <w:tc>
          <w:tcPr>
            <w:tcW w:w="851"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6,074.71</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9"/>
              <w:jc w:val="center"/>
              <w:rPr>
                <w:rFonts w:ascii="Times New Roman" w:hAnsi="Times New Roman" w:cs="Times New Roman" w:eastAsia="Times New Roman" w:hint="default"/>
                <w:sz w:val="18"/>
                <w:szCs w:val="18"/>
              </w:rPr>
            </w:pPr>
            <w:r>
              <w:rPr>
                <w:rFonts w:ascii="Times New Roman"/>
                <w:sz w:val="18"/>
              </w:rPr>
              <w:t>--</w:t>
            </w:r>
          </w:p>
        </w:tc>
        <w:tc>
          <w:tcPr>
            <w:tcW w:w="81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5" w:type="dxa"/>
            <w:vMerge/>
            <w:tcBorders>
              <w:left w:val="single" w:sz="4" w:space="0" w:color="000000"/>
              <w:right w:val="single" w:sz="9" w:space="0" w:color="D2D2D2"/>
            </w:tcBorders>
          </w:tcPr>
          <w:p>
            <w:pP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w:t>
            </w:r>
          </w:p>
        </w:tc>
        <w:tc>
          <w:tcPr>
            <w:tcW w:w="712" w:type="dxa"/>
            <w:vMerge/>
            <w:tcBorders>
              <w:left w:val="single" w:sz="9" w:space="0" w:color="D2D2D2"/>
              <w:right w:val="single" w:sz="4" w:space="0" w:color="000000"/>
            </w:tcBorders>
          </w:tcPr>
          <w:p>
            <w:pPr/>
          </w:p>
        </w:tc>
        <w:tc>
          <w:tcPr>
            <w:tcW w:w="851" w:type="dxa"/>
            <w:vMerge/>
            <w:tcBorders>
              <w:left w:val="single" w:sz="4" w:space="0" w:color="000000"/>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2"/>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5" w:type="dxa"/>
            <w:vMerge/>
            <w:tcBorders>
              <w:left w:val="single" w:sz="4" w:space="0" w:color="000000"/>
              <w:bottom w:val="single" w:sz="4" w:space="0" w:color="000000"/>
              <w:right w:val="single" w:sz="9" w:space="0" w:color="D2D2D2"/>
            </w:tcBorders>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2"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收购北京博世金信 科技有限公司部分 资产</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833.1</w:t>
            </w:r>
          </w:p>
        </w:tc>
        <w:tc>
          <w:tcPr>
            <w:tcW w:w="72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733.1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498.42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投资设立北京华道 征信有限公司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2,000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6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9,500.00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9,500.00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5,000.00</w:t>
            </w:r>
          </w:p>
        </w:tc>
        <w:tc>
          <w:tcPr>
            <w:tcW w:w="705" w:type="dxa"/>
            <w:vMerge w:val="restart"/>
            <w:tcBorders>
              <w:top w:val="single" w:sz="4" w:space="0" w:color="000000"/>
              <w:left w:val="single" w:sz="4" w:space="0" w:color="000000"/>
              <w:right w:val="single" w:sz="4" w:space="0" w:color="000000"/>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z w:val="18"/>
              </w:rPr>
              <w:t>9,500.0</w:t>
            </w:r>
          </w:p>
          <w:p>
            <w:pPr>
              <w:pStyle w:val="TableParagraph"/>
              <w:spacing w:line="240" w:lineRule="auto" w:before="105"/>
              <w:ind w:right="54"/>
              <w:jc w:val="right"/>
              <w:rPr>
                <w:rFonts w:ascii="Times New Roman" w:hAnsi="Times New Roman" w:cs="Times New Roman" w:eastAsia="Times New Roman" w:hint="default"/>
                <w:sz w:val="18"/>
                <w:szCs w:val="18"/>
              </w:rPr>
            </w:pPr>
            <w:r>
              <w:rPr>
                <w:rFonts w:ascii="Times New Roman"/>
                <w:sz w:val="18"/>
              </w:rPr>
              <w:t>0</w:t>
            </w:r>
          </w:p>
        </w:tc>
        <w:tc>
          <w:tcPr>
            <w:tcW w:w="739"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vMerge/>
            <w:tcBorders>
              <w:left w:val="single" w:sz="4" w:space="0" w:color="000000"/>
              <w:right w:val="single" w:sz="4" w:space="0" w:color="000000"/>
            </w:tcBorders>
            <w:shd w:val="clear" w:color="auto" w:fill="D2D2D2"/>
          </w:tcPr>
          <w:p>
            <w:pPr/>
          </w:p>
        </w:tc>
        <w:tc>
          <w:tcPr>
            <w:tcW w:w="6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1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5" w:type="dxa"/>
            <w:vMerge/>
            <w:tcBorders>
              <w:left w:val="single" w:sz="4" w:space="0" w:color="000000"/>
              <w:right w:val="single" w:sz="4" w:space="0" w:color="000000"/>
            </w:tcBorders>
          </w:tcPr>
          <w:p>
            <w:pPr/>
          </w:p>
        </w:tc>
        <w:tc>
          <w:tcPr>
            <w:tcW w:w="739" w:type="dxa"/>
            <w:vMerge/>
            <w:tcBorders>
              <w:left w:val="single" w:sz="4" w:space="0" w:color="000000"/>
              <w:right w:val="single" w:sz="9" w:space="0" w:color="D2D2D2"/>
            </w:tcBorders>
          </w:tcPr>
          <w:p>
            <w:pPr/>
          </w:p>
        </w:tc>
        <w:tc>
          <w:tcPr>
            <w:tcW w:w="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w:t>
            </w:r>
          </w:p>
        </w:tc>
        <w:tc>
          <w:tcPr>
            <w:tcW w:w="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2"/>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6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5"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9" w:space="0" w:color="D2D2D2"/>
            </w:tcBorders>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12,333.1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12,333.1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5,000.00</w:t>
            </w:r>
          </w:p>
        </w:tc>
        <w:tc>
          <w:tcPr>
            <w:tcW w:w="705" w:type="dxa"/>
            <w:vMerge w:val="restart"/>
            <w:tcBorders>
              <w:top w:val="single" w:sz="4" w:space="0" w:color="000000"/>
              <w:left w:val="single" w:sz="4" w:space="0" w:color="000000"/>
              <w:right w:val="single" w:sz="9" w:space="0" w:color="D2D2D2"/>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12,233.</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10</w:t>
            </w: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71.45</w:t>
            </w:r>
          </w:p>
        </w:tc>
        <w:tc>
          <w:tcPr>
            <w:tcW w:w="851"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504.34</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1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5" w:type="dxa"/>
            <w:vMerge/>
            <w:tcBorders>
              <w:left w:val="single" w:sz="4" w:space="0" w:color="000000"/>
              <w:right w:val="single" w:sz="9" w:space="0" w:color="D2D2D2"/>
            </w:tcBorders>
          </w:tcPr>
          <w:p>
            <w:pP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3"/>
              <w:jc w:val="center"/>
              <w:rPr>
                <w:rFonts w:ascii="Times New Roman" w:hAnsi="Times New Roman" w:cs="Times New Roman" w:eastAsia="Times New Roman" w:hint="default"/>
                <w:sz w:val="18"/>
                <w:szCs w:val="18"/>
              </w:rPr>
            </w:pPr>
            <w:r>
              <w:rPr>
                <w:rFonts w:ascii="Times New Roman"/>
                <w:sz w:val="18"/>
              </w:rPr>
              <w:t>--</w:t>
            </w:r>
          </w:p>
        </w:tc>
        <w:tc>
          <w:tcPr>
            <w:tcW w:w="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w:t>
            </w:r>
          </w:p>
        </w:tc>
        <w:tc>
          <w:tcPr>
            <w:tcW w:w="712" w:type="dxa"/>
            <w:vMerge/>
            <w:tcBorders>
              <w:left w:val="single" w:sz="9" w:space="0" w:color="D2D2D2"/>
              <w:right w:val="single" w:sz="4" w:space="0" w:color="000000"/>
            </w:tcBorders>
          </w:tcPr>
          <w:p>
            <w:pPr/>
          </w:p>
        </w:tc>
        <w:tc>
          <w:tcPr>
            <w:tcW w:w="851" w:type="dxa"/>
            <w:vMerge/>
            <w:tcBorders>
              <w:left w:val="single" w:sz="4" w:space="0" w:color="000000"/>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2"/>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5" w:type="dxa"/>
            <w:vMerge/>
            <w:tcBorders>
              <w:left w:val="single" w:sz="4" w:space="0" w:color="000000"/>
              <w:bottom w:val="single" w:sz="4" w:space="0" w:color="000000"/>
              <w:right w:val="single" w:sz="9" w:space="0" w:color="D2D2D2"/>
            </w:tcBorders>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2"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26,058.20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26,058.2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5,607.66</w:t>
            </w:r>
          </w:p>
        </w:tc>
        <w:tc>
          <w:tcPr>
            <w:tcW w:w="705" w:type="dxa"/>
            <w:vMerge w:val="restart"/>
            <w:tcBorders>
              <w:top w:val="single" w:sz="4" w:space="0" w:color="000000"/>
              <w:left w:val="single" w:sz="4" w:space="0" w:color="000000"/>
              <w:right w:val="single" w:sz="9" w:space="0" w:color="D2D2D2"/>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25,874.</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18</w:t>
            </w: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1,835.06</w:t>
            </w:r>
          </w:p>
        </w:tc>
        <w:tc>
          <w:tcPr>
            <w:tcW w:w="851"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6,579.05</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1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5" w:type="dxa"/>
            <w:vMerge/>
            <w:tcBorders>
              <w:left w:val="single" w:sz="4" w:space="0" w:color="000000"/>
              <w:right w:val="single" w:sz="9" w:space="0" w:color="D2D2D2"/>
            </w:tcBorders>
          </w:tcPr>
          <w:p>
            <w:pP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3"/>
              <w:jc w:val="center"/>
              <w:rPr>
                <w:rFonts w:ascii="Times New Roman" w:hAnsi="Times New Roman" w:cs="Times New Roman" w:eastAsia="Times New Roman" w:hint="default"/>
                <w:sz w:val="18"/>
                <w:szCs w:val="18"/>
              </w:rPr>
            </w:pPr>
            <w:r>
              <w:rPr>
                <w:rFonts w:ascii="Times New Roman"/>
                <w:sz w:val="18"/>
              </w:rPr>
              <w:t>--</w:t>
            </w:r>
          </w:p>
        </w:tc>
        <w:tc>
          <w:tcPr>
            <w:tcW w:w="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w:t>
            </w:r>
          </w:p>
        </w:tc>
        <w:tc>
          <w:tcPr>
            <w:tcW w:w="712" w:type="dxa"/>
            <w:vMerge/>
            <w:tcBorders>
              <w:left w:val="single" w:sz="9" w:space="0" w:color="D2D2D2"/>
              <w:right w:val="single" w:sz="4" w:space="0" w:color="000000"/>
            </w:tcBorders>
          </w:tcPr>
          <w:p>
            <w:pPr/>
          </w:p>
        </w:tc>
        <w:tc>
          <w:tcPr>
            <w:tcW w:w="851" w:type="dxa"/>
            <w:vMerge/>
            <w:tcBorders>
              <w:left w:val="single" w:sz="4" w:space="0" w:color="000000"/>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2"/>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5" w:type="dxa"/>
            <w:vMerge/>
            <w:tcBorders>
              <w:left w:val="single" w:sz="4" w:space="0" w:color="000000"/>
              <w:bottom w:val="single" w:sz="4" w:space="0" w:color="000000"/>
              <w:right w:val="single" w:sz="9" w:space="0" w:color="D2D2D2"/>
            </w:tcBorders>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2"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55"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55"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报告期内，项目可行性未发生重大变化。</w:t>
            </w:r>
          </w:p>
        </w:tc>
      </w:tr>
      <w:tr>
        <w:trPr>
          <w:trHeight w:val="205"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5"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7" w:hRule="exact"/>
        </w:trPr>
        <w:tc>
          <w:tcPr>
            <w:tcW w:w="162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55" w:type="dxa"/>
            <w:gridSpan w:val="11"/>
            <w:vMerge/>
            <w:tcBorders>
              <w:left w:val="single" w:sz="10" w:space="0" w:color="D2D2D2"/>
              <w:bottom w:val="single" w:sz="4" w:space="0" w:color="000000"/>
              <w:right w:val="single" w:sz="4" w:space="0" w:color="000000"/>
            </w:tcBorders>
          </w:tcPr>
          <w:p>
            <w:pPr/>
          </w:p>
        </w:tc>
      </w:tr>
      <w:tr>
        <w:trPr>
          <w:trHeight w:val="508" w:hRule="exact"/>
        </w:trPr>
        <w:tc>
          <w:tcPr>
            <w:tcW w:w="1622" w:type="dxa"/>
            <w:vMerge/>
            <w:tcBorders>
              <w:left w:val="single" w:sz="4" w:space="0" w:color="000000"/>
              <w:bottom w:val="nil" w:sz="6" w:space="0" w:color="auto"/>
              <w:right w:val="single" w:sz="4" w:space="0" w:color="000000"/>
            </w:tcBorders>
            <w:shd w:val="clear" w:color="auto" w:fill="D2D2D2"/>
          </w:tcPr>
          <w:p>
            <w:pPr/>
          </w:p>
        </w:tc>
        <w:tc>
          <w:tcPr>
            <w:tcW w:w="7955"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公司超募资金共计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25,169.97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日第一届董事会第十一次会议审议通过，公</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万元永久补充流动资金。截至报告期末，该项目已全部投入。</w:t>
            </w:r>
          </w:p>
        </w:tc>
      </w:tr>
      <w:tr>
        <w:trPr>
          <w:trHeight w:val="206"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5"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634"/>
        <w:gridCol w:w="7944"/>
      </w:tblGrid>
      <w:tr>
        <w:trPr>
          <w:trHeight w:val="266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日第二届董事会第七次会议审议通过，公司使用超募资金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万元收购北京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博世金信科技有限公司的支票打码机的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项专利技术、相关专有技术等无形资产及相关有形资产。截</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至报告期末，公司本项资产收购已使用超募资金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102"/>
              <w:ind w:left="22" w:right="-1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3"/>
                <w:sz w:val="18"/>
                <w:szCs w:val="18"/>
              </w:rPr>
              <w:t>日第二届董事会第二十一次会议审议通过，公司使用超募资金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万元发起 设立北京华道征信有限公司，开展征信服务业务及其相关业务。截至报告期末，该项目已全部投入。</w:t>
            </w:r>
          </w:p>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日第二届董事会第二十三次会议和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过，公司使用超募资金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万元永久补充流动资金。截至报告期末，该项目已全部投入。</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截至报告期末，公司募集资金专户尚有超募资金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12,936.87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万元及衍生利息尚未使用。</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6"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日第二届董事会第八次会议审议通过，公司原五个募集资金投资项目的实施地 点从深圳市科技园科发路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号金融服务技术创新基地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变更至深圳市福田区天安数码城天祥大 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10A</w:t>
            </w:r>
            <w:r>
              <w:rPr>
                <w:rFonts w:ascii="宋体" w:hAnsi="宋体" w:cs="宋体" w:eastAsia="宋体" w:hint="default"/>
                <w:sz w:val="18"/>
                <w:szCs w:val="18"/>
              </w:rPr>
              <w:t>。独立董事和保荐机构均对本次变更发表了同意意见。</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日第一届董事会第十一次会议审议通过，公司以募集资金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8,793,875.86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元置换预 </w:t>
            </w:r>
            <w:r>
              <w:rPr>
                <w:rFonts w:ascii="宋体" w:hAnsi="宋体" w:cs="宋体" w:eastAsia="宋体" w:hint="default"/>
                <w:spacing w:val="-1"/>
                <w:sz w:val="18"/>
                <w:szCs w:val="18"/>
              </w:rPr>
              <w:t>先已投入募投项目的自筹资金。本次置换业经深圳市鹏城会计师事务所有限公司核验并出具了深鹏所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股专字</w:t>
            </w:r>
            <w:r>
              <w:rPr>
                <w:rFonts w:ascii="Times New Roman" w:hAnsi="Times New Roman" w:cs="Times New Roman" w:eastAsia="Times New Roman" w:hint="default"/>
                <w:sz w:val="18"/>
                <w:szCs w:val="18"/>
              </w:rPr>
              <w:t>[2010]438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号鉴证报告。独立董事和保荐机构均对本次置换发表了同意意见。</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4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尚未使用的募集资金均存放在公司募集资金专项账户。</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Times New Roman" w:hAnsi="Times New Roman" w:cs="Times New Roman" w:eastAsia="Times New Roman" w:hint="default"/>
          <w:sz w:val="14"/>
          <w:szCs w:val="14"/>
        </w:rPr>
      </w:pPr>
    </w:p>
    <w:p>
      <w:pPr>
        <w:pStyle w:val="BodyText"/>
        <w:spacing w:line="240" w:lineRule="auto" w:before="44"/>
        <w:ind w:left="154" w:right="0"/>
        <w:jc w:val="left"/>
      </w:pPr>
      <w:r>
        <w:rPr>
          <w:rFonts w:ascii="Times New Roman" w:hAnsi="Times New Roman" w:cs="Times New Roman" w:eastAsia="Times New Roman" w:hint="default"/>
        </w:rPr>
        <w:t>3.</w:t>
      </w:r>
      <w:r>
        <w:rPr/>
        <w:t>募集资金变更项目情况</w:t>
      </w:r>
    </w:p>
    <w:p>
      <w:pPr>
        <w:spacing w:line="240" w:lineRule="auto" w:before="10"/>
        <w:rPr>
          <w:rFonts w:ascii="宋体" w:hAnsi="宋体" w:cs="宋体" w:eastAsia="宋体" w:hint="default"/>
          <w:sz w:val="13"/>
          <w:szCs w:val="13"/>
        </w:rPr>
      </w:pPr>
    </w:p>
    <w:p>
      <w:pPr>
        <w:pStyle w:val="BodyText"/>
        <w:spacing w:line="412" w:lineRule="auto"/>
        <w:ind w:left="513" w:right="59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2"/>
        <w:rPr>
          <w:rFonts w:ascii="宋体" w:hAnsi="宋体" w:cs="宋体" w:eastAsia="宋体" w:hint="default"/>
          <w:sz w:val="17"/>
          <w:szCs w:val="17"/>
        </w:rPr>
      </w:pPr>
    </w:p>
    <w:p>
      <w:pPr>
        <w:pStyle w:val="BodyText"/>
        <w:spacing w:line="240" w:lineRule="auto"/>
        <w:ind w:left="154" w:right="0"/>
        <w:jc w:val="left"/>
      </w:pPr>
      <w:r>
        <w:rPr>
          <w:rFonts w:ascii="Times New Roman" w:hAnsi="Times New Roman" w:cs="Times New Roman" w:eastAsia="Times New Roman" w:hint="default"/>
        </w:rPr>
        <w:t>3</w:t>
      </w:r>
      <w:r>
        <w:rPr/>
        <w:t>）非募集资金投资的重大项目情况</w:t>
      </w:r>
    </w:p>
    <w:p>
      <w:pPr>
        <w:spacing w:line="240" w:lineRule="auto" w:before="10"/>
        <w:rPr>
          <w:rFonts w:ascii="宋体" w:hAnsi="宋体" w:cs="宋体" w:eastAsia="宋体" w:hint="default"/>
          <w:sz w:val="13"/>
          <w:szCs w:val="13"/>
        </w:rPr>
      </w:pPr>
    </w:p>
    <w:p>
      <w:pPr>
        <w:pStyle w:val="BodyText"/>
        <w:spacing w:line="412" w:lineRule="auto"/>
        <w:ind w:left="513" w:right="59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after="0" w:line="412"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4</w:t>
      </w:r>
      <w:r>
        <w:rPr/>
        <w:t>）持有其他上市公司股权情况</w:t>
      </w:r>
    </w:p>
    <w:p>
      <w:pPr>
        <w:spacing w:line="240" w:lineRule="auto" w:before="10"/>
        <w:rPr>
          <w:rFonts w:ascii="宋体" w:hAnsi="宋体" w:cs="宋体" w:eastAsia="宋体" w:hint="default"/>
          <w:sz w:val="13"/>
          <w:szCs w:val="13"/>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5</w:t>
      </w:r>
      <w:r>
        <w:rPr/>
        <w:t>）持有金融企业股权情况</w:t>
      </w:r>
    </w:p>
    <w:p>
      <w:pPr>
        <w:spacing w:line="240" w:lineRule="auto" w:before="12"/>
        <w:rPr>
          <w:rFonts w:ascii="宋体" w:hAnsi="宋体" w:cs="宋体" w:eastAsia="宋体" w:hint="default"/>
          <w:sz w:val="13"/>
          <w:szCs w:val="13"/>
        </w:rPr>
      </w:pPr>
    </w:p>
    <w:p>
      <w:pPr>
        <w:pStyle w:val="BodyText"/>
        <w:spacing w:line="412" w:lineRule="auto"/>
        <w:ind w:left="513" w:right="67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w:t>
      </w:r>
    </w:p>
    <w:p>
      <w:pPr>
        <w:spacing w:line="240" w:lineRule="auto" w:before="2"/>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6</w:t>
      </w:r>
      <w:r>
        <w:rPr/>
        <w:t>）买卖其他上市公司股份的情况</w:t>
      </w:r>
    </w:p>
    <w:p>
      <w:pPr>
        <w:spacing w:line="240" w:lineRule="auto" w:before="10"/>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7</w:t>
      </w:r>
      <w:r>
        <w:rPr/>
        <w:t>）以公允价值计量的金融资产</w:t>
      </w:r>
    </w:p>
    <w:p>
      <w:pPr>
        <w:spacing w:line="240" w:lineRule="auto" w:before="12"/>
        <w:rPr>
          <w:rFonts w:ascii="宋体" w:hAnsi="宋体" w:cs="宋体" w:eastAsia="宋体" w:hint="default"/>
          <w:sz w:val="13"/>
          <w:szCs w:val="13"/>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6）主要控股参股公司分析" w:id="28"/>
      <w:bookmarkEnd w:id="28"/>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98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880" w:bottom="280" w:left="980" w:right="980"/>
          <w:cols w:num="2" w:equalWidth="0">
            <w:col w:w="2315" w:space="6605"/>
            <w:col w:w="103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614"/>
        <w:gridCol w:w="850"/>
        <w:gridCol w:w="1702"/>
        <w:gridCol w:w="851"/>
        <w:gridCol w:w="832"/>
        <w:gridCol w:w="942"/>
        <w:gridCol w:w="778"/>
        <w:gridCol w:w="992"/>
        <w:gridCol w:w="1060"/>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2" w:right="30"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7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深圳市银 之杰金融 设备有限 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95"/>
              <w:jc w:val="left"/>
              <w:rPr>
                <w:rFonts w:ascii="宋体" w:hAnsi="宋体" w:cs="宋体" w:eastAsia="宋体" w:hint="default"/>
                <w:sz w:val="18"/>
                <w:szCs w:val="18"/>
              </w:rPr>
            </w:pPr>
            <w:r>
              <w:rPr>
                <w:rFonts w:ascii="宋体" w:hAnsi="宋体" w:cs="宋体" w:eastAsia="宋体" w:hint="default"/>
                <w:sz w:val="18"/>
                <w:szCs w:val="18"/>
              </w:rPr>
              <w:t>金融信息 化行业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both"/>
              <w:rPr>
                <w:rFonts w:ascii="宋体" w:hAnsi="宋体" w:cs="宋体" w:eastAsia="宋体" w:hint="default"/>
                <w:sz w:val="18"/>
                <w:szCs w:val="18"/>
              </w:rPr>
            </w:pPr>
            <w:r>
              <w:rPr>
                <w:rFonts w:ascii="宋体" w:hAnsi="宋体" w:cs="宋体" w:eastAsia="宋体" w:hint="default"/>
                <w:sz w:val="18"/>
                <w:szCs w:val="18"/>
              </w:rPr>
              <w:t>主要为本公司提供金 融专用设备的组装加 工生产服务和部分核 心技术的开发服务， 其收入销售对象是本 公司，再由本公司对 外销售。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17,908,17</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1.15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6,217,917.9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25,781,72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7.82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-578,707.71</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-107,052.97</w:t>
            </w:r>
          </w:p>
        </w:tc>
      </w:tr>
      <w:tr>
        <w:trPr>
          <w:trHeight w:val="25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深圳市银 之杰技术 开发有限 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金融信息 化行业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主要为本公司提供金 融专业设备产品的底 层控制软件及终端应 用软件技术的开发服 务，其收入销售对象 是本公司，再由本公 司组成产品对外销 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4,848,733.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4,508,326.3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10,483,93</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9,008,048.1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10,161,242.6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深圳票联 金融服务 有限公司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金融信息 化行业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银行支票金融服务业 务及其派生业务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12,799,72</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6.96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12,324,264.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9,995,899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108,679.20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-3,042,744.6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北京华道 征信有限 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征信服务 行业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征信服务业务及其相 关业务。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50,282,16</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5.94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50,147,971.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436,893.2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222,615.14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147,971.55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88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46"/>
        <w:gridCol w:w="614"/>
        <w:gridCol w:w="850"/>
        <w:gridCol w:w="1702"/>
        <w:gridCol w:w="851"/>
        <w:gridCol w:w="832"/>
        <w:gridCol w:w="942"/>
        <w:gridCol w:w="778"/>
        <w:gridCol w:w="992"/>
        <w:gridCol w:w="1060"/>
      </w:tblGrid>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北京亿美 软通科技 有限公司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移动商务 服务行业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6"/>
              <w:jc w:val="both"/>
              <w:rPr>
                <w:rFonts w:ascii="宋体" w:hAnsi="宋体" w:cs="宋体" w:eastAsia="宋体" w:hint="default"/>
                <w:sz w:val="18"/>
                <w:szCs w:val="18"/>
              </w:rPr>
            </w:pPr>
            <w:r>
              <w:rPr>
                <w:rFonts w:ascii="宋体" w:hAnsi="宋体" w:cs="宋体" w:eastAsia="宋体" w:hint="default"/>
                <w:sz w:val="18"/>
                <w:szCs w:val="18"/>
              </w:rPr>
              <w:t>为国内外企业提供移 动通讯服务和移动互 联网应用服务。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273,925,5</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34.53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162,969,97</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5.88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73,186,55</w:t>
            </w:r>
          </w:p>
          <w:p>
            <w:pPr>
              <w:pStyle w:val="TableParagraph"/>
              <w:spacing w:line="240" w:lineRule="auto" w:before="106"/>
              <w:ind w:left="431" w:right="0"/>
              <w:jc w:val="left"/>
              <w:rPr>
                <w:rFonts w:ascii="Times New Roman" w:hAnsi="Times New Roman" w:cs="Times New Roman" w:eastAsia="Times New Roman" w:hint="default"/>
                <w:sz w:val="18"/>
                <w:szCs w:val="18"/>
              </w:rPr>
            </w:pPr>
            <w:r>
              <w:rPr>
                <w:rFonts w:ascii="Times New Roman"/>
                <w:sz w:val="18"/>
              </w:rPr>
              <w:t>9.72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29,057,478.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24,708,924.6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深圳市科 安数字有 限公司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电子商务 行业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46"/>
              <w:jc w:val="left"/>
              <w:rPr>
                <w:rFonts w:ascii="宋体" w:hAnsi="宋体" w:cs="宋体" w:eastAsia="宋体" w:hint="default"/>
                <w:sz w:val="18"/>
                <w:szCs w:val="18"/>
              </w:rPr>
            </w:pPr>
            <w:r>
              <w:rPr>
                <w:rFonts w:ascii="宋体" w:hAnsi="宋体" w:cs="宋体" w:eastAsia="宋体" w:hint="default"/>
                <w:sz w:val="18"/>
                <w:szCs w:val="18"/>
              </w:rPr>
              <w:t>家居安防及相关产品 的电子商务业务。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1,020,400.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14,003,10</w:t>
            </w:r>
          </w:p>
          <w:p>
            <w:pPr>
              <w:pStyle w:val="TableParagraph"/>
              <w:spacing w:line="240" w:lineRule="auto" w:before="106"/>
              <w:ind w:left="483" w:right="0"/>
              <w:jc w:val="left"/>
              <w:rPr>
                <w:rFonts w:ascii="Times New Roman" w:hAnsi="Times New Roman" w:cs="Times New Roman" w:eastAsia="Times New Roman" w:hint="default"/>
                <w:sz w:val="18"/>
                <w:szCs w:val="18"/>
              </w:rPr>
            </w:pPr>
            <w:r>
              <w:rPr>
                <w:rFonts w:ascii="Times New Roman"/>
                <w:sz w:val="18"/>
              </w:rPr>
              <w:t>7.74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7,068,532.3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8,149,663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1,240,016.1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1,063,503.38</w:t>
            </w:r>
          </w:p>
        </w:tc>
      </w:tr>
    </w:tbl>
    <w:p>
      <w:pPr>
        <w:pStyle w:val="BodyText"/>
        <w:spacing w:line="436" w:lineRule="auto" w:before="51"/>
        <w:ind w:left="514" w:right="7292" w:hanging="360"/>
        <w:jc w:val="left"/>
      </w:pPr>
      <w:r>
        <w:rPr/>
        <w:t>主要子公司、参股公司情况说明 无。</w:t>
      </w:r>
    </w:p>
    <w:p>
      <w:pPr>
        <w:pStyle w:val="BodyText"/>
        <w:spacing w:line="240" w:lineRule="auto" w:before="47"/>
        <w:ind w:right="93"/>
        <w:jc w:val="left"/>
      </w:pPr>
      <w:r>
        <w:rPr/>
        <w:t>报告期内取得和处置子公司的情况</w:t>
      </w:r>
    </w:p>
    <w:p>
      <w:pPr>
        <w:pStyle w:val="BodyText"/>
        <w:spacing w:line="240" w:lineRule="auto" w:before="117"/>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拓宽公司业务领域，增强公司 盈利能力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增加公司的营业收入、营业利 润、净利润等经营业绩，并和 公司其他相关业务有良好的 协同发展效应。</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拓宽公司业务领域，增加公司 盈利能力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自有资金增资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增加公司的营业收入、营业利 润、净利润等经营业绩，并和 公司其他相关业务有良好的 协同发展效应。</w:t>
            </w:r>
          </w:p>
        </w:tc>
      </w:tr>
    </w:tbl>
    <w:p>
      <w:pPr>
        <w:spacing w:line="240" w:lineRule="auto" w:before="2"/>
        <w:rPr>
          <w:rFonts w:ascii="宋体" w:hAnsi="宋体" w:cs="宋体" w:eastAsia="宋体" w:hint="default"/>
          <w:sz w:val="19"/>
          <w:szCs w:val="19"/>
        </w:rPr>
      </w:pPr>
    </w:p>
    <w:p>
      <w:pPr>
        <w:pStyle w:val="Heading3"/>
        <w:spacing w:line="240" w:lineRule="auto" w:before="35"/>
        <w:ind w:right="93"/>
        <w:jc w:val="left"/>
        <w:rPr>
          <w:b w:val="0"/>
          <w:bCs w:val="0"/>
        </w:rPr>
      </w:pPr>
      <w:bookmarkStart w:name="（7）公司控制的特殊目的主体情况" w:id="29"/>
      <w:bookmarkEnd w:id="29"/>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3"/>
        <w:jc w:val="left"/>
        <w:rPr>
          <w:b w:val="0"/>
          <w:bCs w:val="0"/>
        </w:rPr>
      </w:pPr>
      <w:bookmarkStart w:name="二、公司未来发展的展望" w:id="30"/>
      <w:bookmarkEnd w:id="30"/>
      <w:r>
        <w:rPr>
          <w:b w:val="0"/>
          <w:bCs w:val="0"/>
        </w:rPr>
      </w:r>
      <w:r>
        <w:rPr/>
        <w:t>二、公司未来发展的展望</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2" w:firstLine="360"/>
        <w:jc w:val="both"/>
      </w:pPr>
      <w:r>
        <w:rPr>
          <w:spacing w:val="-2"/>
        </w:rPr>
        <w:t>按照公司既定的战略发展规划，公司的主营业务已经从金融信息化向互联网金融领域延伸发展。目前，公司主营业务已</w:t>
      </w:r>
      <w:r>
        <w:rPr/>
        <w:t> </w:t>
      </w:r>
      <w:r>
        <w:rPr>
          <w:spacing w:val="-2"/>
        </w:rPr>
        <w:t>经涉及金融信息化、移动商务服务、电子商务等多个行业领域，并且投资和布局个人征信服务、票据自助金融服务、互联网</w:t>
      </w:r>
      <w:r>
        <w:rPr>
          <w:spacing w:val="-66"/>
        </w:rPr>
        <w:t> </w:t>
      </w:r>
      <w:r>
        <w:rPr>
          <w:spacing w:val="-66"/>
        </w:rPr>
      </w:r>
      <w:r>
        <w:rPr/>
        <w:t>保险、大数据运营服务等业务领域。公司业务迎来了全新的发展局面。</w:t>
      </w:r>
    </w:p>
    <w:p>
      <w:pPr>
        <w:pStyle w:val="BodyText"/>
        <w:spacing w:line="477" w:lineRule="auto" w:before="54"/>
        <w:ind w:right="93" w:firstLine="360"/>
        <w:jc w:val="left"/>
      </w:pPr>
      <w:r>
        <w:rPr>
          <w:spacing w:val="-2"/>
        </w:rPr>
        <w:t>在金融信息化领域，随着人民币利率市场化来临，银行盈利空间下降对运营成本形成新的压力，因此，通过智能化、虚</w:t>
      </w:r>
      <w:r>
        <w:rPr/>
        <w:t> 拟化的业务处理手段，促进银行网点向小型化、自助化转变是行业趋势，从而为公司自助终端产品提供了重要的市场机遇。 同时，银行日益重视风险控制，不断采用新的技术手段提升风控水平，也为公司的风险防范产品提供了广泛的应用需求。</w:t>
      </w:r>
    </w:p>
    <w:p>
      <w:pPr>
        <w:pStyle w:val="BodyText"/>
        <w:spacing w:line="477" w:lineRule="auto" w:before="54"/>
        <w:ind w:left="154" w:right="191" w:firstLine="360"/>
        <w:jc w:val="both"/>
      </w:pPr>
      <w:r>
        <w:rPr/>
        <w:t>在新兴金融行业领域，互联网金融大潮涌动，围绕互联网</w:t>
      </w:r>
      <w:r>
        <w:rPr>
          <w:rFonts w:ascii="宋体" w:hAnsi="宋体" w:cs="宋体" w:eastAsia="宋体" w:hint="default"/>
        </w:rPr>
        <w:t>+</w:t>
      </w:r>
      <w:r>
        <w:rPr/>
        <w:t>金融的创新业务层出不穷，市场空间巨大。同时，互联网银 </w:t>
      </w:r>
      <w:r>
        <w:rPr>
          <w:spacing w:val="-2"/>
        </w:rPr>
        <w:t>行创新运营模式的出现，倒逼传统银行业务模式、业务手段发生变革。移动互联网技术和互联网金融思维相互渗透，传统金</w:t>
      </w:r>
      <w:r>
        <w:rPr>
          <w:spacing w:val="-66"/>
        </w:rPr>
        <w:t> </w:t>
      </w:r>
      <w:r>
        <w:rPr>
          <w:spacing w:val="-66"/>
        </w:rPr>
      </w:r>
      <w:r>
        <w:rPr/>
        <w:t>融行业与移动互联网相结合，未来发展潜力无限。</w:t>
      </w:r>
    </w:p>
    <w:p>
      <w:pPr>
        <w:pStyle w:val="BodyText"/>
        <w:spacing w:line="240" w:lineRule="auto" w:before="54"/>
        <w:ind w:left="514" w:right="0"/>
        <w:jc w:val="left"/>
      </w:pPr>
      <w:r>
        <w:rPr/>
        <w:t>围绕公司长期战略规划和近期发展目标，</w:t>
      </w:r>
      <w:r>
        <w:rPr>
          <w:rFonts w:ascii="宋体" w:hAnsi="宋体" w:cs="宋体" w:eastAsia="宋体" w:hint="default"/>
        </w:rPr>
        <w:t>2015</w:t>
      </w:r>
      <w:r>
        <w:rPr/>
        <w:t>年度公司将坚持既定发展战略，立足于目前公司已有的业务布局基础，一</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0"/>
        <w:jc w:val="left"/>
      </w:pPr>
      <w:r>
        <w:rPr>
          <w:spacing w:val="-2"/>
        </w:rPr>
        <w:t>方面着力推动已投资项目的落地，同时发挥在各投资领域的整合优势，扎实推进公司互联网金融产业发展战略，逐步构建互</w:t>
      </w:r>
      <w:r>
        <w:rPr>
          <w:spacing w:val="-66"/>
        </w:rPr>
        <w:t> </w:t>
      </w:r>
      <w:r>
        <w:rPr>
          <w:spacing w:val="-66"/>
        </w:rPr>
      </w:r>
      <w:r>
        <w:rPr/>
        <w:t>联网金融的产业生态圈，推动公司整体业绩提升，为股东创造更大的价值。</w:t>
      </w:r>
    </w:p>
    <w:p>
      <w:pPr>
        <w:pStyle w:val="BodyText"/>
        <w:spacing w:line="477" w:lineRule="auto" w:before="54"/>
        <w:ind w:left="513" w:right="0"/>
        <w:jc w:val="left"/>
      </w:pPr>
      <w:r>
        <w:rPr/>
        <w:t>为了逐步实现以上发展构想，公司</w:t>
      </w:r>
      <w:r>
        <w:rPr>
          <w:rFonts w:ascii="宋体" w:hAnsi="宋体" w:cs="宋体" w:eastAsia="宋体" w:hint="default"/>
        </w:rPr>
        <w:t>2015</w:t>
      </w:r>
      <w:r>
        <w:rPr/>
        <w:t>年度将重点做好以下主要工作： 一是继续落实和推进公司金融信息化领域的重点新产品的研发和市场推广； 二是务实推进公司投资的支票金融服务业务、征信服务业务，早日实现新业务模式、新业务领域的创收和盈利； 三是利用上市公司品牌和融资平台工具，积极筹措业务发展所需的资金支持； </w:t>
      </w:r>
      <w:r>
        <w:rPr>
          <w:spacing w:val="-2"/>
        </w:rPr>
        <w:t>四是通过并购或投资与公司战略发展业务领域相关联或互补的优质企业或产品，开拓新的业务领域和业务模式，促进公</w:t>
      </w:r>
    </w:p>
    <w:p>
      <w:pPr>
        <w:pStyle w:val="BodyText"/>
        <w:spacing w:line="240" w:lineRule="auto" w:before="54"/>
        <w:ind w:right="0"/>
        <w:jc w:val="both"/>
      </w:pPr>
      <w:r>
        <w:rPr/>
        <w:t>司做大做强。</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bookmarkStart w:name="三、董事会、监事会对会计师事务所本报告期“非标准审计报告”的说明" w:id="31"/>
      <w:bookmarkEnd w:id="31"/>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董事会关于报告期会计政策、会计估计变更或重要前期差错更正的说明" w:id="32"/>
      <w:bookmarkEnd w:id="32"/>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五、公司利润分配及分红派息情况" w:id="33"/>
      <w:bookmarkEnd w:id="33"/>
      <w:r>
        <w:rPr>
          <w:b w:val="0"/>
          <w:bCs w:val="0"/>
        </w:rPr>
      </w:r>
      <w:r>
        <w:rPr/>
        <w:t>五、公司利润分配及分红派息情况</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right="0"/>
        <w:jc w:val="both"/>
        <w:rPr>
          <w:b w:val="0"/>
          <w:bCs w:val="0"/>
        </w:rPr>
      </w:pPr>
      <w:r>
        <w:rPr/>
        <w:t>报告期内利润分配政策特别是现金分红政策的制定、执行或调整情况</w:t>
      </w:r>
      <w:r>
        <w:rPr>
          <w:b w:val="0"/>
          <w:bCs w:val="0"/>
        </w:rPr>
      </w:r>
    </w:p>
    <w:p>
      <w:pPr>
        <w:spacing w:line="240" w:lineRule="auto" w:before="1"/>
        <w:rPr>
          <w:rFonts w:ascii="宋体" w:hAnsi="宋体" w:cs="宋体" w:eastAsia="宋体" w:hint="default"/>
          <w:b/>
          <w:bCs/>
          <w:sz w:val="21"/>
          <w:szCs w:val="21"/>
        </w:rPr>
      </w:pPr>
    </w:p>
    <w:p>
      <w:pPr>
        <w:pStyle w:val="BodyText"/>
        <w:spacing w:line="412" w:lineRule="auto"/>
        <w:ind w:left="513" w:right="14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为进一步规范公司现金分红，增强现金分红透明度，维护投资者合法权益，根据中国证监会《上市公司监管指引第</w:t>
      </w:r>
      <w:r>
        <w:rPr>
          <w:rFonts w:ascii="宋体" w:hAnsi="宋体" w:cs="宋体" w:eastAsia="宋体" w:hint="default"/>
        </w:rPr>
        <w:t>3</w:t>
      </w:r>
      <w:r>
        <w:rPr/>
        <w:t>号</w:t>
      </w:r>
    </w:p>
    <w:p>
      <w:pPr>
        <w:pStyle w:val="BodyText"/>
        <w:spacing w:line="477" w:lineRule="auto" w:before="103"/>
        <w:ind w:right="151"/>
        <w:jc w:val="both"/>
      </w:pPr>
      <w:r>
        <w:rPr>
          <w:spacing w:val="-2"/>
        </w:rPr>
        <w:t>——上市公司现金分红》文件规定。</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spacing w:val="-2"/>
        </w:rPr>
        <w:t>日，公司召开</w:t>
      </w:r>
      <w:r>
        <w:rPr>
          <w:rFonts w:ascii="宋体" w:hAnsi="宋体" w:cs="宋体" w:eastAsia="宋体" w:hint="default"/>
          <w:spacing w:val="-2"/>
        </w:rPr>
        <w:t>2013</w:t>
      </w:r>
      <w:r>
        <w:rPr>
          <w:spacing w:val="-2"/>
        </w:rPr>
        <w:t>年年度股东大会，审议通过了《关于修订〈公司章程〉的</w:t>
      </w:r>
      <w:r>
        <w:rPr>
          <w:spacing w:val="-60"/>
        </w:rPr>
        <w:t> </w:t>
      </w:r>
      <w:r>
        <w:rPr>
          <w:spacing w:val="-60"/>
        </w:rPr>
      </w:r>
      <w:r>
        <w:rPr>
          <w:spacing w:val="-2"/>
        </w:rPr>
        <w:t>议案》，对利润分配特别是现金分红的相关条款进行了修订完善。公司现行利润分配政策符合《公司章程》的规定和股东大</w:t>
      </w:r>
      <w:r>
        <w:rPr>
          <w:spacing w:val="-66"/>
        </w:rPr>
        <w:t> </w:t>
      </w:r>
      <w:r>
        <w:rPr>
          <w:spacing w:val="-66"/>
        </w:rPr>
      </w:r>
      <w:r>
        <w:rPr>
          <w:spacing w:val="-2"/>
        </w:rPr>
        <w:t>会决议的要求，明确了分红标准和比例，完备了相关决策程序和机制，明确了独立董事的职责，明确了充分听取独立董事和</w:t>
      </w:r>
      <w:r>
        <w:rPr>
          <w:spacing w:val="-66"/>
        </w:rPr>
        <w:t> </w:t>
      </w:r>
      <w:r>
        <w:rPr>
          <w:spacing w:val="-66"/>
        </w:rPr>
      </w:r>
      <w:r>
        <w:rPr/>
        <w:t>中小股东意见所采取的措施，切实保障了中小股东的合法权益。</w:t>
      </w:r>
    </w:p>
    <w:p>
      <w:pPr>
        <w:pStyle w:val="BodyText"/>
        <w:spacing w:line="451" w:lineRule="auto" w:before="54"/>
        <w:ind w:right="0" w:firstLine="360"/>
        <w:jc w:val="left"/>
      </w:pPr>
      <w:r>
        <w:rPr>
          <w:spacing w:val="-5"/>
        </w:rPr>
        <w:t>报告期内，公司严格执行《公司章程》有关现金分红政策，《</w:t>
      </w:r>
      <w:r>
        <w:rPr>
          <w:rFonts w:ascii="Times New Roman" w:hAnsi="Times New Roman" w:cs="Times New Roman" w:eastAsia="Times New Roman" w:hint="default"/>
          <w:spacing w:val="-5"/>
        </w:rPr>
        <w:t>2013</w:t>
      </w:r>
      <w:r>
        <w:rPr>
          <w:spacing w:val="-5"/>
        </w:rPr>
        <w:t>年度利润分配和资本公积金转增股本方案》经公司</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日第二届董事会第二十三次会议及</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w:t>
      </w:r>
      <w:r>
        <w:rPr>
          <w:rFonts w:ascii="Times New Roman" w:hAnsi="Times New Roman" w:cs="Times New Roman" w:eastAsia="Times New Roman" w:hint="default"/>
          <w:spacing w:val="-1"/>
        </w:rPr>
        <w:t>2013</w:t>
      </w:r>
      <w:r>
        <w:rPr>
          <w:spacing w:val="-1"/>
        </w:rPr>
        <w:t>年度股东大会审议通过，以公司总股本</w:t>
      </w:r>
      <w:r>
        <w:rPr>
          <w:rFonts w:ascii="Times New Roman" w:hAnsi="Times New Roman" w:cs="Times New Roman" w:eastAsia="Times New Roman" w:hint="default"/>
          <w:spacing w:val="-1"/>
        </w:rPr>
        <w:t>12,133</w:t>
      </w:r>
      <w:r>
        <w:rPr>
          <w:spacing w:val="-1"/>
        </w:rPr>
        <w:t>万股为基数，向全</w:t>
      </w:r>
      <w:r>
        <w:rPr>
          <w:spacing w:val="-65"/>
        </w:rPr>
        <w:t> </w:t>
      </w:r>
      <w:r>
        <w:rPr>
          <w:spacing w:val="-65"/>
        </w:rPr>
      </w:r>
      <w:r>
        <w:rPr/>
        <w:t>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w:t>
      </w:r>
      <w:r>
        <w:rPr/>
        <w:t>元（含税），合计派发现金股利</w:t>
      </w:r>
      <w:r>
        <w:rPr>
          <w:rFonts w:ascii="Times New Roman" w:hAnsi="Times New Roman" w:cs="Times New Roman" w:eastAsia="Times New Roman" w:hint="default"/>
        </w:rPr>
        <w:t>606.65</w:t>
      </w:r>
      <w:r>
        <w:rPr/>
        <w:t>万元（含税），同时，以资本公积金向全体股东每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t>股，合计转增股本</w:t>
      </w:r>
      <w:r>
        <w:rPr>
          <w:rFonts w:ascii="Times New Roman" w:hAnsi="Times New Roman" w:cs="Times New Roman" w:eastAsia="Times New Roman" w:hint="default"/>
        </w:rPr>
        <w:t>12,133</w:t>
      </w:r>
      <w:r>
        <w:rPr/>
        <w:t>万股。根据</w:t>
      </w:r>
      <w:r>
        <w:rPr>
          <w:rFonts w:ascii="Times New Roman" w:hAnsi="Times New Roman" w:cs="Times New Roman" w:eastAsia="Times New Roman" w:hint="default"/>
        </w:rPr>
        <w:t>2013</w:t>
      </w:r>
      <w:r>
        <w:rPr/>
        <w:t>年度股东大会决议，公司已于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日实施了上述利润分配和资本 公积金转增股本方案。</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93"/>
        <w:jc w:val="left"/>
      </w:pPr>
      <w:r>
        <w:rPr/>
        <w:t>公司报告期利润分配预案及资本公积金转增股本预案与公司章程和分红管理办法等的相关规定一致</w:t>
      </w:r>
    </w:p>
    <w:p>
      <w:pPr>
        <w:pStyle w:val="BodyText"/>
        <w:spacing w:line="348" w:lineRule="auto" w:before="117"/>
        <w:ind w:right="3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0" w:right="200"/>
        <w:jc w:val="right"/>
      </w:pPr>
      <w:r>
        <w:rPr/>
        <w:pict>
          <v:shape style="position:absolute;margin-left:56.459999pt;margin-top:-284.048279pt;width:479.2pt;height:332.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262,722,219</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7,881,666.57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67,349,760.37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2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经瑞华会计师事务所审计，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12,060,727.62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元，根据《公司法》和《公司章程》的有关规 定，按照实现净利润的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1,206,072.76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元后，加上年初未分配利润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62,561,605.51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现金分红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6,066,500.00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日，母公司可供股东分配的利润为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67,349,760.37 </w:t>
                        </w:r>
                        <w:r>
                          <w:rPr>
                            <w:rFonts w:ascii="宋体" w:hAnsi="宋体" w:cs="宋体" w:eastAsia="宋体" w:hint="default"/>
                            <w:sz w:val="18"/>
                            <w:szCs w:val="18"/>
                          </w:rPr>
                          <w:t>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公司董事会拟定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年度利润分配和资本公积金转增股本预案为：以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262,722,219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w:t>
                        </w:r>
                        <w:r>
                          <w:rPr>
                            <w:rFonts w:ascii="宋体" w:hAnsi="宋体" w:cs="宋体" w:eastAsia="宋体" w:hint="default"/>
                            <w:spacing w:val="-90"/>
                            <w:sz w:val="18"/>
                            <w:szCs w:val="18"/>
                          </w:rPr>
                          <w:t>，</w:t>
                        </w:r>
                        <w:r>
                          <w:rPr>
                            <w:rFonts w:ascii="宋体" w:hAnsi="宋体" w:cs="宋体" w:eastAsia="宋体" w:hint="default"/>
                            <w:sz w:val="18"/>
                            <w:szCs w:val="18"/>
                          </w:rPr>
                          <w:t>向全体股东每</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元人民币现</w:t>
                        </w:r>
                        <w:r>
                          <w:rPr>
                            <w:rFonts w:ascii="宋体" w:hAnsi="宋体" w:cs="宋体" w:eastAsia="宋体" w:hint="default"/>
                            <w:spacing w:val="-90"/>
                            <w:sz w:val="18"/>
                            <w:szCs w:val="18"/>
                          </w:rPr>
                          <w:t>金</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7,881,666.57</w:t>
                        </w:r>
                        <w:r>
                          <w:rPr>
                            <w:rFonts w:ascii="Times New Roman" w:hAnsi="Times New Roman" w:cs="Times New Roman" w:eastAsia="Times New Roman" w:hint="default"/>
                            <w:spacing w:val="-17"/>
                            <w:sz w:val="18"/>
                            <w:szCs w:val="18"/>
                          </w:rPr>
                          <w:t> </w:t>
                        </w:r>
                        <w:r>
                          <w:rPr>
                            <w:rFonts w:ascii="宋体" w:hAnsi="宋体" w:cs="宋体" w:eastAsia="宋体" w:hint="default"/>
                            <w:spacing w:val="-90"/>
                            <w:sz w:val="18"/>
                            <w:szCs w:val="18"/>
                          </w:rPr>
                          <w:t>元</w:t>
                        </w:r>
                        <w:r>
                          <w:rPr>
                            <w:rFonts w:ascii="宋体" w:hAnsi="宋体" w:cs="宋体" w:eastAsia="宋体" w:hint="default"/>
                            <w:sz w:val="18"/>
                            <w:szCs w:val="18"/>
                          </w:rPr>
                          <w:t>（</w:t>
                        </w:r>
                        <w:r>
                          <w:rPr>
                            <w:rFonts w:ascii="宋体" w:hAnsi="宋体" w:cs="宋体" w:eastAsia="宋体" w:hint="default"/>
                            <w:spacing w:val="-2"/>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剩余未分配利润</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59,468,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7"/>
                            <w:sz w:val="18"/>
                            <w:szCs w:val="18"/>
                          </w:rPr>
                          <w:t>元结转以后年度。同时，以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262,722,219 </w:t>
                        </w:r>
                        <w:r>
                          <w:rPr>
                            <w:rFonts w:ascii="宋体" w:hAnsi="宋体" w:cs="宋体" w:eastAsia="宋体" w:hint="default"/>
                            <w:spacing w:val="-3"/>
                            <w:sz w:val="18"/>
                            <w:szCs w:val="18"/>
                          </w:rPr>
                          <w:t>股为基数，以资本公积金向全体股东每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合计转增股本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262,722,219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日，母公司资本公积金为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467,211,676.96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元，转增股本后，公司的资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本公积金余额为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204,489,457.96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154" w:right="9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line="240" w:lineRule="auto" w:before="9"/>
        <w:rPr>
          <w:rFonts w:ascii="宋体" w:hAnsi="宋体" w:cs="宋体" w:eastAsia="宋体" w:hint="default"/>
          <w:sz w:val="13"/>
          <w:szCs w:val="13"/>
        </w:rPr>
      </w:pPr>
    </w:p>
    <w:p>
      <w:pPr>
        <w:pStyle w:val="BodyText"/>
        <w:spacing w:line="240" w:lineRule="auto"/>
        <w:ind w:left="513" w:right="9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年度利润分配情况</w:t>
      </w:r>
    </w:p>
    <w:p>
      <w:pPr>
        <w:spacing w:line="240" w:lineRule="auto" w:before="9"/>
        <w:rPr>
          <w:rFonts w:ascii="宋体" w:hAnsi="宋体" w:cs="宋体" w:eastAsia="宋体" w:hint="default"/>
          <w:sz w:val="16"/>
          <w:szCs w:val="16"/>
        </w:rPr>
      </w:pPr>
    </w:p>
    <w:p>
      <w:pPr>
        <w:pStyle w:val="BodyText"/>
        <w:spacing w:line="451" w:lineRule="auto"/>
        <w:ind w:right="109" w:firstLine="360"/>
        <w:jc w:val="both"/>
      </w:pPr>
      <w:r>
        <w:rPr>
          <w:rFonts w:ascii="Times New Roman" w:hAnsi="Times New Roman" w:cs="Times New Roman" w:eastAsia="Times New Roman" w:hint="default"/>
        </w:rPr>
        <w:t>2012</w:t>
      </w:r>
      <w:r>
        <w:rPr/>
        <w:t>年度，公司以经国富浩华会计师事务所审计的母公司可供分配利润为基础，以</w:t>
      </w:r>
      <w:r>
        <w:rPr>
          <w:rFonts w:ascii="Times New Roman" w:hAnsi="Times New Roman" w:cs="Times New Roman" w:eastAsia="Times New Roman" w:hint="default"/>
        </w:rPr>
        <w:t>2012</w:t>
      </w:r>
      <w:r>
        <w:rPr/>
        <w:t>年末总股本</w:t>
      </w:r>
      <w:r>
        <w:rPr>
          <w:rFonts w:ascii="Times New Roman" w:hAnsi="Times New Roman" w:cs="Times New Roman" w:eastAsia="Times New Roman" w:hint="default"/>
        </w:rPr>
        <w:t>12,000</w:t>
      </w:r>
      <w:r>
        <w:rPr/>
        <w:t>万股为基数， 向全体股东每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1.20</w:t>
      </w:r>
      <w:r>
        <w:rPr/>
        <w:t>元现金（含税），合计派发现金股利</w:t>
      </w:r>
      <w:r>
        <w:rPr>
          <w:rFonts w:ascii="Times New Roman" w:hAnsi="Times New Roman" w:cs="Times New Roman" w:eastAsia="Times New Roman" w:hint="default"/>
        </w:rPr>
        <w:t>1,440</w:t>
      </w:r>
      <w:r>
        <w:rPr/>
        <w:t>万元（含税）。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w:t>
      </w:r>
      <w:r>
        <w:rPr/>
        <w:t>公司第二届董事 会第十三次会议审议通过了《</w:t>
      </w:r>
      <w:r>
        <w:rPr>
          <w:rFonts w:ascii="Times New Roman" w:hAnsi="Times New Roman" w:cs="Times New Roman" w:eastAsia="Times New Roman" w:hint="default"/>
        </w:rPr>
        <w:t>2012</w:t>
      </w:r>
      <w:r>
        <w:rPr/>
        <w:t>年度利润分配预案》；</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2012</w:t>
      </w:r>
      <w:r>
        <w:rPr/>
        <w:t>年度股东大会审议通过上述权益分派方案；</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 上述方案实施完毕。</w:t>
      </w:r>
    </w:p>
    <w:p>
      <w:pPr>
        <w:pStyle w:val="BodyText"/>
        <w:spacing w:line="240" w:lineRule="auto" w:before="74"/>
        <w:ind w:left="513" w:right="9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年度利润分配和资本公积金转增股本预案</w:t>
      </w:r>
    </w:p>
    <w:p>
      <w:pPr>
        <w:spacing w:line="240" w:lineRule="auto" w:before="9"/>
        <w:rPr>
          <w:rFonts w:ascii="宋体" w:hAnsi="宋体" w:cs="宋体" w:eastAsia="宋体" w:hint="default"/>
          <w:sz w:val="16"/>
          <w:szCs w:val="16"/>
        </w:rPr>
      </w:pPr>
    </w:p>
    <w:p>
      <w:pPr>
        <w:pStyle w:val="BodyText"/>
        <w:spacing w:line="240" w:lineRule="auto"/>
        <w:ind w:left="514" w:right="93"/>
        <w:jc w:val="left"/>
      </w:pPr>
      <w:r>
        <w:rPr>
          <w:rFonts w:ascii="Times New Roman" w:hAnsi="Times New Roman" w:cs="Times New Roman" w:eastAsia="Times New Roman" w:hint="default"/>
        </w:rPr>
        <w:t>2012</w:t>
      </w:r>
      <w:r>
        <w:rPr/>
        <w:t>年度，公司以经瑞华会计师事务所审计的母公司可供分配利润为基础，以</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12,133</w:t>
      </w:r>
      <w:r>
        <w:rPr/>
        <w:t>万股为基数，向全</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7"/>
          <w:szCs w:val="27"/>
        </w:rPr>
      </w:pPr>
    </w:p>
    <w:p>
      <w:pPr>
        <w:pStyle w:val="BodyText"/>
        <w:spacing w:line="451" w:lineRule="auto" w:before="44"/>
        <w:ind w:right="151"/>
        <w:jc w:val="both"/>
      </w:pPr>
      <w:r>
        <w:rPr>
          <w:spacing w:val="-5"/>
        </w:rPr>
        <w:t>体股东每</w:t>
      </w:r>
      <w:r>
        <w:rPr>
          <w:rFonts w:ascii="Times New Roman" w:hAnsi="Times New Roman" w:cs="Times New Roman" w:eastAsia="Times New Roman" w:hint="default"/>
          <w:spacing w:val="-5"/>
        </w:rPr>
        <w:t>10</w:t>
      </w:r>
      <w:r>
        <w:rPr>
          <w:spacing w:val="-5"/>
        </w:rPr>
        <w:t>股派发人民币</w:t>
      </w:r>
      <w:r>
        <w:rPr>
          <w:rFonts w:ascii="Times New Roman" w:hAnsi="Times New Roman" w:cs="Times New Roman" w:eastAsia="Times New Roman" w:hint="default"/>
          <w:spacing w:val="-5"/>
        </w:rPr>
        <w:t>0.50</w:t>
      </w:r>
      <w:r>
        <w:rPr>
          <w:spacing w:val="-5"/>
        </w:rPr>
        <w:t>元现金（含税），合计派发现金股利</w:t>
      </w:r>
      <w:r>
        <w:rPr>
          <w:rFonts w:ascii="Times New Roman" w:hAnsi="Times New Roman" w:cs="Times New Roman" w:eastAsia="Times New Roman" w:hint="default"/>
          <w:spacing w:val="-5"/>
        </w:rPr>
        <w:t>606.65</w:t>
      </w:r>
      <w:r>
        <w:rPr>
          <w:spacing w:val="-5"/>
        </w:rPr>
        <w:t>万元（含税），同时，以</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12,133</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万股为基数，以资本公积金向全体股东每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股，合计转增股本</w:t>
      </w:r>
      <w:r>
        <w:rPr>
          <w:rFonts w:ascii="Times New Roman" w:hAnsi="Times New Roman" w:cs="Times New Roman" w:eastAsia="Times New Roman" w:hint="default"/>
          <w:spacing w:val="-2"/>
        </w:rPr>
        <w:t>12,133</w:t>
      </w:r>
      <w:r>
        <w:rPr>
          <w:spacing w:val="-2"/>
        </w:rPr>
        <w:t>万股。</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w:t>
      </w:r>
      <w:r>
        <w:rPr>
          <w:rFonts w:ascii="Times New Roman" w:hAnsi="Times New Roman" w:cs="Times New Roman" w:eastAsia="Times New Roman" w:hint="default"/>
          <w:spacing w:val="-2"/>
        </w:rPr>
        <w:t>,</w:t>
      </w:r>
      <w:r>
        <w:rPr>
          <w:spacing w:val="-2"/>
        </w:rPr>
        <w:t>公司第二届董事会第二十</w:t>
      </w:r>
      <w:r>
        <w:rPr>
          <w:spacing w:val="-50"/>
        </w:rPr>
        <w:t> </w:t>
      </w:r>
      <w:r>
        <w:rPr>
          <w:spacing w:val="-50"/>
        </w:rPr>
      </w:r>
      <w:r>
        <w:rPr>
          <w:spacing w:val="-2"/>
        </w:rPr>
        <w:t>三次会议审议通过了《</w:t>
      </w:r>
      <w:r>
        <w:rPr>
          <w:rFonts w:ascii="Times New Roman" w:hAnsi="Times New Roman" w:cs="Times New Roman" w:eastAsia="Times New Roman" w:hint="default"/>
          <w:spacing w:val="-2"/>
        </w:rPr>
        <w:t>2013</w:t>
      </w:r>
      <w:r>
        <w:rPr>
          <w:spacing w:val="-2"/>
        </w:rPr>
        <w:t>年度利润分配和资本公积金转增股本方案》；</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w:t>
      </w:r>
      <w:r>
        <w:rPr>
          <w:rFonts w:ascii="Times New Roman" w:hAnsi="Times New Roman" w:cs="Times New Roman" w:eastAsia="Times New Roman" w:hint="default"/>
          <w:spacing w:val="-2"/>
        </w:rPr>
        <w:t>2013</w:t>
      </w:r>
      <w:r>
        <w:rPr>
          <w:spacing w:val="-2"/>
        </w:rPr>
        <w:t>年度股东大会审议通过上述权益分派</w:t>
      </w:r>
      <w:r>
        <w:rPr>
          <w:spacing w:val="-56"/>
        </w:rPr>
        <w:t> </w:t>
      </w:r>
      <w:r>
        <w:rPr/>
        <w:t>方案；</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日，上述方案实施完毕。</w:t>
      </w:r>
    </w:p>
    <w:p>
      <w:pPr>
        <w:pStyle w:val="BodyText"/>
        <w:spacing w:line="451" w:lineRule="auto" w:before="43"/>
        <w:ind w:left="514" w:right="9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年度利润分配和资本公积金转增股本预案 经瑞华会计师事务所审计，</w:t>
      </w:r>
      <w:r>
        <w:rPr>
          <w:rFonts w:ascii="Times New Roman" w:hAnsi="Times New Roman" w:cs="Times New Roman" w:eastAsia="Times New Roman" w:hint="default"/>
        </w:rPr>
        <w:t>2014</w:t>
      </w:r>
      <w:r>
        <w:rPr/>
        <w:t>年度母公司实现净利润</w:t>
      </w:r>
      <w:r>
        <w:rPr>
          <w:rFonts w:ascii="Times New Roman" w:hAnsi="Times New Roman" w:cs="Times New Roman" w:eastAsia="Times New Roman" w:hint="default"/>
        </w:rPr>
        <w:t>12,060,727.62</w:t>
      </w:r>
      <w:r>
        <w:rPr/>
        <w:t>元，根据《公司法》和《公司章程》的有关规定，</w:t>
      </w:r>
    </w:p>
    <w:p>
      <w:pPr>
        <w:pStyle w:val="BodyText"/>
        <w:spacing w:line="240" w:lineRule="auto" w:before="43"/>
        <w:ind w:right="0"/>
        <w:jc w:val="both"/>
      </w:pPr>
      <w:r>
        <w:rPr/>
        <w:t>按照实现净利润的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1,206,072.76</w:t>
      </w:r>
      <w:r>
        <w:rPr/>
        <w:t>元后，加上年初未分配利润</w:t>
      </w:r>
      <w:r>
        <w:rPr>
          <w:rFonts w:ascii="Times New Roman" w:hAnsi="Times New Roman" w:cs="Times New Roman" w:eastAsia="Times New Roman" w:hint="default"/>
        </w:rPr>
        <w:t>62,561,605.51</w:t>
      </w:r>
      <w:r>
        <w:rPr/>
        <w:t>元，减去</w:t>
      </w:r>
      <w:r>
        <w:rPr>
          <w:rFonts w:ascii="Times New Roman" w:hAnsi="Times New Roman" w:cs="Times New Roman" w:eastAsia="Times New Roman" w:hint="default"/>
        </w:rPr>
        <w:t>2013</w:t>
      </w:r>
      <w:r>
        <w:rPr/>
        <w:t>年度现金分红</w:t>
      </w:r>
    </w:p>
    <w:p>
      <w:pPr>
        <w:spacing w:line="240" w:lineRule="auto" w:before="9"/>
        <w:rPr>
          <w:rFonts w:ascii="宋体" w:hAnsi="宋体" w:cs="宋体" w:eastAsia="宋体" w:hint="default"/>
          <w:sz w:val="16"/>
          <w:szCs w:val="16"/>
        </w:rPr>
      </w:pPr>
    </w:p>
    <w:p>
      <w:pPr>
        <w:pStyle w:val="BodyText"/>
        <w:spacing w:line="451" w:lineRule="auto"/>
        <w:ind w:left="513" w:right="0" w:hanging="360"/>
        <w:jc w:val="left"/>
      </w:pPr>
      <w:r>
        <w:rPr>
          <w:rFonts w:ascii="Times New Roman" w:hAnsi="Times New Roman" w:cs="Times New Roman" w:eastAsia="Times New Roman" w:hint="default"/>
        </w:rPr>
        <w:t>6,066,500.00</w:t>
      </w:r>
      <w:r>
        <w:rPr/>
        <w:t>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日，母公司可供股东分配的利润为</w:t>
      </w:r>
      <w:r>
        <w:rPr>
          <w:rFonts w:ascii="Times New Roman" w:hAnsi="Times New Roman" w:cs="Times New Roman" w:eastAsia="Times New Roman" w:hint="default"/>
        </w:rPr>
        <w:t>67,349,760.37</w:t>
      </w:r>
      <w:r>
        <w:rPr/>
        <w:t>元。 </w:t>
      </w:r>
      <w:r>
        <w:rPr>
          <w:spacing w:val="-2"/>
        </w:rPr>
        <w:t>公司董事会拟定</w:t>
      </w:r>
      <w:r>
        <w:rPr>
          <w:rFonts w:ascii="Times New Roman" w:hAnsi="Times New Roman" w:cs="Times New Roman" w:eastAsia="Times New Roman" w:hint="default"/>
          <w:spacing w:val="-2"/>
        </w:rPr>
        <w:t>2014</w:t>
      </w:r>
      <w:r>
        <w:rPr>
          <w:spacing w:val="-2"/>
        </w:rPr>
        <w:t>年度利润分配和资本公积金转增股本预案为：以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262,722,219</w:t>
      </w:r>
      <w:r>
        <w:rPr>
          <w:spacing w:val="-2"/>
        </w:rPr>
        <w:t>股为基数，向全</w:t>
      </w:r>
    </w:p>
    <w:p>
      <w:pPr>
        <w:pStyle w:val="BodyText"/>
        <w:spacing w:line="451" w:lineRule="auto" w:before="43"/>
        <w:ind w:right="150"/>
        <w:jc w:val="both"/>
      </w:pPr>
      <w:r>
        <w:rPr>
          <w:spacing w:val="-3"/>
        </w:rPr>
        <w:t>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0.3</w:t>
      </w:r>
      <w:r>
        <w:rPr>
          <w:spacing w:val="-3"/>
        </w:rPr>
        <w:t>元人民币现金（含税），合计派发现金股利</w:t>
      </w:r>
      <w:r>
        <w:rPr>
          <w:rFonts w:ascii="Times New Roman" w:hAnsi="Times New Roman" w:cs="Times New Roman" w:eastAsia="Times New Roman" w:hint="default"/>
          <w:spacing w:val="-3"/>
        </w:rPr>
        <w:t>7,881,666.57</w:t>
      </w:r>
      <w:r>
        <w:rPr>
          <w:spacing w:val="-3"/>
        </w:rPr>
        <w:t>元（含税），剩余未分配利润</w:t>
      </w:r>
      <w:r>
        <w:rPr>
          <w:rFonts w:ascii="Times New Roman" w:hAnsi="Times New Roman" w:cs="Times New Roman" w:eastAsia="Times New Roman" w:hint="default"/>
          <w:spacing w:val="-3"/>
        </w:rPr>
        <w:t>59,468,093.80</w:t>
      </w:r>
      <w:r>
        <w:rPr>
          <w:spacing w:val="-3"/>
        </w:rPr>
        <w:t>元结转</w:t>
      </w:r>
      <w:r>
        <w:rPr>
          <w:spacing w:val="-66"/>
        </w:rPr>
        <w:t> </w:t>
      </w:r>
      <w:r>
        <w:rPr>
          <w:spacing w:val="-2"/>
        </w:rPr>
        <w:t>以后年度。同时，以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262,722,219</w:t>
      </w:r>
      <w:r>
        <w:rPr>
          <w:spacing w:val="-2"/>
        </w:rPr>
        <w:t>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股，合计转增股本</w:t>
      </w:r>
      <w:r>
        <w:rPr>
          <w:spacing w:val="-44"/>
        </w:rPr>
        <w:t> </w:t>
      </w:r>
      <w:r>
        <w:rPr>
          <w:spacing w:val="-44"/>
        </w:rPr>
      </w:r>
      <w:r>
        <w:rPr>
          <w:rFonts w:ascii="Times New Roman" w:hAnsi="Times New Roman" w:cs="Times New Roman" w:eastAsia="Times New Roman" w:hint="default"/>
        </w:rPr>
        <w:t>262,722,219</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日，母公司资本公积金为</w:t>
      </w:r>
      <w:r>
        <w:rPr>
          <w:rFonts w:ascii="Times New Roman" w:hAnsi="Times New Roman" w:cs="Times New Roman" w:eastAsia="Times New Roman" w:hint="default"/>
        </w:rPr>
        <w:t>467,211,676.96</w:t>
      </w:r>
      <w:r>
        <w:rPr/>
        <w:t>元，转增股本后，公司的资本公积金余额为</w:t>
      </w:r>
    </w:p>
    <w:p>
      <w:pPr>
        <w:pStyle w:val="BodyText"/>
        <w:spacing w:line="240" w:lineRule="auto" w:before="43"/>
        <w:ind w:left="154" w:right="0"/>
        <w:jc w:val="both"/>
      </w:pPr>
      <w:r>
        <w:rPr>
          <w:rFonts w:ascii="Times New Roman" w:hAnsi="Times New Roman" w:cs="Times New Roman" w:eastAsia="Times New Roman" w:hint="default"/>
        </w:rPr>
        <w:t>204,489,457.96</w:t>
      </w:r>
      <w:r>
        <w:rPr/>
        <w:t>元。</w:t>
      </w:r>
    </w:p>
    <w:p>
      <w:pPr>
        <w:spacing w:line="240" w:lineRule="auto" w:before="9"/>
        <w:rPr>
          <w:rFonts w:ascii="宋体" w:hAnsi="宋体" w:cs="宋体" w:eastAsia="宋体" w:hint="default"/>
          <w:sz w:val="16"/>
          <w:szCs w:val="16"/>
        </w:rPr>
      </w:pPr>
    </w:p>
    <w:p>
      <w:pPr>
        <w:pStyle w:val="BodyText"/>
        <w:spacing w:line="460" w:lineRule="auto"/>
        <w:ind w:right="151" w:firstLine="360"/>
        <w:jc w:val="both"/>
      </w:pPr>
      <w:r>
        <w:rPr>
          <w:spacing w:val="-2"/>
        </w:rPr>
        <w:t>公司独立董事认为：公司</w:t>
      </w:r>
      <w:r>
        <w:rPr>
          <w:rFonts w:ascii="Times New Roman" w:hAnsi="Times New Roman" w:cs="Times New Roman" w:eastAsia="Times New Roman" w:hint="default"/>
          <w:spacing w:val="-2"/>
        </w:rPr>
        <w:t>2014</w:t>
      </w:r>
      <w:r>
        <w:rPr>
          <w:spacing w:val="-2"/>
        </w:rPr>
        <w:t>年度利润分配和资本公积金转增股本预案符合公司实际情况，在保证公司正常经营和长远</w:t>
      </w:r>
      <w:r>
        <w:rPr/>
        <w:t> </w:t>
      </w:r>
      <w:r>
        <w:rPr>
          <w:spacing w:val="-2"/>
        </w:rPr>
        <w:t>发展的前提下，更好地兼顾了股东的即期利益和长远利益；符合中国证监会《关于进一步落实上市公司现金分红有关事项的</w:t>
      </w:r>
      <w:r>
        <w:rPr>
          <w:spacing w:val="-66"/>
        </w:rPr>
        <w:t> </w:t>
      </w:r>
      <w:r>
        <w:rPr>
          <w:spacing w:val="-66"/>
        </w:rPr>
      </w:r>
      <w:r>
        <w:rPr/>
        <w:t>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上市公司现金分红》的文件精神；不存在违反法律、法规、公司章程的情形，也不 存在损害公司股东尤其是中小股东利益的情形，有利于公司的正常经营和健康发展。</w:t>
      </w:r>
    </w:p>
    <w:p>
      <w:pPr>
        <w:pStyle w:val="BodyText"/>
        <w:spacing w:line="240" w:lineRule="auto" w:before="67"/>
        <w:ind w:left="513" w:right="0"/>
        <w:jc w:val="left"/>
      </w:pPr>
      <w:r>
        <w:rPr/>
        <w:t>本利润分配和资本公积金转增股本预案尚需提交公司</w:t>
      </w:r>
      <w:r>
        <w:rPr>
          <w:rFonts w:ascii="Times New Roman" w:hAnsi="Times New Roman" w:cs="Times New Roman" w:eastAsia="Times New Roman" w:hint="default"/>
        </w:rPr>
        <w:t>2014</w:t>
      </w:r>
      <w:r>
        <w:rPr/>
        <w:t>年度股东大会审议。</w:t>
      </w:r>
    </w:p>
    <w:p>
      <w:pPr>
        <w:spacing w:line="240" w:lineRule="auto" w:before="6"/>
        <w:rPr>
          <w:rFonts w:ascii="宋体" w:hAnsi="宋体" w:cs="宋体" w:eastAsia="宋体" w:hint="default"/>
          <w:sz w:val="10"/>
          <w:szCs w:val="10"/>
        </w:rPr>
      </w:pPr>
    </w:p>
    <w:p>
      <w:pPr>
        <w:pStyle w:val="BodyText"/>
        <w:spacing w:line="240" w:lineRule="auto" w:before="44"/>
        <w:ind w:right="0"/>
        <w:jc w:val="left"/>
      </w:pPr>
      <w:r>
        <w:rPr/>
        <w:t>公司近三年现金分红情况表</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17"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7,881,666.57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27,686,672.11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28.47%</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14,446,722.90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41.99%</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18,030,617.44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79.86%</w:t>
            </w: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内幕信息知情人管理制度的建立和执行情况" w:id="34"/>
      <w:bookmarkEnd w:id="34"/>
      <w:r>
        <w:rPr>
          <w:b w:val="0"/>
          <w:bCs w:val="0"/>
        </w:rPr>
      </w:r>
      <w:r>
        <w:rPr/>
        <w:t>六、内幕信息知情人管理制度的建立和执行情况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87" w:right="0" w:hanging="74"/>
        <w:jc w:val="left"/>
      </w:pPr>
      <w:r>
        <w:rPr/>
        <w:t>（一）内幕信息知情人管理制度的建设情况 </w:t>
      </w:r>
      <w:r>
        <w:rPr>
          <w:spacing w:val="-2"/>
        </w:rPr>
        <w:t>公司自</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日在深圳证券交易所创业板上市以来，十分注重公司治理水平的不断提升与完善，尤其是内幕交易</w:t>
      </w:r>
    </w:p>
    <w:p>
      <w:pPr>
        <w:spacing w:after="0" w:line="477" w:lineRule="auto"/>
        <w:jc w:val="left"/>
        <w:sectPr>
          <w:footerReference w:type="default" r:id="rId14"/>
          <w:pgSz w:w="11910" w:h="16840"/>
          <w:pgMar w:footer="979" w:header="877" w:top="1100" w:bottom="1160" w:left="980" w:right="980"/>
          <w:pgNumType w:start="30"/>
        </w:sectPr>
      </w:pPr>
    </w:p>
    <w:p>
      <w:pPr>
        <w:spacing w:line="240" w:lineRule="auto" w:before="11"/>
        <w:rPr>
          <w:rFonts w:ascii="宋体" w:hAnsi="宋体" w:cs="宋体" w:eastAsia="宋体" w:hint="default"/>
          <w:sz w:val="27"/>
          <w:szCs w:val="27"/>
        </w:rPr>
      </w:pPr>
    </w:p>
    <w:p>
      <w:pPr>
        <w:pStyle w:val="BodyText"/>
        <w:spacing w:line="477" w:lineRule="auto" w:before="44"/>
        <w:ind w:right="192"/>
        <w:jc w:val="both"/>
      </w:pPr>
      <w:r>
        <w:rPr>
          <w:spacing w:val="-2"/>
        </w:rPr>
        <w:t>防控工作，现行与内幕交易防控相关的制度主要包括：《公司章程》、《内幕信息知情人登记制度》、《董事、监事和高级</w:t>
      </w:r>
      <w:r>
        <w:rPr>
          <w:spacing w:val="-68"/>
        </w:rPr>
        <w:t> </w:t>
      </w:r>
      <w:r>
        <w:rPr>
          <w:spacing w:val="-68"/>
        </w:rPr>
      </w:r>
      <w:r>
        <w:rPr>
          <w:spacing w:val="-2"/>
        </w:rPr>
        <w:t>管理人员所持本公司股份及其变动管理制度》、《信息披露管理制度》、《投资者关系管理制度》、《重大信息内部报告制</w:t>
      </w:r>
      <w:r>
        <w:rPr>
          <w:spacing w:val="-68"/>
        </w:rPr>
        <w:t> </w:t>
      </w:r>
      <w:r>
        <w:rPr>
          <w:spacing w:val="-68"/>
        </w:rPr>
      </w:r>
      <w:r>
        <w:rPr/>
        <w:t>度》、《年报信息披露重大差错责任追究制度》等公司治理、信息管理制度。</w:t>
      </w:r>
    </w:p>
    <w:p>
      <w:pPr>
        <w:pStyle w:val="BodyText"/>
        <w:spacing w:line="477" w:lineRule="auto" w:before="54"/>
        <w:ind w:right="93" w:firstLine="360"/>
        <w:jc w:val="left"/>
      </w:pPr>
      <w:r>
        <w:rPr>
          <w:spacing w:val="-2"/>
        </w:rPr>
        <w:t>为规范公司的内幕信息管理，加强内幕信息保密工作，以维护信息披露的公开、公平、公正原则，保护广大投资者的合</w:t>
      </w:r>
      <w:r>
        <w:rPr/>
        <w:t> </w:t>
      </w:r>
      <w:r>
        <w:rPr>
          <w:spacing w:val="-2"/>
        </w:rPr>
        <w:t>法权益，根据《公司法》、《证券法》、《上市公司信息披露管理办法》、《深圳证券交易所创业板股票上市规则》、《深</w:t>
      </w:r>
      <w:r>
        <w:rPr>
          <w:spacing w:val="-69"/>
        </w:rPr>
        <w:t> </w:t>
      </w:r>
      <w:r>
        <w:rPr>
          <w:spacing w:val="-69"/>
        </w:rPr>
      </w:r>
      <w:r>
        <w:rPr>
          <w:spacing w:val="-2"/>
        </w:rPr>
        <w:t>圳证券交易所创业板上市公司规范运作指引》及有关法律、法规和《公司章程》的相关规定，结合公司实际情况，公司制定</w:t>
      </w:r>
      <w:r>
        <w:rPr>
          <w:spacing w:val="-68"/>
        </w:rPr>
        <w:t> </w:t>
      </w:r>
      <w:r>
        <w:rPr>
          <w:spacing w:val="-68"/>
        </w:rPr>
      </w:r>
      <w:r>
        <w:rPr>
          <w:spacing w:val="-4"/>
        </w:rPr>
        <w:t>了《内幕信息知情人登记制度》，作为内幕交易防控的专项制度文件。该制度明确界定了内幕信息和内幕信息知情人的范围，</w:t>
      </w:r>
      <w:r>
        <w:rPr>
          <w:spacing w:val="-46"/>
        </w:rPr>
        <w:t> </w:t>
      </w:r>
      <w:r>
        <w:rPr>
          <w:spacing w:val="-46"/>
        </w:rPr>
      </w:r>
      <w:r>
        <w:rPr/>
        <w:t>完善了内幕信息事项的研究、决策和审批程序，健全了内幕信息的保密措施，建立了内幕信息知情人登记管理措施等。</w:t>
      </w:r>
    </w:p>
    <w:p>
      <w:pPr>
        <w:pStyle w:val="BodyText"/>
        <w:spacing w:line="240" w:lineRule="auto" w:before="54"/>
        <w:ind w:left="587" w:right="93"/>
        <w:jc w:val="left"/>
      </w:pPr>
      <w:r>
        <w:rPr/>
        <w:t>（二）内幕信息知情人管理制度的执行情况</w:t>
      </w:r>
    </w:p>
    <w:p>
      <w:pPr>
        <w:spacing w:line="240" w:lineRule="auto" w:before="10"/>
        <w:rPr>
          <w:rFonts w:ascii="宋体" w:hAnsi="宋体" w:cs="宋体" w:eastAsia="宋体" w:hint="default"/>
          <w:sz w:val="17"/>
          <w:szCs w:val="17"/>
        </w:rPr>
      </w:pPr>
    </w:p>
    <w:p>
      <w:pPr>
        <w:pStyle w:val="BodyText"/>
        <w:spacing w:line="451" w:lineRule="auto"/>
        <w:ind w:left="514" w:right="93"/>
        <w:jc w:val="left"/>
      </w:pPr>
      <w:r>
        <w:rPr>
          <w:rFonts w:ascii="Times New Roman" w:hAnsi="Times New Roman" w:cs="Times New Roman" w:eastAsia="Times New Roman" w:hint="default"/>
        </w:rPr>
        <w:t>1</w:t>
      </w:r>
      <w:r>
        <w:rPr/>
        <w:t>．定期报告披露期间的信息保密工作 </w:t>
      </w:r>
      <w:r>
        <w:rPr>
          <w:spacing w:val="-2"/>
        </w:rPr>
        <w:t>报告期内，公司严格执行内幕信息保密制度，严格规范信息传递流程，在定期报告披露期间，对于未公开信息，公司董</w:t>
      </w:r>
    </w:p>
    <w:p>
      <w:pPr>
        <w:pStyle w:val="BodyText"/>
        <w:spacing w:line="477" w:lineRule="auto" w:before="74"/>
        <w:ind w:left="154" w:right="191"/>
        <w:jc w:val="both"/>
      </w:pPr>
      <w:r>
        <w:rPr>
          <w:spacing w:val="-2"/>
        </w:rPr>
        <w:t>事会办公室都会严格控制知情人范围并做好相关内幕信息知情人登记工作，如实、完整记录上述信息在公开前的所有内幕信</w:t>
      </w:r>
      <w:r>
        <w:rPr>
          <w:spacing w:val="-64"/>
        </w:rPr>
        <w:t> </w:t>
      </w:r>
      <w:r>
        <w:rPr>
          <w:spacing w:val="-64"/>
        </w:rPr>
      </w:r>
      <w:r>
        <w:rPr>
          <w:spacing w:val="-2"/>
        </w:rPr>
        <w:t>息知情人名单，以及知情人知悉内幕信息的时间。经公司董事会办公室核实无误后，按照相关法规规定在向深圳证券交易所</w:t>
      </w:r>
      <w:r>
        <w:rPr>
          <w:spacing w:val="-65"/>
        </w:rPr>
        <w:t> </w:t>
      </w:r>
      <w:r>
        <w:rPr>
          <w:spacing w:val="-65"/>
        </w:rPr>
      </w:r>
      <w:r>
        <w:rPr/>
        <w:t>和深圳证监局报送定期报告相关资料的同时报备内幕信息知情人登记表。</w:t>
      </w:r>
    </w:p>
    <w:p>
      <w:pPr>
        <w:pStyle w:val="BodyText"/>
        <w:spacing w:line="451" w:lineRule="auto" w:before="54"/>
        <w:ind w:left="514" w:right="93"/>
        <w:jc w:val="left"/>
      </w:pPr>
      <w:r>
        <w:rPr>
          <w:rFonts w:ascii="Times New Roman" w:hAnsi="Times New Roman" w:cs="Times New Roman" w:eastAsia="Times New Roman" w:hint="default"/>
        </w:rPr>
        <w:t>2</w:t>
      </w:r>
      <w:r>
        <w:rPr/>
        <w:t>．投资者调研期间的信息保密工作 </w:t>
      </w:r>
      <w:r>
        <w:rPr>
          <w:spacing w:val="-2"/>
        </w:rPr>
        <w:t>在定期报告及重大事项披露期间，公司尽量避免接待投资者的调研，努力做好定期报告及重大事项披露期间的信息保密</w:t>
      </w:r>
    </w:p>
    <w:p>
      <w:pPr>
        <w:pStyle w:val="BodyText"/>
        <w:spacing w:line="240" w:lineRule="auto" w:before="74"/>
        <w:ind w:left="154" w:right="0"/>
        <w:jc w:val="both"/>
      </w:pPr>
      <w:r>
        <w:rPr/>
        <w:t>工作。</w:t>
      </w:r>
    </w:p>
    <w:p>
      <w:pPr>
        <w:spacing w:line="240" w:lineRule="auto" w:before="10"/>
        <w:rPr>
          <w:rFonts w:ascii="宋体" w:hAnsi="宋体" w:cs="宋体" w:eastAsia="宋体" w:hint="default"/>
          <w:sz w:val="17"/>
          <w:szCs w:val="17"/>
        </w:rPr>
      </w:pPr>
    </w:p>
    <w:p>
      <w:pPr>
        <w:pStyle w:val="BodyText"/>
        <w:spacing w:line="477" w:lineRule="auto"/>
        <w:ind w:left="154" w:right="192" w:firstLine="360"/>
        <w:jc w:val="both"/>
      </w:pPr>
      <w:r>
        <w:rPr>
          <w:spacing w:val="-2"/>
        </w:rPr>
        <w:t>在日常接待投资者调研时，公司董事会办公室负责履行相关的信息保密工作程序。在进行调研前，公司先对调研人员的</w:t>
      </w:r>
      <w:r>
        <w:rPr/>
        <w:t> </w:t>
      </w:r>
      <w:r>
        <w:rPr>
          <w:spacing w:val="-2"/>
        </w:rPr>
        <w:t>个人信息进行备案，同时要求其签署投资者来访调研承诺书，其中要求承诺在调研公司后形成的投资价值分析报告、新闻稿</w:t>
      </w:r>
      <w:r>
        <w:rPr>
          <w:spacing w:val="-66"/>
        </w:rPr>
        <w:t> </w:t>
      </w:r>
      <w:r>
        <w:rPr>
          <w:spacing w:val="-66"/>
        </w:rPr>
      </w:r>
      <w:r>
        <w:rPr>
          <w:spacing w:val="-2"/>
        </w:rPr>
        <w:t>等文件在对外发布或使用前知会本公司。在调研过程中，公司董事会办公室相关人员认真做好会议记录，并按照相关法规规</w:t>
      </w:r>
      <w:r>
        <w:rPr>
          <w:spacing w:val="-66"/>
        </w:rPr>
        <w:t> </w:t>
      </w:r>
      <w:r>
        <w:rPr>
          <w:spacing w:val="-66"/>
        </w:rPr>
      </w:r>
      <w:r>
        <w:rPr/>
        <w:t>定向深交所报备。</w:t>
      </w:r>
    </w:p>
    <w:p>
      <w:pPr>
        <w:pStyle w:val="BodyText"/>
        <w:spacing w:line="451" w:lineRule="auto" w:before="54"/>
        <w:ind w:left="514" w:right="93" w:firstLine="73"/>
        <w:jc w:val="left"/>
      </w:pPr>
      <w:r>
        <w:rPr>
          <w:rFonts w:ascii="Times New Roman" w:hAnsi="Times New Roman" w:cs="Times New Roman" w:eastAsia="Times New Roman" w:hint="default"/>
        </w:rPr>
        <w:t>3</w:t>
      </w:r>
      <w:r>
        <w:rPr/>
        <w:t>．其他重大事件的信息保密工作 </w:t>
      </w:r>
      <w:r>
        <w:rPr>
          <w:spacing w:val="-2"/>
        </w:rPr>
        <w:t>在其他重大事项（如对外投资等）未披露前，公司及相关信息披露义务人采取保密措施，签订相关保密协议，以保证信</w:t>
      </w:r>
    </w:p>
    <w:p>
      <w:pPr>
        <w:pStyle w:val="BodyText"/>
        <w:spacing w:line="240" w:lineRule="auto" w:before="74"/>
        <w:ind w:left="154" w:right="0"/>
        <w:jc w:val="both"/>
      </w:pPr>
      <w:r>
        <w:rPr/>
        <w:t>息处于可控范围。</w:t>
      </w:r>
    </w:p>
    <w:p>
      <w:pPr>
        <w:spacing w:line="240" w:lineRule="auto" w:before="10"/>
        <w:rPr>
          <w:rFonts w:ascii="宋体" w:hAnsi="宋体" w:cs="宋体" w:eastAsia="宋体" w:hint="default"/>
          <w:sz w:val="17"/>
          <w:szCs w:val="17"/>
        </w:rPr>
      </w:pPr>
    </w:p>
    <w:p>
      <w:pPr>
        <w:pStyle w:val="BodyText"/>
        <w:spacing w:line="477" w:lineRule="auto"/>
        <w:ind w:left="514" w:right="93" w:firstLine="73"/>
        <w:jc w:val="left"/>
      </w:pPr>
      <w:r>
        <w:rPr/>
        <w:t>（三）报告期内自查内幕信息知情人涉嫌内幕交易以及监管部门的查处和整改情况 </w:t>
      </w:r>
      <w:r>
        <w:rPr>
          <w:spacing w:val="-2"/>
        </w:rPr>
        <w:t>报告期内，公司董事、监事及高级管理人员和其他相关知情人严格遵守了内幕信息知情人管理制度，未发现有内幕信息</w:t>
      </w:r>
    </w:p>
    <w:p>
      <w:pPr>
        <w:pStyle w:val="BodyText"/>
        <w:spacing w:line="477" w:lineRule="auto" w:before="54"/>
        <w:ind w:left="514" w:right="93" w:hanging="360"/>
        <w:jc w:val="left"/>
      </w:pPr>
      <w:r>
        <w:rPr/>
        <w:t>知情人利用内幕信息买卖本公司股份的情况。报告期内公司也未发生受到监管部门查处和整改的情形。 </w:t>
      </w:r>
      <w:r>
        <w:rPr>
          <w:spacing w:val="-2"/>
        </w:rPr>
        <w:t>公司将继续遵守有关信息披露的法律规定并严格执行本公司《信息披露管理制度》，组织有关信息披露规定的专题培训</w:t>
      </w:r>
    </w:p>
    <w:p>
      <w:pPr>
        <w:pStyle w:val="BodyText"/>
        <w:spacing w:line="240" w:lineRule="auto" w:before="54"/>
        <w:ind w:left="154" w:right="0"/>
        <w:jc w:val="both"/>
      </w:pPr>
      <w:r>
        <w:rPr/>
        <w:t>和深化学习，不断提高公司信息披露的质量和水平。</w:t>
      </w:r>
    </w:p>
    <w:p>
      <w:pPr>
        <w:spacing w:after="0" w:line="240" w:lineRule="auto"/>
        <w:jc w:val="both"/>
        <w:sectPr>
          <w:pgSz w:w="11910" w:h="16840"/>
          <w:pgMar w:header="877" w:footer="979" w:top="1100" w:bottom="116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七、报告期内接待调研、沟通、采访等活动登记表" w:id="35"/>
      <w:bookmarkEnd w:id="35"/>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pict>
          <v:shape style="position:absolute;margin-left:386.746002pt;margin-top:104.551689pt;width:148.25pt;height:78pt;mso-position-horizontal-relative:page;mso-position-vertical-relative:paragraph;z-index:-7560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广发资产管理、</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978"/>
        <w:gridCol w:w="851"/>
        <w:gridCol w:w="2978"/>
        <w:gridCol w:w="1771"/>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20" w:right="68" w:hanging="450"/>
              <w:jc w:val="left"/>
              <w:rPr>
                <w:rFonts w:ascii="宋体" w:hAnsi="宋体" w:cs="宋体" w:eastAsia="宋体" w:hint="default"/>
                <w:sz w:val="18"/>
                <w:szCs w:val="18"/>
              </w:rPr>
            </w:pPr>
            <w:r>
              <w:rPr>
                <w:rFonts w:ascii="宋体" w:hAnsi="宋体" w:cs="宋体" w:eastAsia="宋体" w:hint="default"/>
                <w:sz w:val="18"/>
                <w:szCs w:val="18"/>
              </w:rPr>
              <w:t>谈论的主要内容及提 供的资料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融通基金、宏源证券、海通证券</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9"/>
                <w:sz w:val="18"/>
                <w:szCs w:val="18"/>
              </w:rPr>
              <w:t>公司基本经营情况、新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业务发展情况、收购亿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美软通的有关事项等</w:t>
            </w:r>
          </w:p>
        </w:tc>
      </w:tr>
      <w:tr>
        <w:trPr>
          <w:trHeight w:val="414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北京市朝阳区北辰 东路八号北辰时代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39"/>
              <w:jc w:val="left"/>
              <w:rPr>
                <w:rFonts w:ascii="宋体" w:hAnsi="宋体" w:cs="宋体" w:eastAsia="宋体" w:hint="default"/>
                <w:sz w:val="18"/>
                <w:szCs w:val="18"/>
              </w:rPr>
            </w:pPr>
            <w:r>
              <w:rPr>
                <w:rFonts w:ascii="宋体" w:hAnsi="宋体" w:cs="宋体" w:eastAsia="宋体" w:hint="default"/>
                <w:sz w:val="18"/>
                <w:szCs w:val="18"/>
              </w:rPr>
              <w:t>安信证券、宝盈基金、长城基金、长 江证券、长盛基金、大成基金、东方 </w:t>
            </w:r>
            <w:r>
              <w:rPr>
                <w:rFonts w:ascii="宋体" w:hAnsi="宋体" w:cs="宋体" w:eastAsia="宋体" w:hint="default"/>
                <w:spacing w:val="-3"/>
                <w:sz w:val="18"/>
                <w:szCs w:val="18"/>
              </w:rPr>
              <w:t>证券、光大永明资产、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国都证券、国海证券、国投瑞银、海 通证券、华宝兴业基金、华商基金、 华泰证券、华夏财富创新投资管理公 </w:t>
            </w:r>
            <w:r>
              <w:rPr>
                <w:rFonts w:ascii="宋体" w:hAnsi="宋体" w:cs="宋体" w:eastAsia="宋体" w:hint="default"/>
                <w:spacing w:val="-5"/>
                <w:sz w:val="18"/>
                <w:szCs w:val="18"/>
              </w:rPr>
              <w:t>司、嘉实基金、南方基金、平安资产、</w:t>
            </w:r>
            <w:r>
              <w:rPr>
                <w:rFonts w:ascii="宋体" w:hAnsi="宋体" w:cs="宋体" w:eastAsia="宋体" w:hint="default"/>
                <w:spacing w:val="-34"/>
                <w:sz w:val="18"/>
                <w:szCs w:val="18"/>
              </w:rPr>
              <w:t> </w:t>
            </w:r>
            <w:r>
              <w:rPr>
                <w:rFonts w:ascii="宋体" w:hAnsi="宋体" w:cs="宋体" w:eastAsia="宋体" w:hint="default"/>
                <w:spacing w:val="-5"/>
                <w:sz w:val="18"/>
                <w:szCs w:val="18"/>
              </w:rPr>
              <w:t>齐鲁证券、上海钝砺投资、尚雅投资、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泰康资产、泰信基金、天安财险、天</w:t>
            </w:r>
            <w:r>
              <w:rPr>
                <w:rFonts w:ascii="宋体" w:hAnsi="宋体" w:cs="宋体" w:eastAsia="宋体" w:hint="default"/>
                <w:sz w:val="18"/>
                <w:szCs w:val="18"/>
              </w:rPr>
              <w:t> 弘基金、万家基金、新华基金、银河 基金、英大泰和人寿保险、中国民族 证券、中融人寿、中信产业基金、中 信建投、中银基金、中油基金</w:t>
            </w:r>
          </w:p>
        </w:tc>
        <w:tc>
          <w:tcPr>
            <w:tcW w:w="1771" w:type="dxa"/>
            <w:tcBorders>
              <w:top w:val="single" w:sz="4" w:space="0" w:color="000000"/>
              <w:left w:val="single" w:sz="9" w:space="0" w:color="FFFFFF"/>
              <w:bottom w:val="single" w:sz="4" w:space="0" w:color="000000"/>
              <w:right w:val="single" w:sz="4" w:space="0" w:color="000000"/>
            </w:tcBorders>
          </w:tcPr>
          <w:p>
            <w:pPr>
              <w:pStyle w:val="TableParagraph"/>
              <w:spacing w:line="1560" w:lineRule="exact"/>
              <w:ind w:left="-7"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88.1pt;height:78pt;mso-position-horizontal-relative:char;mso-position-vertical-relative:line" coordorigin="0,0" coordsize="1762,1560">
                  <v:group style="position:absolute;left:0;top:0;width:1762;height:1560" coordorigin="0,0" coordsize="1762,1560">
                    <v:shape style="position:absolute;left:0;top:0;width:1762;height:1560" coordorigin="0,0" coordsize="1762,1560" path="m0,1560l1762,1560,1762,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pacing w:val="-9"/>
                <w:sz w:val="18"/>
                <w:szCs w:val="18"/>
              </w:rPr>
              <w:t>公司基本经营情况、收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购亿美软通的有关事 项等</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663" w:lineRule="exact"/>
              <w:ind w:left="16" w:right="-28"/>
              <w:jc w:val="left"/>
              <w:rPr>
                <w:rFonts w:ascii="宋体" w:hAnsi="宋体" w:cs="宋体" w:eastAsia="宋体" w:hint="default"/>
                <w:sz w:val="20"/>
                <w:szCs w:val="20"/>
              </w:rPr>
            </w:pPr>
            <w:r>
              <w:rPr>
                <w:rFonts w:ascii="宋体" w:hAnsi="宋体" w:cs="宋体" w:eastAsia="宋体" w:hint="default"/>
                <w:position w:val="-12"/>
                <w:sz w:val="20"/>
                <w:szCs w:val="20"/>
              </w:rPr>
              <w:pict>
                <v:group style="width:85.8pt;height:33.2pt;mso-position-horizontal-relative:char;mso-position-vertical-relative:line" coordorigin="0,0" coordsize="1716,664">
                  <v:group style="position:absolute;left:0;top:0;width:1716;height:312" coordorigin="0,0" coordsize="1716,312">
                    <v:shape style="position:absolute;left:0;top:0;width:1716;height:312" coordorigin="0,0" coordsize="1716,312" path="m0,312l1716,312,1716,0,0,0,0,312xe" filled="true" fillcolor="#ffffff" stroked="false">
                      <v:path arrowok="t"/>
                      <v:fill type="solid"/>
                    </v:shape>
                  </v:group>
                  <v:group style="position:absolute;left:0;top:312;width:1716;height:352" coordorigin="0,312" coordsize="1716,352">
                    <v:shape style="position:absolute;left:0;top:312;width:1716;height:352" coordorigin="0,312" coordsize="1716,352" path="m0,664l1716,664,1716,312,0,312,0,664xe" filled="true" fillcolor="#ffffff" stroked="false">
                      <v:path arrowok="t"/>
                      <v:fill type="solid"/>
                    </v:shape>
                  </v:group>
                </v:group>
              </w:pict>
            </w:r>
            <w:r>
              <w:rPr>
                <w:rFonts w:ascii="宋体" w:hAnsi="宋体" w:cs="宋体" w:eastAsia="宋体" w:hint="default"/>
                <w:position w:val="-12"/>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中银基金、信达澳银、广发证券</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6"/>
              <w:jc w:val="left"/>
              <w:rPr>
                <w:rFonts w:ascii="宋体" w:hAnsi="宋体" w:cs="宋体" w:eastAsia="宋体" w:hint="default"/>
                <w:sz w:val="18"/>
                <w:szCs w:val="18"/>
              </w:rPr>
            </w:pPr>
            <w:r>
              <w:rPr>
                <w:rFonts w:ascii="宋体" w:hAnsi="宋体" w:cs="宋体" w:eastAsia="宋体" w:hint="default"/>
                <w:sz w:val="18"/>
                <w:szCs w:val="18"/>
              </w:rPr>
              <w:t>公司产品情况及运营 情况等</w:t>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both"/>
              <w:rPr>
                <w:rFonts w:ascii="宋体" w:hAnsi="宋体" w:cs="宋体" w:eastAsia="宋体" w:hint="default"/>
                <w:sz w:val="18"/>
                <w:szCs w:val="18"/>
              </w:rPr>
            </w:pPr>
            <w:r>
              <w:rPr>
                <w:rFonts w:ascii="宋体" w:hAnsi="宋体" w:cs="宋体" w:eastAsia="宋体" w:hint="default"/>
                <w:sz w:val="18"/>
                <w:szCs w:val="18"/>
              </w:rPr>
              <w:t>宝盈基金、华林证券、广发基金、平 安大华基金、万家基金、国信证券、 普尔投资、华夏基金、方正证券、融 亨资本、易方达基金、招商基金、华 润元大基金、摩根士丹利华鑫基金、 天弘基金、长江证券、银河投资</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6"/>
              <w:jc w:val="left"/>
              <w:rPr>
                <w:rFonts w:ascii="宋体" w:hAnsi="宋体" w:cs="宋体" w:eastAsia="宋体" w:hint="default"/>
                <w:sz w:val="18"/>
                <w:szCs w:val="18"/>
              </w:rPr>
            </w:pPr>
            <w:r>
              <w:rPr>
                <w:rFonts w:ascii="宋体" w:hAnsi="宋体" w:cs="宋体" w:eastAsia="宋体" w:hint="default"/>
                <w:sz w:val="18"/>
                <w:szCs w:val="18"/>
              </w:rPr>
              <w:t>公司产品情况及运营 情况等</w:t>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深圳市福田区益田 路卓越时代广场</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both"/>
              <w:rPr>
                <w:rFonts w:ascii="宋体" w:hAnsi="宋体" w:cs="宋体" w:eastAsia="宋体" w:hint="default"/>
                <w:sz w:val="18"/>
                <w:szCs w:val="18"/>
              </w:rPr>
            </w:pPr>
            <w:r>
              <w:rPr>
                <w:rFonts w:ascii="宋体" w:hAnsi="宋体" w:cs="宋体" w:eastAsia="宋体" w:hint="default"/>
                <w:sz w:val="18"/>
                <w:szCs w:val="18"/>
              </w:rPr>
              <w:t>国海证券、银泰证券、国信证券、银 华基金、华商基金、广发基金、南方 基金、工银瑞信、东方基金、宝盈基 金、清水源投资、路博迈投资、太和 投资、红筹投资、太平资产、创海富 信、景泰利丰</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9"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票联通</w:t>
            </w:r>
            <w:r>
              <w:rPr>
                <w:rFonts w:ascii="Times New Roman" w:hAnsi="Times New Roman" w:cs="Times New Roman" w:eastAsia="Times New Roman" w:hint="default"/>
                <w:sz w:val="18"/>
                <w:szCs w:val="18"/>
              </w:rPr>
              <w:t>”</w:t>
            </w:r>
            <w:r>
              <w:rPr>
                <w:rFonts w:ascii="宋体" w:hAnsi="宋体" w:cs="宋体" w:eastAsia="宋体" w:hint="default"/>
                <w:sz w:val="18"/>
                <w:szCs w:val="18"/>
              </w:rPr>
              <w:t>业务的基本 </w:t>
            </w:r>
            <w:r>
              <w:rPr>
                <w:rFonts w:ascii="宋体" w:hAnsi="宋体" w:cs="宋体" w:eastAsia="宋体" w:hint="default"/>
                <w:spacing w:val="-9"/>
                <w:sz w:val="18"/>
                <w:szCs w:val="18"/>
              </w:rPr>
              <w:t>情况、开通上线及运营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情况等</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both"/>
              <w:rPr>
                <w:rFonts w:ascii="宋体" w:hAnsi="宋体" w:cs="宋体" w:eastAsia="宋体" w:hint="default"/>
                <w:sz w:val="18"/>
                <w:szCs w:val="18"/>
              </w:rPr>
            </w:pPr>
            <w:r>
              <w:rPr>
                <w:rFonts w:ascii="宋体" w:hAnsi="宋体" w:cs="宋体" w:eastAsia="宋体" w:hint="default"/>
                <w:spacing w:val="-9"/>
                <w:sz w:val="18"/>
                <w:szCs w:val="18"/>
              </w:rPr>
              <w:t>东吴证券、广发证券、大成基金、</w:t>
            </w:r>
            <w:r>
              <w:rPr>
                <w:rFonts w:ascii="Times New Roman" w:hAnsi="Times New Roman" w:cs="Times New Roman" w:eastAsia="Times New Roman" w:hint="default"/>
                <w:spacing w:val="-9"/>
                <w:sz w:val="18"/>
                <w:szCs w:val="18"/>
              </w:rPr>
              <w:t>SMC</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基金、中银基金、华夏基金、兴业证 券、九泰基金、青溪资产、前海开源 基金、莫尼塔投资</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0"/>
              <w:jc w:val="left"/>
              <w:rPr>
                <w:rFonts w:ascii="宋体" w:hAnsi="宋体" w:cs="宋体" w:eastAsia="宋体" w:hint="default"/>
                <w:sz w:val="18"/>
                <w:szCs w:val="18"/>
              </w:rPr>
            </w:pPr>
            <w:r>
              <w:rPr>
                <w:rFonts w:ascii="宋体" w:hAnsi="宋体" w:cs="宋体" w:eastAsia="宋体" w:hint="default"/>
                <w:spacing w:val="-9"/>
                <w:sz w:val="18"/>
                <w:szCs w:val="18"/>
              </w:rPr>
              <w:t>公司基本经营情况、新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业务发展情况等</w:t>
            </w:r>
          </w:p>
        </w:tc>
      </w:tr>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both"/>
              <w:rPr>
                <w:rFonts w:ascii="宋体" w:hAnsi="宋体" w:cs="宋体" w:eastAsia="宋体" w:hint="default"/>
                <w:sz w:val="18"/>
                <w:szCs w:val="18"/>
              </w:rPr>
            </w:pPr>
            <w:r>
              <w:rPr>
                <w:rFonts w:ascii="宋体" w:hAnsi="宋体" w:cs="宋体" w:eastAsia="宋体" w:hint="default"/>
                <w:sz w:val="18"/>
                <w:szCs w:val="18"/>
              </w:rPr>
              <w:t>国海证券、宝盈基金、创海富信、广 发基金、百谷资产、君合泰达资产、 博时基金、大成基金、东海基金、国</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16"/>
              <w:jc w:val="left"/>
              <w:rPr>
                <w:rFonts w:ascii="宋体" w:hAnsi="宋体" w:cs="宋体" w:eastAsia="宋体" w:hint="default"/>
                <w:sz w:val="18"/>
                <w:szCs w:val="18"/>
              </w:rPr>
            </w:pPr>
            <w:r>
              <w:rPr>
                <w:rFonts w:ascii="宋体" w:hAnsi="宋体" w:cs="宋体" w:eastAsia="宋体" w:hint="default"/>
                <w:sz w:val="18"/>
                <w:szCs w:val="18"/>
              </w:rPr>
              <w:t>亿美软通与片仔癀合 作的有关情况</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404.683014pt;margin-top:173.11998pt;width:130.3pt;height:117pt;mso-position-horizontal-relative:page;mso-position-vertical-relative:page;z-index:-755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jc w:val="left"/>
                  </w:pPr>
                  <w:r>
                    <w:rPr/>
                    <w:t>民生证券、</w:t>
                  </w:r>
                </w:p>
              </w:txbxContent>
            </v:textbox>
            <w10:wrap type="none"/>
          </v:shape>
        </w:pict>
      </w:r>
      <w:r>
        <w:rPr/>
        <w:pict>
          <v:shape style="position:absolute;margin-left:386.746002pt;margin-top:325.339996pt;width:148.25pt;height:117.05pt;mso-position-horizontal-relative:page;mso-position-vertical-relative:page;z-index:-755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pStyle w:val="BodyText"/>
                    <w:spacing w:line="240" w:lineRule="auto"/>
                    <w:ind w:left="0" w:right="0"/>
                    <w:jc w:val="left"/>
                  </w:pPr>
                  <w:r>
                    <w:rPr/>
                    <w:t>中化财务公司、</w:t>
                  </w:r>
                </w:p>
                <w:p>
                  <w:pPr>
                    <w:pStyle w:val="BodyText"/>
                    <w:spacing w:line="240" w:lineRule="auto" w:before="76"/>
                    <w:ind w:left="538" w:right="0"/>
                    <w:jc w:val="left"/>
                  </w:pPr>
                  <w:r>
                    <w:rPr/>
                    <w:t>信证券、</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494"/>
        <w:gridCol w:w="1498"/>
        <w:gridCol w:w="978"/>
        <w:gridCol w:w="851"/>
        <w:gridCol w:w="2978"/>
        <w:gridCol w:w="1771"/>
      </w:tblGrid>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3"/>
              <w:jc w:val="both"/>
              <w:rPr>
                <w:rFonts w:ascii="宋体" w:hAnsi="宋体" w:cs="宋体" w:eastAsia="宋体" w:hint="default"/>
                <w:sz w:val="18"/>
                <w:szCs w:val="18"/>
              </w:rPr>
            </w:pPr>
            <w:r>
              <w:rPr>
                <w:rFonts w:ascii="宋体" w:hAnsi="宋体" w:cs="宋体" w:eastAsia="宋体" w:hint="default"/>
                <w:sz w:val="18"/>
                <w:szCs w:val="18"/>
              </w:rPr>
              <w:t>信证券、华安基金、华宝兴业基金、 怀新投资、黄山养老保险、嘉德森投 资、交银施罗德基金</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交银施罗德、民生加银基金、中金公 </w:t>
            </w:r>
            <w:r>
              <w:rPr>
                <w:rFonts w:ascii="宋体" w:hAnsi="宋体" w:cs="宋体" w:eastAsia="宋体" w:hint="default"/>
                <w:spacing w:val="-4"/>
                <w:sz w:val="18"/>
                <w:szCs w:val="18"/>
              </w:rPr>
              <w:t>司、安信证券、同犇投资、天润融汇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长城基金、大成基金</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公司基本经营情况</w:t>
            </w:r>
            <w:r>
              <w:rPr>
                <w:rFonts w:ascii="宋体" w:hAnsi="宋体" w:cs="宋体" w:eastAsia="宋体" w:hint="default"/>
                <w:spacing w:val="-85"/>
                <w:sz w:val="18"/>
                <w:szCs w:val="18"/>
              </w:rPr>
              <w:t>、</w:t>
            </w:r>
            <w:r>
              <w:rPr>
                <w:rFonts w:ascii="宋体" w:hAnsi="宋体" w:cs="宋体" w:eastAsia="宋体" w:hint="default"/>
                <w:sz w:val="18"/>
                <w:szCs w:val="18"/>
              </w:rPr>
              <w:t>新</w:t>
            </w:r>
          </w:p>
          <w:p>
            <w:pPr>
              <w:pStyle w:val="TableParagraph"/>
              <w:spacing w:line="15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业务发展情况等</w:t>
            </w: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727"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86.95pt;height:36.4pt;mso-position-horizontal-relative:char;mso-position-vertical-relative:line" coordorigin="0,0" coordsize="1739,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1716;height:352" coordorigin="23,11" coordsize="1716,352">
                    <v:shape style="position:absolute;left:23;top:11;width:1716;height:352" coordorigin="23,11" coordsize="1716,352" path="m23,363l1739,363,1739,11,23,11,23,363xe" filled="true" fillcolor="#ffffff" stroked="false">
                      <v:path arrowok="t"/>
                      <v:fill type="solid"/>
                    </v:shape>
                  </v:group>
                  <v:group style="position:absolute;left:23;top:363;width:1716;height:353" coordorigin="23,363" coordsize="1716,353">
                    <v:shape style="position:absolute;left:23;top:363;width:1716;height:353" coordorigin="23,363" coordsize="1716,353" path="m23,716l1739,716,1739,363,23,363,23,716xe" filled="true" fillcolor="#ffffff" stroked="false">
                      <v:path arrowok="t"/>
                      <v:fill type="solid"/>
                    </v:shape>
                  </v:group>
                </v:group>
              </w:pict>
            </w:r>
            <w:r>
              <w:rPr>
                <w:rFonts w:ascii="Times New Roman" w:hAnsi="Times New Roman" w:cs="Times New Roman" w:eastAsia="Times New Roman" w:hint="default"/>
                <w:position w:val="-14"/>
                <w:sz w:val="20"/>
                <w:szCs w:val="20"/>
              </w:rPr>
            </w:r>
          </w:p>
        </w:tc>
      </w:tr>
      <w:tr>
        <w:trPr>
          <w:trHeight w:val="539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安信证券、博鸿投资、大成基金、东 海证券、东吴证券、国信证券、海富 通基金、海通证券、弘毅资本、红土 创新、华润元大基金、华泰证券、华 夏基金、混沌道然资产、交银施罗德 基金、金元证券、锦洋投资、久富投 </w:t>
            </w:r>
            <w:r>
              <w:rPr>
                <w:rFonts w:ascii="宋体" w:hAnsi="宋体" w:cs="宋体" w:eastAsia="宋体" w:hint="default"/>
                <w:spacing w:val="-3"/>
                <w:sz w:val="18"/>
                <w:szCs w:val="18"/>
              </w:rPr>
              <w:t>资、巨杉资产、林奇投资、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摩根士丹利华鑫基金、平安养老保险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平安资产、浦银安盛基金、普尔投资</w:t>
            </w:r>
            <w:r>
              <w:rPr>
                <w:rFonts w:ascii="宋体" w:hAnsi="宋体" w:cs="宋体" w:eastAsia="宋体" w:hint="default"/>
                <w:sz w:val="18"/>
                <w:szCs w:val="18"/>
              </w:rPr>
              <w:t> 清水源投资、如壹投资、上投摩根基 金、太和投资、泰达宏利基金、同威 投资、信诚基金、信达证券、兴业全 球基金、熠星投资、裕晋投资、圆信 </w:t>
            </w:r>
            <w:r>
              <w:rPr>
                <w:rFonts w:ascii="宋体" w:hAnsi="宋体" w:cs="宋体" w:eastAsia="宋体" w:hint="default"/>
                <w:spacing w:val="-3"/>
                <w:sz w:val="18"/>
                <w:szCs w:val="18"/>
              </w:rPr>
              <w:t>永丰基金、长城基金、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中金蓝海资产、中山证券、中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中银国际、中邮基金、朱雀投资、宗 毅润邦投资</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6"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公司基本经营情况</w:t>
            </w:r>
            <w:r>
              <w:rPr>
                <w:rFonts w:ascii="宋体" w:hAnsi="宋体" w:cs="宋体" w:eastAsia="宋体" w:hint="default"/>
                <w:spacing w:val="-85"/>
                <w:sz w:val="18"/>
                <w:szCs w:val="18"/>
              </w:rPr>
              <w:t>、</w:t>
            </w:r>
            <w:r>
              <w:rPr>
                <w:rFonts w:ascii="宋体" w:hAnsi="宋体" w:cs="宋体" w:eastAsia="宋体" w:hint="default"/>
                <w:sz w:val="18"/>
                <w:szCs w:val="18"/>
              </w:rPr>
              <w:t>新</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业务发展情况等</w:t>
            </w:r>
          </w:p>
          <w:p>
            <w:pPr>
              <w:pStyle w:val="TableParagraph"/>
              <w:spacing w:line="5384"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7"/>
                <w:sz w:val="20"/>
                <w:szCs w:val="20"/>
              </w:rPr>
              <w:pict>
                <v:group style="width:88.1pt;height:269.25pt;mso-position-horizontal-relative:char;mso-position-vertical-relative:line" coordorigin="0,0" coordsize="1762,5385">
                  <v:group style="position:absolute;left:0;top:0;width:1762;height:2340" coordorigin="0,0" coordsize="1762,2340">
                    <v:shape style="position:absolute;left:0;top:0;width:1762;height:2340" coordorigin="0,0" coordsize="1762,2340" path="m0,2340l1762,2340,1762,0,0,0,0,2340xe" filled="true" fillcolor="#ffffff" stroked="false">
                      <v:path arrowok="t"/>
                      <v:fill type="solid"/>
                    </v:shape>
                  </v:group>
                  <v:group style="position:absolute;left:11;top:2340;width:2;height:705" coordorigin="11,2340" coordsize="2,705">
                    <v:shape style="position:absolute;left:11;top:2340;width:2;height:705" coordorigin="11,2340" coordsize="0,705" path="m11,2340l11,3044e" filled="false" stroked="true" strokeweight="1.140pt" strokecolor="#ffffff">
                      <v:path arrowok="t"/>
                    </v:shape>
                  </v:group>
                  <v:group style="position:absolute;left:0;top:3044;width:1762;height:2341" coordorigin="0,3044" coordsize="1762,2341">
                    <v:shape style="position:absolute;left:0;top:3044;width:1762;height:2341" coordorigin="0,3044" coordsize="1762,2341" path="m0,5385l1762,5385,1762,3044,0,3044,0,5385xe" filled="true" fillcolor="#ffffff" stroked="false">
                      <v:path arrowok="t"/>
                      <v:fill type="solid"/>
                    </v:shape>
                  </v:group>
                  <v:group style="position:absolute;left:23;top:2340;width:1716;height:352" coordorigin="23,2340" coordsize="1716,352">
                    <v:shape style="position:absolute;left:23;top:2340;width:1716;height:352" coordorigin="23,2340" coordsize="1716,352" path="m23,2692l1739,2692,1739,2340,23,2340,23,2692xe" filled="true" fillcolor="#ffffff" stroked="false">
                      <v:path arrowok="t"/>
                      <v:fill type="solid"/>
                    </v:shape>
                  </v:group>
                  <v:group style="position:absolute;left:23;top:2692;width:1716;height:353" coordorigin="23,2692" coordsize="1716,353">
                    <v:shape style="position:absolute;left:23;top:2692;width:1716;height:353" coordorigin="23,2692" coordsize="1716,353" path="m23,3044l1739,3044,1739,2692,23,2692,23,3044xe" filled="true" fillcolor="#ffffff" stroked="false">
                      <v:path arrowok="t"/>
                      <v:fill type="solid"/>
                    </v:shape>
                  </v:group>
                </v:group>
              </w:pict>
            </w:r>
            <w:r>
              <w:rPr>
                <w:rFonts w:ascii="Times New Roman" w:hAnsi="Times New Roman" w:cs="Times New Roman" w:eastAsia="Times New Roman" w:hint="default"/>
                <w:position w:val="-107"/>
                <w:sz w:val="20"/>
                <w:szCs w:val="20"/>
              </w:rPr>
            </w:r>
          </w:p>
        </w:tc>
      </w:tr>
    </w:tbl>
    <w:p>
      <w:pPr>
        <w:spacing w:after="0" w:line="5384" w:lineRule="exact"/>
        <w:jc w:val="left"/>
        <w:rPr>
          <w:rFonts w:ascii="Times New Roman" w:hAnsi="Times New Roman" w:cs="Times New Roman" w:eastAsia="Times New Roman" w:hint="default"/>
          <w:sz w:val="20"/>
          <w:szCs w:val="20"/>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1313"/>
        <w:jc w:val="center"/>
        <w:rPr>
          <w:b w:val="0"/>
          <w:bCs w:val="0"/>
        </w:rPr>
      </w:pPr>
      <w:bookmarkStart w:name="第五节 重要事项" w:id="36"/>
      <w:bookmarkEnd w:id="36"/>
      <w:r>
        <w:rPr>
          <w:b w:val="0"/>
          <w:bCs w:val="0"/>
        </w:rPr>
      </w:r>
      <w:bookmarkStart w:name="_bookmark4" w:id="37"/>
      <w:bookmarkEnd w:id="37"/>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8"/>
      <w:bookmarkEnd w:id="38"/>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3" w:right="65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二、上市公司发生控股股东及其关联方非经营性占用资金情况" w:id="39"/>
      <w:bookmarkEnd w:id="39"/>
      <w:r>
        <w:rPr>
          <w:b w:val="0"/>
          <w:bCs w:val="0"/>
        </w:rPr>
      </w:r>
      <w:r>
        <w:rPr/>
        <w:t>二、上市公司发生控股股东及其关联方非经营性占用资金情况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3" w:right="32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三、破产重整相关事项" w:id="40"/>
      <w:bookmarkEnd w:id="40"/>
      <w:r>
        <w:rPr>
          <w:b w:val="0"/>
          <w:bCs w:val="0"/>
        </w:rPr>
      </w:r>
      <w:r>
        <w:rPr/>
        <w:t>三、破产重整相关事项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3" w:right="635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四、资产交易事项" w:id="41"/>
      <w:bookmarkEnd w:id="41"/>
      <w:r>
        <w:rPr>
          <w:b w:val="0"/>
          <w:bCs w:val="0"/>
        </w:rPr>
      </w: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42"/>
      <w:bookmarkEnd w:id="42"/>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冯军、李 岩、弘道 天瑞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55"/>
              <w:jc w:val="both"/>
              <w:rPr>
                <w:rFonts w:ascii="宋体" w:hAnsi="宋体" w:cs="宋体" w:eastAsia="宋体" w:hint="default"/>
                <w:sz w:val="18"/>
                <w:szCs w:val="18"/>
              </w:rPr>
            </w:pPr>
            <w:r>
              <w:rPr>
                <w:rFonts w:ascii="宋体" w:hAnsi="宋体" w:cs="宋体" w:eastAsia="宋体" w:hint="default"/>
                <w:sz w:val="18"/>
                <w:szCs w:val="18"/>
              </w:rPr>
              <w:t>北京亿美 软通科技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7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能够与公 司业务形 成良好的 协同效应 不影响公 司管理层 的稳定性</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310" w:lineRule="atLeast"/>
              <w:ind w:left="11" w:right="114"/>
              <w:jc w:val="both"/>
              <w:rPr>
                <w:rFonts w:ascii="宋体" w:hAnsi="宋体" w:cs="宋体" w:eastAsia="宋体" w:hint="default"/>
                <w:sz w:val="18"/>
                <w:szCs w:val="18"/>
              </w:rPr>
            </w:pPr>
            <w:r>
              <w:rPr>
                <w:rFonts w:ascii="宋体" w:hAnsi="宋体" w:cs="宋体" w:eastAsia="宋体" w:hint="default"/>
                <w:sz w:val="18"/>
                <w:szCs w:val="18"/>
              </w:rPr>
              <w:t>自购买日 起至报告 期末为上 市公司贡</w:t>
            </w:r>
          </w:p>
          <w:p>
            <w:pPr>
              <w:pStyle w:val="TableParagraph"/>
              <w:spacing w:line="116" w:lineRule="exact"/>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both"/>
              <w:rPr>
                <w:rFonts w:ascii="宋体" w:hAnsi="宋体" w:cs="宋体" w:eastAsia="宋体" w:hint="default"/>
                <w:sz w:val="18"/>
                <w:szCs w:val="18"/>
              </w:rPr>
            </w:pPr>
            <w:r>
              <w:rPr>
                <w:rFonts w:ascii="宋体" w:hAnsi="宋体" w:cs="宋体" w:eastAsia="宋体" w:hint="default"/>
                <w:sz w:val="18"/>
                <w:szCs w:val="18"/>
              </w:rPr>
              <w:t>献的净利</w:t>
            </w:r>
          </w:p>
          <w:p>
            <w:pPr>
              <w:pStyle w:val="TableParagraph"/>
              <w:spacing w:line="240" w:lineRule="auto" w:before="76"/>
              <w:ind w:left="11" w:right="0"/>
              <w:jc w:val="both"/>
              <w:rPr>
                <w:rFonts w:ascii="宋体" w:hAnsi="宋体" w:cs="宋体" w:eastAsia="宋体" w:hint="default"/>
                <w:sz w:val="18"/>
                <w:szCs w:val="18"/>
              </w:rPr>
            </w:pPr>
            <w:r>
              <w:rPr>
                <w:rFonts w:ascii="宋体" w:hAnsi="宋体" w:cs="宋体" w:eastAsia="宋体" w:hint="default"/>
                <w:sz w:val="18"/>
                <w:szCs w:val="18"/>
              </w:rPr>
              <w:t>润为</w:t>
            </w:r>
          </w:p>
          <w:p>
            <w:pPr>
              <w:pStyle w:val="TableParagraph"/>
              <w:spacing w:line="300" w:lineRule="auto" w:before="77"/>
              <w:ind w:left="11"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2470.89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89.24%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《关于发 行股份购 买资产之 标的资产 过户完成 的公告》</w:t>
            </w:r>
          </w:p>
          <w:p>
            <w:pPr>
              <w:pStyle w:val="TableParagraph"/>
              <w:spacing w:line="338" w:lineRule="auto" w:before="19"/>
              <w:ind w:left="22"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www.cninf</w:t>
            </w:r>
          </w:p>
          <w:p>
            <w:pPr>
              <w:pStyle w:val="TableParagraph"/>
              <w:spacing w:line="234" w:lineRule="exact"/>
              <w:ind w:left="2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bl>
    <w:p>
      <w:pPr>
        <w:pStyle w:val="BodyText"/>
        <w:spacing w:line="240" w:lineRule="auto" w:before="51"/>
        <w:ind w:left="154" w:right="0"/>
        <w:jc w:val="left"/>
      </w:pPr>
      <w:r>
        <w:rPr/>
        <w:pict>
          <v:group style="position:absolute;margin-left:275.320007pt;margin-top:-96.098282pt;width:40.7pt;height:31.2pt;mso-position-horizontal-relative:page;mso-position-vertical-relative:paragraph;z-index:-755944" coordorigin="5506,-1922" coordsize="814,624">
            <v:group style="position:absolute;left:5506;top:-1922;width:814;height:312" coordorigin="5506,-1922" coordsize="814,312">
              <v:shape style="position:absolute;left:5506;top:-1922;width:814;height:312" coordorigin="5506,-1922" coordsize="814,312" path="m5506,-1610l6320,-1610,6320,-1922,5506,-1922,5506,-1610xe" filled="true" fillcolor="#ffffff" stroked="false">
                <v:path arrowok="t"/>
                <v:fill type="solid"/>
              </v:shape>
            </v:group>
            <v:group style="position:absolute;left:5506;top:-1610;width:814;height:312" coordorigin="5506,-1610" coordsize="814,312">
              <v:shape style="position:absolute;left:5506;top:-1610;width:814;height:312" coordorigin="5506,-1610" coordsize="814,312" path="m5506,-1298l6320,-1298,6320,-1610,5506,-1610,5506,-1298xe" filled="true" fillcolor="#ffffff" stroked="false">
                <v:path arrowok="t"/>
                <v:fill type="solid"/>
              </v:shape>
            </v:group>
            <w10:wrap type="none"/>
          </v:group>
        </w:pict>
      </w:r>
      <w:r>
        <w:rPr/>
        <w:t>收购资产情况说明</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7"/>
          <w:szCs w:val="27"/>
        </w:rPr>
      </w:pPr>
    </w:p>
    <w:p>
      <w:pPr>
        <w:pStyle w:val="BodyText"/>
        <w:spacing w:line="477" w:lineRule="auto" w:before="44"/>
        <w:ind w:right="152" w:firstLine="360"/>
        <w:jc w:val="both"/>
      </w:pPr>
      <w:r>
        <w:rPr>
          <w:spacing w:val="-2"/>
        </w:rPr>
        <w:t>报告期内，公司通过实施重大资产重组，以发行股份购买资产的方式全资收购了国内领先的移动商务服务企业北京亿美</w:t>
      </w:r>
      <w:r>
        <w:rPr/>
        <w:t> </w:t>
      </w:r>
      <w:r>
        <w:rPr>
          <w:spacing w:val="-2"/>
        </w:rPr>
        <w:t>软通科技有限公司，使公司主营业务从原来单一的为银行业金融机构提供金融信息化服务，扩展到移动商务服务、大数据运</w:t>
      </w:r>
      <w:r>
        <w:rPr>
          <w:spacing w:val="-66"/>
        </w:rPr>
        <w:t> </w:t>
      </w:r>
      <w:r>
        <w:rPr>
          <w:spacing w:val="-66"/>
        </w:rPr>
      </w:r>
      <w:r>
        <w:rPr/>
        <w:t>营服务等新兴产业领域。</w:t>
      </w:r>
    </w:p>
    <w:p>
      <w:pPr>
        <w:pStyle w:val="BodyText"/>
        <w:spacing w:line="451" w:lineRule="auto" w:before="54"/>
        <w:ind w:right="152" w:firstLine="360"/>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20</w:t>
      </w:r>
      <w:r>
        <w:rPr>
          <w:spacing w:val="-4"/>
        </w:rPr>
        <w:t>日，公司第三届董事会第三次会议审议通过了《发行股份购买资产报告书（草案）》等议案，同意公司向冯</w:t>
      </w:r>
      <w:r>
        <w:rPr/>
        <w:t> 军、李岩和弘道天瑞购发行股份买其持有的亿美软通</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2014</w:t>
      </w:r>
      <w:r>
        <w:rPr/>
        <w:t>年第一次临时股东大会审议通过了上述 发行股份购买资产的相关议案。</w:t>
      </w:r>
    </w:p>
    <w:p>
      <w:pPr>
        <w:pStyle w:val="BodyText"/>
        <w:spacing w:line="451" w:lineRule="auto" w:before="74"/>
        <w:ind w:right="15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日，公司发行股份购买资产事项经中国证监会并购重组审核委员会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51</w:t>
      </w:r>
      <w:r>
        <w:rPr/>
        <w:t>次工作会议审核获得无条件 通过。</w:t>
      </w:r>
    </w:p>
    <w:p>
      <w:pPr>
        <w:pStyle w:val="BodyText"/>
        <w:spacing w:line="451" w:lineRule="auto" w:before="74"/>
        <w:ind w:left="154" w:right="0" w:firstLine="360"/>
        <w:jc w:val="left"/>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24</w:t>
      </w:r>
      <w:r>
        <w:rPr>
          <w:spacing w:val="-5"/>
        </w:rPr>
        <w:t>日，中国证监会印发了《关于核准深圳市银之杰科技股份有限公司向冯军等发行股份购买资产的批复》（证</w:t>
      </w:r>
      <w:r>
        <w:rPr/>
        <w:t> </w:t>
      </w:r>
      <w:r>
        <w:rPr>
          <w:spacing w:val="-2"/>
        </w:rPr>
        <w:t>监许可</w:t>
      </w:r>
      <w:r>
        <w:rPr>
          <w:rFonts w:ascii="Times New Roman" w:hAnsi="Times New Roman" w:cs="Times New Roman" w:eastAsia="Times New Roman" w:hint="default"/>
          <w:spacing w:val="-2"/>
        </w:rPr>
        <w:t>[2014]1112</w:t>
      </w:r>
      <w:r>
        <w:rPr>
          <w:spacing w:val="-2"/>
        </w:rPr>
        <w:t>号），核准公司向冯军发行</w:t>
      </w:r>
      <w:r>
        <w:rPr>
          <w:rFonts w:ascii="Times New Roman" w:hAnsi="Times New Roman" w:cs="Times New Roman" w:eastAsia="Times New Roman" w:hint="default"/>
          <w:spacing w:val="-2"/>
        </w:rPr>
        <w:t>7,127,617</w:t>
      </w:r>
      <w:r>
        <w:rPr>
          <w:spacing w:val="-2"/>
        </w:rPr>
        <w:t>股股份、向李岩发行</w:t>
      </w:r>
      <w:r>
        <w:rPr>
          <w:rFonts w:ascii="Times New Roman" w:hAnsi="Times New Roman" w:cs="Times New Roman" w:eastAsia="Times New Roman" w:hint="default"/>
          <w:spacing w:val="-2"/>
        </w:rPr>
        <w:t>6,927,196</w:t>
      </w:r>
      <w:r>
        <w:rPr>
          <w:spacing w:val="-2"/>
        </w:rPr>
        <w:t>股股份、向弘道天瑞发行</w:t>
      </w:r>
      <w:r>
        <w:rPr>
          <w:rFonts w:ascii="Times New Roman" w:hAnsi="Times New Roman" w:cs="Times New Roman" w:eastAsia="Times New Roman" w:hint="default"/>
          <w:spacing w:val="-2"/>
        </w:rPr>
        <w:t>7,027,406</w:t>
      </w:r>
      <w:r>
        <w:rPr>
          <w:spacing w:val="-2"/>
        </w:rPr>
        <w:t>股股</w:t>
      </w:r>
      <w:r>
        <w:rPr>
          <w:spacing w:val="-54"/>
        </w:rPr>
        <w:t> </w:t>
      </w:r>
      <w:r>
        <w:rPr/>
        <w:t>份购买相关资产。</w:t>
      </w:r>
    </w:p>
    <w:p>
      <w:pPr>
        <w:pStyle w:val="BodyText"/>
        <w:spacing w:line="451" w:lineRule="auto" w:before="74"/>
        <w:ind w:left="154" w:right="152"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日，北京市工商行政管理局海淀分局核准了亿美软通的股东变更事项，亿美软通的过户手续办理完成。公</w:t>
      </w:r>
      <w:r>
        <w:rPr/>
        <w:t> 司持有亿美软通</w:t>
      </w:r>
      <w:r>
        <w:rPr>
          <w:rFonts w:ascii="Times New Roman" w:hAnsi="Times New Roman" w:cs="Times New Roman" w:eastAsia="Times New Roman" w:hint="default"/>
        </w:rPr>
        <w:t>100%</w:t>
      </w:r>
      <w:r>
        <w:rPr/>
        <w:t>的股权，亿美软通成为本公司的全资子公司。</w:t>
      </w:r>
    </w:p>
    <w:p>
      <w:pPr>
        <w:pStyle w:val="BodyText"/>
        <w:spacing w:line="451" w:lineRule="auto" w:before="43"/>
        <w:ind w:right="152"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日，公司收到中国证券登记结算有限责任公司深圳分公司出具的《股份登记申请受理确认书》及《证券持</w:t>
      </w:r>
      <w:r>
        <w:rPr/>
        <w:t> </w:t>
      </w:r>
      <w:r>
        <w:rPr>
          <w:spacing w:val="-2"/>
        </w:rPr>
        <w:t>有人名册》，公司向冯军、李岩和弘道天瑞等交易对方合计发行</w:t>
      </w:r>
      <w:r>
        <w:rPr>
          <w:rFonts w:ascii="Times New Roman" w:hAnsi="Times New Roman" w:cs="Times New Roman" w:eastAsia="Times New Roman" w:hint="default"/>
          <w:spacing w:val="-2"/>
        </w:rPr>
        <w:t>21,082,219</w:t>
      </w:r>
      <w:r>
        <w:rPr>
          <w:spacing w:val="-2"/>
        </w:rPr>
        <w:t>股有限售条件流通股，相关股份于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w:t>
      </w:r>
      <w:r>
        <w:rPr>
          <w:spacing w:val="-56"/>
        </w:rPr>
        <w:t> </w:t>
      </w:r>
      <w:r>
        <w:rPr/>
        <w:t>上市。</w:t>
      </w:r>
    </w:p>
    <w:p>
      <w:pPr>
        <w:pStyle w:val="BodyText"/>
        <w:spacing w:line="240" w:lineRule="auto" w:before="74"/>
        <w:ind w:left="513" w:right="0"/>
        <w:jc w:val="left"/>
      </w:pPr>
      <w:r>
        <w:rPr/>
        <w:t>发行股份收购亿美软通事项临时报告披露网站查询</w:t>
      </w:r>
    </w:p>
    <w:p>
      <w:pPr>
        <w:spacing w:line="240" w:lineRule="auto" w:before="5"/>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4678"/>
        <w:gridCol w:w="1843"/>
        <w:gridCol w:w="2552"/>
      </w:tblGrid>
      <w:tr>
        <w:trPr>
          <w:trHeight w:val="421" w:hRule="exact"/>
        </w:trPr>
        <w:tc>
          <w:tcPr>
            <w:tcW w:w="46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刊登的指定网站查询索引</w:t>
            </w:r>
          </w:p>
        </w:tc>
      </w:tr>
      <w:tr>
        <w:trPr>
          <w:trHeight w:val="5381"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1"/>
                <w:sz w:val="18"/>
                <w:szCs w:val="18"/>
              </w:rPr>
              <w:t>发行股份购买资产报告书（草案）、发行股份购买资产报告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书（草案）摘要、发行股份购买资产项目涉及的北京亿美软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通科技有限公司股东全部权益价值评估报告、北京亿美软通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科技有限公司审计报告、董事会关于重组履行法定程序的完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备性、合规性及提交的法律文件的有效性的说明、董事会关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于公司股票价格波动未达到《关于规范上市公司信息披露及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相关各方行为的通知》第五条相关标准的说明、独立董事关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于发行股份购买资产事项的独立意见、第三届董事会第三次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会议决议公告、第三届监事会第三次会议决议公告、备考合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并财务报表之审计报告（</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w:t>
            </w:r>
            <w:r>
              <w:rPr>
                <w:rFonts w:ascii="宋体" w:hAnsi="宋体" w:cs="宋体" w:eastAsia="宋体" w:hint="default"/>
                <w:spacing w:val="-1"/>
                <w:sz w:val="18"/>
                <w:szCs w:val="18"/>
              </w:rPr>
              <w:t>止）、北京市星河律师事务所关于公司发行股份购买资产的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法律意见书、北京亿美软通科技有限公司盈利预测审核报 </w:t>
            </w:r>
            <w:r>
              <w:rPr>
                <w:rFonts w:ascii="宋体" w:hAnsi="宋体" w:cs="宋体" w:eastAsia="宋体" w:hint="default"/>
                <w:spacing w:val="-1"/>
                <w:sz w:val="18"/>
                <w:szCs w:val="18"/>
              </w:rPr>
              <w:t>告、长江证券承销保荐有限公司关于公司发行股份购买资产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之独立财务顾问报告、长江证券承销保荐有限公司关于公司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本次交易产业政策和交易类型之独立财务顾问核查意见、模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拟合并盈利预测审核报告、关于重大资产重组的一般风险提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示公告、关于重大资产重组事项复牌公告、关于召开</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r>
        <w:rPr/>
        <w:pict>
          <v:shape style="position:absolute;margin-left:285.591003pt;margin-top:245.659988pt;width:96.85pt;height:47.3pt;mso-position-horizontal-relative:page;mso-position-vertical-relative:page;z-index:-75589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37"/>
                    <w:ind w:left="0" w:right="0"/>
                    <w:jc w:val="left"/>
                  </w:pPr>
                  <w:r>
                    <w:rPr/>
                    <w:t>、</w:t>
                  </w:r>
                </w:p>
              </w:txbxContent>
            </v:textbox>
            <w10:wrap type="none"/>
          </v:shape>
        </w:pict>
      </w:r>
    </w:p>
    <w:tbl>
      <w:tblPr>
        <w:tblW w:w="0" w:type="auto"/>
        <w:jc w:val="left"/>
        <w:tblInd w:w="146" w:type="dxa"/>
        <w:tblLayout w:type="fixed"/>
        <w:tblCellMar>
          <w:top w:w="0" w:type="dxa"/>
          <w:left w:w="0" w:type="dxa"/>
          <w:bottom w:w="0" w:type="dxa"/>
          <w:right w:w="0" w:type="dxa"/>
        </w:tblCellMar>
        <w:tblLook w:val="01E0"/>
      </w:tblPr>
      <w:tblGrid>
        <w:gridCol w:w="4678"/>
        <w:gridCol w:w="1843"/>
        <w:gridCol w:w="2552"/>
      </w:tblGrid>
      <w:tr>
        <w:trPr>
          <w:trHeight w:val="386"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第一次临时股东大会的通知</w:t>
            </w:r>
          </w:p>
        </w:tc>
        <w:tc>
          <w:tcPr>
            <w:tcW w:w="184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年第一次临时股东大会决议公告、</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年第一次临时股</w:t>
            </w:r>
            <w:r>
              <w:rPr>
                <w:rFonts w:ascii="宋体" w:hAnsi="宋体" w:cs="宋体" w:eastAsia="宋体" w:hint="default"/>
                <w:spacing w:val="-82"/>
                <w:sz w:val="18"/>
                <w:szCs w:val="18"/>
              </w:rPr>
              <w:t> </w:t>
            </w:r>
            <w:r>
              <w:rPr>
                <w:rFonts w:ascii="宋体" w:hAnsi="宋体" w:cs="宋体" w:eastAsia="宋体" w:hint="default"/>
                <w:sz w:val="18"/>
                <w:szCs w:val="18"/>
              </w:rPr>
              <w:t>东大会召开的法律意见书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28"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关于收到《中国证监会行政许可申请受理通知书》的公告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关于延期报送重大资产重组申请材料反馈意见回复的公告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739"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59"/>
              <w:jc w:val="left"/>
              <w:rPr>
                <w:rFonts w:ascii="宋体" w:hAnsi="宋体" w:cs="宋体" w:eastAsia="宋体" w:hint="default"/>
                <w:sz w:val="18"/>
                <w:szCs w:val="18"/>
              </w:rPr>
            </w:pPr>
            <w:r>
              <w:rPr>
                <w:rFonts w:ascii="宋体" w:hAnsi="宋体" w:cs="宋体" w:eastAsia="宋体" w:hint="default"/>
                <w:sz w:val="18"/>
                <w:szCs w:val="18"/>
              </w:rPr>
              <w:t>关于中国证监会上市公司并购重组委员会审核公司发行股 份购买资产事项的停牌公告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739"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59"/>
              <w:jc w:val="left"/>
              <w:rPr>
                <w:rFonts w:ascii="宋体" w:hAnsi="宋体" w:cs="宋体" w:eastAsia="宋体" w:hint="default"/>
                <w:sz w:val="18"/>
                <w:szCs w:val="18"/>
              </w:rPr>
            </w:pPr>
            <w:r>
              <w:rPr>
                <w:rFonts w:ascii="宋体" w:hAnsi="宋体" w:cs="宋体" w:eastAsia="宋体" w:hint="default"/>
                <w:sz w:val="18"/>
                <w:szCs w:val="18"/>
              </w:rPr>
              <w:t>关于公司发行股份购买资产事项获得中国证监会并购重组 委员会审核通过暨公司股票复牌的公告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2298"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关于公司发行股份购买资产事项获得中国证券监督管理委 </w:t>
            </w:r>
            <w:r>
              <w:rPr>
                <w:rFonts w:ascii="宋体" w:hAnsi="宋体" w:cs="宋体" w:eastAsia="宋体" w:hint="default"/>
                <w:spacing w:val="-3"/>
                <w:sz w:val="18"/>
                <w:szCs w:val="18"/>
              </w:rPr>
              <w:t>员会正式批复的公告发行股份、购买资产报告书（修订稿）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北京市星河律师事务所关于公司发行股份购买资产的补充 </w:t>
            </w:r>
            <w:r>
              <w:rPr>
                <w:rFonts w:ascii="宋体" w:hAnsi="宋体" w:cs="宋体" w:eastAsia="宋体" w:hint="default"/>
                <w:spacing w:val="-1"/>
                <w:sz w:val="18"/>
                <w:szCs w:val="18"/>
              </w:rPr>
              <w:t>法律意见书（一）、北京亿美软通科技有限公司</w:t>
            </w:r>
            <w:r>
              <w:rPr>
                <w:rFonts w:ascii="宋体" w:hAnsi="宋体" w:cs="宋体" w:eastAsia="宋体" w:hint="default"/>
                <w:spacing w:val="-1"/>
                <w:sz w:val="18"/>
                <w:szCs w:val="18"/>
              </w:rPr>
              <w:t>2014</w:t>
            </w:r>
            <w:r>
              <w:rPr>
                <w:rFonts w:ascii="宋体" w:hAnsi="宋体" w:cs="宋体" w:eastAsia="宋体" w:hint="default"/>
                <w:spacing w:val="-1"/>
                <w:sz w:val="18"/>
                <w:szCs w:val="18"/>
              </w:rPr>
              <w:t>年</w:t>
            </w:r>
            <w:r>
              <w:rPr>
                <w:rFonts w:ascii="宋体" w:hAnsi="宋体" w:cs="宋体" w:eastAsia="宋体" w:hint="default"/>
                <w:spacing w:val="-1"/>
                <w:sz w:val="18"/>
                <w:szCs w:val="18"/>
              </w:rPr>
              <w:t>01</w:t>
            </w:r>
            <w:r>
              <w:rPr>
                <w:rFonts w:ascii="宋体" w:hAnsi="宋体" w:cs="宋体" w:eastAsia="宋体" w:hint="default"/>
                <w:spacing w:val="-1"/>
                <w:sz w:val="18"/>
                <w:szCs w:val="18"/>
              </w:rPr>
              <w:t>月</w:t>
            </w:r>
            <w:r>
              <w:rPr>
                <w:rFonts w:ascii="宋体" w:hAnsi="宋体" w:cs="宋体" w:eastAsia="宋体" w:hint="default"/>
                <w:spacing w:val="-85"/>
                <w:sz w:val="18"/>
                <w:szCs w:val="18"/>
              </w:rPr>
              <w:t> </w:t>
            </w:r>
            <w:r>
              <w:rPr>
                <w:rFonts w:ascii="宋体" w:hAnsi="宋体" w:cs="宋体" w:eastAsia="宋体" w:hint="default"/>
                <w:spacing w:val="-1"/>
                <w:sz w:val="18"/>
                <w:szCs w:val="18"/>
              </w:rPr>
              <w:t>01</w:t>
            </w:r>
            <w:r>
              <w:rPr>
                <w:rFonts w:ascii="宋体" w:hAnsi="宋体" w:cs="宋体" w:eastAsia="宋体" w:hint="default"/>
                <w:spacing w:val="-1"/>
                <w:sz w:val="18"/>
                <w:szCs w:val="18"/>
              </w:rPr>
              <w:t>日至</w:t>
            </w:r>
            <w:r>
              <w:rPr>
                <w:rFonts w:ascii="宋体" w:hAnsi="宋体" w:cs="宋体" w:eastAsia="宋体" w:hint="default"/>
                <w:spacing w:val="-1"/>
                <w:sz w:val="18"/>
                <w:szCs w:val="18"/>
              </w:rPr>
              <w:t>06</w:t>
            </w:r>
            <w:r>
              <w:rPr>
                <w:rFonts w:ascii="宋体" w:hAnsi="宋体" w:cs="宋体" w:eastAsia="宋体" w:hint="default"/>
                <w:spacing w:val="-1"/>
                <w:sz w:val="18"/>
                <w:szCs w:val="18"/>
              </w:rPr>
              <w:t>月</w:t>
            </w:r>
            <w:r>
              <w:rPr>
                <w:rFonts w:ascii="宋体" w:hAnsi="宋体" w:cs="宋体" w:eastAsia="宋体" w:hint="default"/>
                <w:spacing w:val="-1"/>
                <w:sz w:val="18"/>
                <w:szCs w:val="18"/>
              </w:rPr>
              <w:t>30</w:t>
            </w:r>
            <w:r>
              <w:rPr>
                <w:rFonts w:ascii="宋体" w:hAnsi="宋体" w:cs="宋体" w:eastAsia="宋体" w:hint="default"/>
                <w:spacing w:val="-1"/>
                <w:sz w:val="18"/>
                <w:szCs w:val="18"/>
              </w:rPr>
              <w:t>日审计报告、关于发行股份购买资产报告书的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修订说明、长江证券承销保荐有限公司关于公司发行股份购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买资产之独立财务顾问报告、备考审阅报告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945" w:lineRule="exact"/>
              <w:ind w:left="-6" w:right="-55"/>
              <w:jc w:val="left"/>
              <w:rPr>
                <w:rFonts w:ascii="宋体" w:hAnsi="宋体" w:cs="宋体" w:eastAsia="宋体" w:hint="default"/>
                <w:sz w:val="20"/>
                <w:szCs w:val="20"/>
              </w:rPr>
            </w:pPr>
            <w:r>
              <w:rPr>
                <w:rFonts w:ascii="宋体" w:hAnsi="宋体" w:cs="宋体" w:eastAsia="宋体" w:hint="default"/>
                <w:position w:val="-18"/>
                <w:sz w:val="20"/>
                <w:szCs w:val="20"/>
              </w:rPr>
              <w:pict>
                <v:group style="width:92pt;height:47.3pt;mso-position-horizontal-relative:char;mso-position-vertical-relative:line" coordorigin="0,0" coordsize="1840,946">
                  <v:group style="position:absolute;left:5;top:0;width:1829;height:946" coordorigin="5,0" coordsize="1829,946">
                    <v:shape style="position:absolute;left:5;top:0;width:1829;height:946" coordorigin="5,0" coordsize="1829,946" path="m5,946l1834,946,1834,0,5,0,5,946xe" filled="true" fillcolor="#ffffff" stroked="false">
                      <v:path arrowok="t"/>
                      <v:fill type="solid"/>
                    </v:shape>
                  </v:group>
                  <v:group style="position:absolute;left:5;top:5;width:1829;height:2" coordorigin="5,5" coordsize="1829,2">
                    <v:shape style="position:absolute;left:5;top:5;width:1829;height:2" coordorigin="5,5" coordsize="1829,0" path="m5,5l1834,5e" filled="false" stroked="true" strokeweight=".54pt" strokecolor="#ffffff">
                      <v:path arrowok="t"/>
                    </v:shape>
                  </v:group>
                </v:group>
              </w:pict>
            </w:r>
            <w:r>
              <w:rPr>
                <w:rFonts w:ascii="宋体" w:hAnsi="宋体" w:cs="宋体" w:eastAsia="宋体" w:hint="default"/>
                <w:position w:val="-18"/>
                <w:sz w:val="20"/>
                <w:szCs w:val="20"/>
              </w:rPr>
            </w:r>
          </w:p>
          <w:p>
            <w:pPr>
              <w:pStyle w:val="TableParagraph"/>
              <w:spacing w:line="240" w:lineRule="auto" w:before="5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1364"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left"/>
              <w:rPr>
                <w:rFonts w:ascii="宋体" w:hAnsi="宋体" w:cs="宋体" w:eastAsia="宋体" w:hint="default"/>
                <w:sz w:val="18"/>
                <w:szCs w:val="18"/>
              </w:rPr>
            </w:pPr>
            <w:r>
              <w:rPr>
                <w:rFonts w:ascii="宋体" w:hAnsi="宋体" w:cs="宋体" w:eastAsia="宋体" w:hint="default"/>
                <w:spacing w:val="-1"/>
                <w:sz w:val="18"/>
                <w:szCs w:val="18"/>
              </w:rPr>
              <w:t>关于发行股份购买资产之标的资产过户完成的公告、北京市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星河律师事务所关于公司重大资产重组实施情况的法律意 </w:t>
            </w:r>
            <w:r>
              <w:rPr>
                <w:rFonts w:ascii="宋体" w:hAnsi="宋体" w:cs="宋体" w:eastAsia="宋体" w:hint="default"/>
                <w:spacing w:val="-1"/>
                <w:sz w:val="18"/>
                <w:szCs w:val="18"/>
              </w:rPr>
              <w:t>见书、长江证券承销保荐有限公司关于公司发行股份购买资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产涉及资产过户事宜之独立财务顾问核查意见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1988"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1"/>
                <w:sz w:val="18"/>
                <w:szCs w:val="18"/>
              </w:rPr>
              <w:t>发行股份购买资产实施情况暨上市公告书、发行股份购买资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产实施情况暨上市公告书（摘要）、北京市星河律师事务所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关于公司重大资产重组实施情况的补充法律意见书、关于重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大资产重组相关方承诺事项的公告、长江证券承销保荐有限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公司关于公司发行股份购买资产实施情况之独立财务顾问 核查意见</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出售资产情况" w:id="43"/>
      <w:bookmarkEnd w:id="43"/>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74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13"/>
        <w:rPr>
          <w:rFonts w:ascii="宋体" w:hAnsi="宋体" w:cs="宋体" w:eastAsia="宋体" w:hint="default"/>
          <w:sz w:val="22"/>
          <w:szCs w:val="22"/>
        </w:rPr>
      </w:pPr>
    </w:p>
    <w:p>
      <w:pPr>
        <w:pStyle w:val="Heading3"/>
        <w:spacing w:line="240" w:lineRule="auto"/>
        <w:ind w:left="153" w:right="0"/>
        <w:jc w:val="left"/>
        <w:rPr>
          <w:b w:val="0"/>
          <w:bCs w:val="0"/>
        </w:rPr>
      </w:pPr>
      <w:bookmarkStart w:name="3、企业合并情况" w:id="44"/>
      <w:bookmarkEnd w:id="44"/>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67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after="0" w:line="412" w:lineRule="auto"/>
        <w:jc w:val="left"/>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59" w:lineRule="auto" w:before="35"/>
        <w:ind w:left="153" w:right="93"/>
        <w:jc w:val="left"/>
        <w:rPr>
          <w:b w:val="0"/>
          <w:bCs w:val="0"/>
        </w:rPr>
      </w:pPr>
      <w:bookmarkStart w:name="4、自资产重组报告书或收购出售资产公告刊登后，该事项的进展情况及对报告期经营成果" w:id="45"/>
      <w:bookmarkEnd w:id="45"/>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477" w:lineRule="auto"/>
        <w:ind w:left="513" w:right="5319"/>
        <w:jc w:val="left"/>
      </w:pPr>
      <w:r>
        <w:rPr/>
        <w:t>（一）重大资产重组事项的进展情况 </w:t>
      </w:r>
      <w:r>
        <w:rPr>
          <w:spacing w:val="-4"/>
        </w:rPr>
        <w:t>详见本节“</w:t>
      </w:r>
      <w:r>
        <w:rPr>
          <w:rFonts w:ascii="Times New Roman" w:hAnsi="Times New Roman" w:cs="Times New Roman" w:eastAsia="Times New Roman" w:hint="default"/>
          <w:spacing w:val="-4"/>
        </w:rPr>
        <w:t>1</w:t>
      </w:r>
      <w:r>
        <w:rPr>
          <w:spacing w:val="-4"/>
        </w:rPr>
        <w:t>、收购资产情况之收购资产情况说明”。</w:t>
      </w:r>
    </w:p>
    <w:p>
      <w:pPr>
        <w:pStyle w:val="BodyText"/>
        <w:spacing w:line="240" w:lineRule="auto" w:before="21"/>
        <w:ind w:left="514" w:right="93"/>
        <w:jc w:val="left"/>
      </w:pPr>
      <w:r>
        <w:rPr/>
        <w:t>（二）重大资产重组事项对报告期经营成果与财务状况的影响</w:t>
      </w:r>
    </w:p>
    <w:p>
      <w:pPr>
        <w:spacing w:line="240" w:lineRule="auto" w:before="10"/>
        <w:rPr>
          <w:rFonts w:ascii="宋体" w:hAnsi="宋体" w:cs="宋体" w:eastAsia="宋体" w:hint="default"/>
          <w:sz w:val="17"/>
          <w:szCs w:val="17"/>
        </w:rPr>
      </w:pPr>
    </w:p>
    <w:p>
      <w:pPr>
        <w:pStyle w:val="BodyText"/>
        <w:spacing w:line="451" w:lineRule="auto"/>
        <w:ind w:right="183" w:firstLine="360"/>
        <w:jc w:val="left"/>
      </w:pPr>
      <w:r>
        <w:rPr>
          <w:rFonts w:ascii="Times New Roman" w:hAnsi="Times New Roman" w:cs="Times New Roman" w:eastAsia="Times New Roman" w:hint="default"/>
        </w:rPr>
        <w:t>2014</w:t>
      </w:r>
      <w:r>
        <w:rPr/>
        <w:t>年，亿美软通经审计扣除非经常性损益后的归属于母公司所有者的净利润为</w:t>
      </w:r>
      <w:r>
        <w:rPr>
          <w:rFonts w:ascii="Times New Roman" w:hAnsi="Times New Roman" w:cs="Times New Roman" w:eastAsia="Times New Roman" w:hint="default"/>
        </w:rPr>
        <w:t>4,433.70</w:t>
      </w:r>
      <w:r>
        <w:rPr/>
        <w:t>万元，亿美软通原股东冯军、 李岩承诺</w:t>
      </w:r>
      <w:r>
        <w:rPr>
          <w:rFonts w:ascii="Times New Roman" w:hAnsi="Times New Roman" w:cs="Times New Roman" w:eastAsia="Times New Roman" w:hint="default"/>
        </w:rPr>
        <w:t>2014</w:t>
      </w:r>
      <w:r>
        <w:rPr/>
        <w:t>年扣除非经常性损益后的归属于母公司净利润不低于</w:t>
      </w:r>
      <w:r>
        <w:rPr>
          <w:rFonts w:ascii="Times New Roman" w:hAnsi="Times New Roman" w:cs="Times New Roman" w:eastAsia="Times New Roman" w:hint="default"/>
        </w:rPr>
        <w:t>3,840</w:t>
      </w:r>
      <w:r>
        <w:rPr/>
        <w:t>万元，达到其承诺的当期利润水平，完成率为 </w:t>
      </w:r>
      <w:r>
        <w:rPr>
          <w:rFonts w:ascii="Times New Roman" w:hAnsi="Times New Roman" w:cs="Times New Roman" w:eastAsia="Times New Roman" w:hint="default"/>
        </w:rPr>
        <w:t>115.46%</w:t>
      </w:r>
      <w:r>
        <w:rPr/>
        <w:t>。</w:t>
      </w:r>
    </w:p>
    <w:p>
      <w:pPr>
        <w:pStyle w:val="BodyText"/>
        <w:spacing w:line="240" w:lineRule="auto" w:before="43"/>
        <w:ind w:left="514" w:right="93"/>
        <w:jc w:val="left"/>
      </w:pPr>
      <w:r>
        <w:rPr/>
        <w:t>详细情况请见与本年度报告同日披露的《关于北京亿美软通科技有限公司</w:t>
      </w:r>
      <w:r>
        <w:rPr>
          <w:rFonts w:ascii="Times New Roman" w:hAnsi="Times New Roman" w:cs="Times New Roman" w:eastAsia="Times New Roman" w:hint="default"/>
        </w:rPr>
        <w:t>2014</w:t>
      </w:r>
      <w:r>
        <w:rPr/>
        <w:t>年度业绩承诺实现情况的专项说明</w:t>
      </w:r>
      <w:r>
        <w:rPr>
          <w:spacing w:val="-90"/>
        </w:rPr>
        <w:t>》</w:t>
      </w:r>
      <w:r>
        <w:rPr/>
        <w:t>。</w:t>
      </w:r>
    </w:p>
    <w:p>
      <w:pPr>
        <w:spacing w:line="240" w:lineRule="auto" w:before="0"/>
        <w:rPr>
          <w:rFonts w:ascii="宋体" w:hAnsi="宋体" w:cs="宋体" w:eastAsia="宋体" w:hint="default"/>
          <w:sz w:val="18"/>
          <w:szCs w:val="18"/>
        </w:rPr>
      </w:pPr>
    </w:p>
    <w:p>
      <w:pPr>
        <w:pStyle w:val="Heading2"/>
        <w:spacing w:line="240" w:lineRule="auto" w:before="158"/>
        <w:ind w:right="93"/>
        <w:jc w:val="left"/>
        <w:rPr>
          <w:b w:val="0"/>
          <w:bCs w:val="0"/>
        </w:rPr>
      </w:pPr>
      <w:bookmarkStart w:name="五、公司股权激励的实施情况及其影响" w:id="46"/>
      <w:bookmarkEnd w:id="46"/>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63" w:lineRule="auto"/>
        <w:ind w:right="19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日，公司分别召开了第二届董事会第十五次会议和第二届监事会第十三次会议，审议通过了《股票期权</w:t>
      </w:r>
      <w:r>
        <w:rPr/>
        <w:t> </w:t>
      </w:r>
      <w:r>
        <w:rPr>
          <w:spacing w:val="-2"/>
        </w:rPr>
        <w:t>与限制性股票激励计划（草案）及其摘要》，公司独立董事已对此事项发表了独立意见，公司监事会对本次股权激励计划激</w:t>
      </w:r>
      <w:r>
        <w:rPr>
          <w:spacing w:val="-66"/>
        </w:rPr>
        <w:t> </w:t>
      </w:r>
      <w:r>
        <w:rPr>
          <w:spacing w:val="-66"/>
        </w:rPr>
      </w:r>
      <w:r>
        <w:rPr/>
        <w:t>励对象名单发表了核查意见。其后公司向中国证监会上报了申请备案材料。</w:t>
      </w:r>
    </w:p>
    <w:p>
      <w:pPr>
        <w:pStyle w:val="BodyText"/>
        <w:spacing w:line="451" w:lineRule="auto" w:before="65"/>
        <w:ind w:left="154" w:right="93" w:firstLine="360"/>
        <w:jc w:val="left"/>
      </w:pPr>
      <w:r>
        <w:rPr>
          <w:rFonts w:ascii="Times New Roman" w:hAnsi="Times New Roman" w:cs="Times New Roman" w:eastAsia="Times New Roman" w:hint="default"/>
          <w:spacing w:val="-2"/>
        </w:rPr>
        <w:t>2</w:t>
      </w:r>
      <w:r>
        <w:rPr>
          <w:spacing w:val="-2"/>
        </w:rPr>
        <w:t>、根据中国证监会的反馈意见，公司对股票期权与限制性股票激励计划（草案）及其摘要的部分条款进行了相应修改，</w:t>
      </w:r>
      <w:r>
        <w:rPr/>
        <w:t> 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日召开第二届董事会第十六次会议和第二届监事会第十四次会议，审议通过了《股票期权与限制性股票激 励计划（修订案）及其摘要》，公司独立董事对激励计划发表了独立意见。该激励计划经中国证监会备案无异议。</w:t>
      </w:r>
    </w:p>
    <w:p>
      <w:pPr>
        <w:pStyle w:val="BodyText"/>
        <w:spacing w:line="468" w:lineRule="auto" w:before="74"/>
        <w:ind w:right="191" w:firstLine="360"/>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日召开</w:t>
      </w:r>
      <w:r>
        <w:rPr>
          <w:rFonts w:ascii="Times New Roman" w:hAnsi="Times New Roman" w:cs="Times New Roman" w:eastAsia="Times New Roman" w:hint="default"/>
          <w:spacing w:val="-2"/>
        </w:rPr>
        <w:t>2013</w:t>
      </w:r>
      <w:r>
        <w:rPr>
          <w:spacing w:val="-2"/>
        </w:rPr>
        <w:t>年第一次临时股东大会审议通过了《股票期权与限制性股票激励计划（修订案）及其</w:t>
      </w:r>
      <w:r>
        <w:rPr/>
        <w:t> </w:t>
      </w:r>
      <w:r>
        <w:rPr>
          <w:spacing w:val="-2"/>
        </w:rPr>
        <w:t>摘要》、《股权激励计划实施考核管理办法》及《关于提请股东大会授权董事会办理股票期权与限制性股票激励计划相关事</w:t>
      </w:r>
      <w:r>
        <w:rPr>
          <w:spacing w:val="-65"/>
        </w:rPr>
        <w:t> </w:t>
      </w:r>
      <w:r>
        <w:rPr>
          <w:spacing w:val="-65"/>
        </w:rPr>
      </w:r>
      <w:r>
        <w:rPr>
          <w:spacing w:val="-2"/>
        </w:rPr>
        <w:t>宜的议案》。董事会被授权确定股票期权和限制性股票授予日、在激励对象符合条件时向激励对象授予股票期权与限制性股</w:t>
      </w:r>
      <w:r>
        <w:rPr>
          <w:spacing w:val="-66"/>
        </w:rPr>
        <w:t> </w:t>
      </w:r>
      <w:r>
        <w:rPr>
          <w:spacing w:val="-66"/>
        </w:rPr>
      </w:r>
      <w:r>
        <w:rPr/>
        <w:t>票并办理授予股票期权与限制性股票所必须的全部事宜。</w:t>
      </w:r>
    </w:p>
    <w:p>
      <w:pPr>
        <w:pStyle w:val="BodyText"/>
        <w:spacing w:line="458" w:lineRule="auto" w:before="61"/>
        <w:ind w:right="93" w:firstLine="360"/>
        <w:jc w:val="left"/>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日召开第二届董事会第十八次会议审议通过了《关于调整股权激励对象名单及授予数量的议案》 </w:t>
      </w:r>
      <w:r>
        <w:rPr>
          <w:spacing w:val="-2"/>
        </w:rPr>
        <w:t>以及《关于向激励对象授予股票期权与限制性股票的议案》，并于当日召开第二届监事会第十六次会议，审议通过了《关于</w:t>
      </w:r>
      <w:r>
        <w:rPr>
          <w:spacing w:val="-66"/>
        </w:rPr>
        <w:t> </w:t>
      </w:r>
      <w:r>
        <w:rPr>
          <w:spacing w:val="-66"/>
        </w:rPr>
      </w:r>
      <w:r>
        <w:rPr>
          <w:spacing w:val="-2"/>
        </w:rPr>
        <w:t>核实公司股票期权与限制性股票激励计划激励对象名单的议案》，同意确定</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日为授予日，授予</w:t>
      </w:r>
      <w:r>
        <w:rPr>
          <w:rFonts w:ascii="Times New Roman" w:hAnsi="Times New Roman" w:cs="Times New Roman" w:eastAsia="Times New Roman" w:hint="default"/>
          <w:spacing w:val="-2"/>
        </w:rPr>
        <w:t>28</w:t>
      </w:r>
      <w:r>
        <w:rPr>
          <w:spacing w:val="-2"/>
        </w:rPr>
        <w:t>名激励对象</w:t>
      </w:r>
      <w:r>
        <w:rPr>
          <w:rFonts w:ascii="Times New Roman" w:hAnsi="Times New Roman" w:cs="Times New Roman" w:eastAsia="Times New Roman" w:hint="default"/>
          <w:spacing w:val="-2"/>
        </w:rPr>
        <w:t>133</w:t>
      </w:r>
      <w:r>
        <w:rPr>
          <w:rFonts w:ascii="Times New Roman" w:hAnsi="Times New Roman" w:cs="Times New Roman" w:eastAsia="Times New Roman" w:hint="default"/>
          <w:spacing w:val="-10"/>
        </w:rPr>
        <w:t> </w:t>
      </w:r>
      <w:r>
        <w:rPr>
          <w:spacing w:val="-2"/>
        </w:rPr>
        <w:t>万股限制性股票和</w:t>
      </w:r>
      <w:r>
        <w:rPr>
          <w:rFonts w:ascii="Times New Roman" w:hAnsi="Times New Roman" w:cs="Times New Roman" w:eastAsia="Times New Roman" w:hint="default"/>
          <w:spacing w:val="-2"/>
        </w:rPr>
        <w:t>32</w:t>
      </w:r>
      <w:r>
        <w:rPr>
          <w:spacing w:val="-2"/>
        </w:rPr>
        <w:t>万份股票期权公司。独立董事对此发表了独立意见，认为激励对象主体资格确认办法合法有效，确定的</w:t>
      </w:r>
      <w:r>
        <w:rPr>
          <w:spacing w:val="-64"/>
        </w:rPr>
        <w:t> </w:t>
      </w:r>
      <w:r>
        <w:rPr>
          <w:spacing w:val="-64"/>
        </w:rPr>
      </w:r>
      <w:r>
        <w:rPr/>
        <w:t>授权日符合相关规定。</w:t>
      </w:r>
    </w:p>
    <w:p>
      <w:pPr>
        <w:pStyle w:val="BodyText"/>
        <w:spacing w:line="240" w:lineRule="auto" w:before="68"/>
        <w:ind w:left="514" w:right="0"/>
        <w:jc w:val="left"/>
      </w:pPr>
      <w:r>
        <w:rPr>
          <w:rFonts w:ascii="Times New Roman" w:hAnsi="Times New Roman" w:cs="Times New Roman" w:eastAsia="Times New Roman" w:hint="default"/>
        </w:rPr>
        <w:t>5</w:t>
      </w:r>
      <w:r>
        <w:rPr>
          <w:spacing w:val="-88"/>
        </w:rPr>
        <w:t>、</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日分别召开了第三届董事会第五次会议</w:t>
      </w:r>
      <w:r>
        <w:rPr>
          <w:spacing w:val="-88"/>
        </w:rPr>
        <w:t>，</w:t>
      </w:r>
      <w:r>
        <w:rPr/>
        <w:t>审议通过</w:t>
      </w:r>
      <w:r>
        <w:rPr>
          <w:spacing w:val="-88"/>
        </w:rPr>
        <w:t>了</w:t>
      </w:r>
      <w:r>
        <w:rPr/>
        <w:t>《关于调整股票期权数量和行权价格的议案</w:t>
      </w:r>
      <w:r>
        <w:rPr>
          <w:spacing w:val="-88"/>
        </w:rPr>
        <w:t>》</w:t>
      </w:r>
      <w:r>
        <w:rPr/>
        <w:t>、</w:t>
      </w:r>
    </w:p>
    <w:p>
      <w:pPr>
        <w:spacing w:line="240" w:lineRule="auto" w:before="9"/>
        <w:rPr>
          <w:rFonts w:ascii="宋体" w:hAnsi="宋体" w:cs="宋体" w:eastAsia="宋体" w:hint="default"/>
          <w:sz w:val="16"/>
          <w:szCs w:val="16"/>
        </w:rPr>
      </w:pPr>
    </w:p>
    <w:p>
      <w:pPr>
        <w:pStyle w:val="BodyText"/>
        <w:spacing w:line="240" w:lineRule="auto"/>
        <w:ind w:left="154" w:right="0"/>
        <w:jc w:val="left"/>
      </w:pPr>
      <w:r>
        <w:rPr/>
        <w:t>《关于已授予的部分股票期权作废及部分限制性股票回购注销的议案》，并于当日召开第三届监事会第四次会议，审议通过</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7"/>
          <w:szCs w:val="27"/>
        </w:rPr>
      </w:pPr>
    </w:p>
    <w:p>
      <w:pPr>
        <w:pStyle w:val="BodyText"/>
        <w:spacing w:line="451" w:lineRule="auto" w:before="44"/>
        <w:ind w:right="150"/>
        <w:jc w:val="both"/>
      </w:pPr>
      <w:r>
        <w:rPr>
          <w:spacing w:val="-2"/>
        </w:rPr>
        <w:t>了《关于已授予的部分股票期权作废及部分限制性股票回购注销的议案》。由于公司实施了</w:t>
      </w:r>
      <w:r>
        <w:rPr>
          <w:rFonts w:ascii="Times New Roman" w:hAnsi="Times New Roman" w:cs="Times New Roman" w:eastAsia="Times New Roman" w:hint="default"/>
          <w:spacing w:val="-2"/>
        </w:rPr>
        <w:t>2013</w:t>
      </w:r>
      <w:r>
        <w:rPr>
          <w:spacing w:val="-2"/>
        </w:rPr>
        <w:t>年度权益分派方案，公司激</w:t>
      </w:r>
      <w:r>
        <w:rPr>
          <w:spacing w:val="-61"/>
        </w:rPr>
        <w:t> </w:t>
      </w:r>
      <w:r>
        <w:rPr>
          <w:spacing w:val="-61"/>
        </w:rPr>
      </w:r>
      <w:r>
        <w:rPr>
          <w:spacing w:val="-2"/>
        </w:rPr>
        <w:t>励计划股票期权数量由</w:t>
      </w:r>
      <w:r>
        <w:rPr>
          <w:rFonts w:ascii="Times New Roman" w:hAnsi="Times New Roman" w:cs="Times New Roman" w:eastAsia="Times New Roman" w:hint="default"/>
          <w:spacing w:val="-2"/>
        </w:rPr>
        <w:t>32</w:t>
      </w:r>
      <w:r>
        <w:rPr>
          <w:spacing w:val="-2"/>
        </w:rPr>
        <w:t>万份调整为</w:t>
      </w:r>
      <w:r>
        <w:rPr>
          <w:rFonts w:ascii="Times New Roman" w:hAnsi="Times New Roman" w:cs="Times New Roman" w:eastAsia="Times New Roman" w:hint="default"/>
          <w:spacing w:val="-2"/>
        </w:rPr>
        <w:t>64</w:t>
      </w:r>
      <w:r>
        <w:rPr>
          <w:spacing w:val="-2"/>
        </w:rPr>
        <w:t>万份，行权价格由</w:t>
      </w:r>
      <w:r>
        <w:rPr>
          <w:rFonts w:ascii="Times New Roman" w:hAnsi="Times New Roman" w:cs="Times New Roman" w:eastAsia="Times New Roman" w:hint="default"/>
          <w:spacing w:val="-2"/>
        </w:rPr>
        <w:t>11.39</w:t>
      </w:r>
      <w:r>
        <w:rPr>
          <w:spacing w:val="-2"/>
        </w:rPr>
        <w:t>元调整为</w:t>
      </w:r>
      <w:r>
        <w:rPr>
          <w:rFonts w:ascii="Times New Roman" w:hAnsi="Times New Roman" w:cs="Times New Roman" w:eastAsia="Times New Roman" w:hint="default"/>
          <w:spacing w:val="-2"/>
        </w:rPr>
        <w:t>5.67</w:t>
      </w:r>
      <w:r>
        <w:rPr>
          <w:spacing w:val="-2"/>
        </w:rPr>
        <w:t>元。鉴于原激励对象曹维亮、张保斌因个人原因</w:t>
      </w:r>
      <w:r>
        <w:rPr>
          <w:spacing w:val="-54"/>
        </w:rPr>
        <w:t> </w:t>
      </w:r>
      <w:r>
        <w:rPr>
          <w:spacing w:val="-54"/>
        </w:rPr>
      </w:r>
      <w:r>
        <w:rPr/>
        <w:t>离职已不符合激励条件，且公司</w:t>
      </w:r>
      <w:r>
        <w:rPr>
          <w:rFonts w:ascii="Times New Roman" w:hAnsi="Times New Roman" w:cs="Times New Roman" w:eastAsia="Times New Roman" w:hint="default"/>
        </w:rPr>
        <w:t>2013</w:t>
      </w:r>
      <w:r>
        <w:rPr/>
        <w:t>年度业绩未能满足公司激励计划规定的第一个行权</w:t>
      </w:r>
      <w:r>
        <w:rPr>
          <w:rFonts w:ascii="Times New Roman" w:hAnsi="Times New Roman" w:cs="Times New Roman" w:eastAsia="Times New Roman" w:hint="default"/>
        </w:rPr>
        <w:t>/</w:t>
      </w:r>
      <w:r>
        <w:rPr/>
        <w:t>解锁期的业绩考核条件，根据公司 激励计划的有关规定，公司将激励计划中尚未行权的股权期权共计</w:t>
      </w:r>
      <w:r>
        <w:rPr>
          <w:rFonts w:ascii="Times New Roman" w:hAnsi="Times New Roman" w:cs="Times New Roman" w:eastAsia="Times New Roman" w:hint="default"/>
        </w:rPr>
        <w:t>28</w:t>
      </w:r>
      <w:r>
        <w:rPr/>
        <w:t>万份全部进行作废；尚未解锁的限制性股票共计</w:t>
      </w:r>
      <w:r>
        <w:rPr>
          <w:rFonts w:ascii="Times New Roman" w:hAnsi="Times New Roman" w:cs="Times New Roman" w:eastAsia="Times New Roman" w:hint="default"/>
        </w:rPr>
        <w:t>102</w:t>
      </w:r>
      <w:r>
        <w:rPr/>
        <w:t>万 股全部进行回购注销。公司独立董事对上述事项发表了独立意见。</w:t>
      </w:r>
    </w:p>
    <w:p>
      <w:pPr>
        <w:pStyle w:val="BodyText"/>
        <w:spacing w:line="240" w:lineRule="auto" w:before="74"/>
        <w:ind w:left="514" w:right="0"/>
        <w:jc w:val="left"/>
      </w:pPr>
      <w:r>
        <w:rPr/>
        <w:pict>
          <v:shape style="position:absolute;margin-left:250.140015pt;margin-top:64.851738pt;width:125.2pt;height:125.3pt;mso-position-horizontal-relative:page;mso-position-vertical-relative:paragraph;z-index:-755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254.979996pt;margin-top:64.851738pt;width:121pt;height:125.3pt;mso-position-horizontal-relative:page;mso-position-vertical-relative:paragraph;z-index:-755848" coordorigin="5100,1297" coordsize="2420,2506">
            <v:group style="position:absolute;left:5110;top:1297;width:2397;height:2506" coordorigin="5110,1297" coordsize="2397,2506">
              <v:shape style="position:absolute;left:5110;top:1297;width:2397;height:2506" coordorigin="5110,1297" coordsize="2397,2506" path="m5110,3803l7507,3803,7507,1297,5110,1297,5110,3803xe" filled="true" fillcolor="#ffffff" stroked="false">
                <v:path arrowok="t"/>
                <v:fill type="solid"/>
              </v:shape>
            </v:group>
            <v:group style="position:absolute;left:5104;top:3798;width:2410;height:2" coordorigin="5104,3798" coordsize="2410,2">
              <v:shape style="position:absolute;left:5104;top:3798;width:2410;height:2" coordorigin="5104,3798" coordsize="2410,0" path="m5104,3798l7514,3798e" filled="false" stroked="true" strokeweight=".48pt" strokecolor="#ffffff">
                <v:path arrowok="t"/>
              </v:shape>
            </v:group>
            <w10:wrap type="none"/>
          </v:group>
        </w:pict>
      </w:r>
      <w:r>
        <w:rPr/>
        <w:t>股权激励事项临时报告披露网站查询</w:t>
      </w:r>
    </w:p>
    <w:p>
      <w:pPr>
        <w:spacing w:line="240" w:lineRule="auto" w:before="5"/>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3970"/>
        <w:gridCol w:w="2410"/>
        <w:gridCol w:w="2693"/>
      </w:tblGrid>
      <w:tr>
        <w:trPr>
          <w:trHeight w:val="421"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77"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348"/>
              <w:jc w:val="right"/>
              <w:rPr>
                <w:rFonts w:ascii="宋体" w:hAnsi="宋体" w:cs="宋体" w:eastAsia="宋体" w:hint="default"/>
                <w:sz w:val="18"/>
                <w:szCs w:val="18"/>
              </w:rPr>
            </w:pPr>
            <w:r>
              <w:rPr>
                <w:rFonts w:ascii="宋体" w:hAnsi="宋体" w:cs="宋体" w:eastAsia="宋体" w:hint="default"/>
                <w:sz w:val="18"/>
                <w:szCs w:val="18"/>
              </w:rPr>
              <w:t>刊登的指定网站查询索引</w:t>
            </w:r>
          </w:p>
        </w:tc>
      </w:tr>
      <w:tr>
        <w:trPr>
          <w:trHeight w:val="292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股票期权与限制性股票激励计划（草案）、股票期 权与限制性股票激励计划（草案）摘要、股权激励 计划（草案）激励对象名单、股权激励计划实施考 核管理办法（</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月）、独立董事关于公司股 </w:t>
            </w:r>
            <w:r>
              <w:rPr>
                <w:rFonts w:ascii="宋体" w:hAnsi="宋体" w:cs="宋体" w:eastAsia="宋体" w:hint="default"/>
                <w:spacing w:val="-5"/>
                <w:sz w:val="18"/>
                <w:szCs w:val="18"/>
              </w:rPr>
              <w:t>票期权与限制性股票激励计划（草案）的独立意见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第二届董事会第十五次会议决议公告、第二届监事</w:t>
            </w:r>
            <w:r>
              <w:rPr>
                <w:rFonts w:ascii="宋体" w:hAnsi="宋体" w:cs="宋体" w:eastAsia="宋体" w:hint="default"/>
                <w:sz w:val="18"/>
                <w:szCs w:val="18"/>
              </w:rPr>
              <w:t> 会第十三次会议决议公告、北京市星河律师事务所 关于公司股票期权与限制性股票激励计划（草案） 的法律意见书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p>
        </w:tc>
      </w:tr>
      <w:tr>
        <w:trPr>
          <w:trHeight w:val="354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z w:val="18"/>
                <w:szCs w:val="18"/>
              </w:rPr>
              <w:t>股票期权与限制性股票激励计划（修订案）、股票 期权与限制性股票激励计划（修订案）摘要、关于 对《股票期权与限制性股票激励计划（草案）》的 修订说明、上海荣正投资咨询有限公司关于公司股 票期权与限制性股票激励计划（修订案）之独立财 务顾问报告、北京市星河律师事务所关于公司股票 期权与限制性股票激励计划（修订案）的法律意见 书、第二届董事会第十六次会议决议公告、第二届 监事会第十四次会议决议公告、独立董事公开征集 委托投票权报告书、独立董事关于公司股票期权与 限制性股票激励计划（修订案）的独立意见</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p>
        </w:tc>
      </w:tr>
      <w:tr>
        <w:trPr>
          <w:trHeight w:val="73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年第一次临时股东大会决议公告、</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年第一</w:t>
            </w:r>
            <w:r>
              <w:rPr>
                <w:rFonts w:ascii="宋体" w:hAnsi="宋体" w:cs="宋体" w:eastAsia="宋体" w:hint="default"/>
                <w:spacing w:val="-75"/>
                <w:sz w:val="18"/>
                <w:szCs w:val="18"/>
              </w:rPr>
              <w:t> </w:t>
            </w:r>
            <w:r>
              <w:rPr>
                <w:rFonts w:ascii="宋体" w:hAnsi="宋体" w:cs="宋体" w:eastAsia="宋体" w:hint="default"/>
                <w:sz w:val="18"/>
                <w:szCs w:val="18"/>
              </w:rPr>
              <w:t>次临时股东大会召开的法律意见书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p>
        </w:tc>
      </w:tr>
      <w:tr>
        <w:trPr>
          <w:trHeight w:val="261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关于向激励对象授予股票期权与限制性股票的公 告、关于调整股权激励对象名单及授予数量的公 告、股权激励计划激励对象名单</w:t>
            </w:r>
            <w:r>
              <w:rPr>
                <w:rFonts w:ascii="Times New Roman" w:hAnsi="Times New Roman" w:cs="Times New Roman" w:eastAsia="Times New Roman" w:hint="default"/>
                <w:sz w:val="18"/>
                <w:szCs w:val="18"/>
              </w:rPr>
              <w:t>(</w:t>
            </w:r>
            <w:r>
              <w:rPr>
                <w:rFonts w:ascii="宋体" w:hAnsi="宋体" w:cs="宋体" w:eastAsia="宋体" w:hint="default"/>
                <w:sz w:val="18"/>
                <w:szCs w:val="18"/>
              </w:rPr>
              <w:t>调整后</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 事关于第二届董事会第十八次会议相关议案的独 立意见、第二届董事会第十八次会议决议公告、第 二届监事会第十六次会议决议公告、北京市星河律 师事务所关于公司股票期权与限制性股票激励计 划授予及调整事项的法律意见书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p>
        </w:tc>
      </w:tr>
      <w:tr>
        <w:trPr>
          <w:trHeight w:val="42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关于股票期权与限制性股票授予登记完成的公告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p>
        </w:tc>
      </w:tr>
      <w:tr>
        <w:trPr>
          <w:trHeight w:val="42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关于调整股票期权数量和行权价格的公告、关于已</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www.cninfo.com.cn</w:t>
              </w:r>
            </w:hyperlink>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970"/>
        <w:gridCol w:w="2410"/>
        <w:gridCol w:w="2693"/>
      </w:tblGrid>
      <w:tr>
        <w:trPr>
          <w:trHeight w:val="19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授予的部分股票期权作废及部分限制性股票回购 </w:t>
            </w:r>
            <w:r>
              <w:rPr>
                <w:rFonts w:ascii="宋体" w:hAnsi="宋体" w:cs="宋体" w:eastAsia="宋体" w:hint="default"/>
                <w:spacing w:val="-1"/>
                <w:sz w:val="18"/>
                <w:szCs w:val="18"/>
              </w:rPr>
              <w:t>注销的公告、减资公告、第三届董事会第五次会议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决议公告、第三届监事会第四次会议决议公告、独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立董事关于</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年半年度相关事项的独立意见、北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京市星河律师事务所关于公司股票期权与限制性 股票激励计划相关事项的法律意见书</w:t>
            </w:r>
          </w:p>
        </w:tc>
        <w:tc>
          <w:tcPr>
            <w:tcW w:w="241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71"/>
              <w:jc w:val="left"/>
              <w:rPr>
                <w:rFonts w:ascii="宋体" w:hAnsi="宋体" w:cs="宋体" w:eastAsia="宋体" w:hint="default"/>
                <w:sz w:val="18"/>
                <w:szCs w:val="18"/>
              </w:rPr>
            </w:pPr>
            <w:r>
              <w:rPr>
                <w:rFonts w:ascii="宋体" w:hAnsi="宋体" w:cs="宋体" w:eastAsia="宋体" w:hint="default"/>
                <w:sz w:val="18"/>
                <w:szCs w:val="18"/>
              </w:rPr>
              <w:t>关于部分股票期权作废及部分限制性股票回购注 销完成的公告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六、重大关联交易" w:id="47"/>
      <w:bookmarkEnd w:id="47"/>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48"/>
      <w:bookmarkEnd w:id="4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52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报告期内，公司无与日常经营相关的重大关联交易。</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2、资产收购、出售发生的关联交易" w:id="49"/>
      <w:bookmarkEnd w:id="49"/>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56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bookmarkStart w:name="3、共同对外投资的重大关联交易" w:id="50"/>
      <w:bookmarkEnd w:id="50"/>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545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公司报告期未发生共同对外投资的重大关联交易。</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4、关联债权债务往来" w:id="51"/>
      <w:bookmarkEnd w:id="5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635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2"/>
          <w:szCs w:val="22"/>
        </w:rPr>
      </w:pPr>
    </w:p>
    <w:p>
      <w:pPr>
        <w:pStyle w:val="Heading3"/>
        <w:spacing w:line="240" w:lineRule="auto"/>
        <w:ind w:left="153" w:right="0"/>
        <w:jc w:val="left"/>
        <w:rPr>
          <w:b w:val="0"/>
          <w:bCs w:val="0"/>
        </w:rPr>
      </w:pPr>
      <w:bookmarkStart w:name="5、其他重大关联交易" w:id="52"/>
      <w:bookmarkEnd w:id="5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67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412" w:lineRule="auto"/>
        <w:jc w:val="left"/>
        <w:sectPr>
          <w:pgSz w:w="11910" w:h="16840"/>
          <w:pgMar w:header="877" w:footer="979"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七、重大合同及其履行情况" w:id="53"/>
      <w:bookmarkEnd w:id="53"/>
      <w:r>
        <w:rPr>
          <w:b w:val="0"/>
          <w:bCs w:val="0"/>
        </w:rPr>
      </w: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54"/>
      <w:bookmarkEnd w:id="5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55"/>
      <w:bookmarkEnd w:id="5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70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3"/>
        <w:rPr>
          <w:rFonts w:ascii="宋体" w:hAnsi="宋体" w:cs="宋体" w:eastAsia="宋体" w:hint="default"/>
          <w:sz w:val="22"/>
          <w:szCs w:val="22"/>
        </w:rPr>
      </w:pPr>
    </w:p>
    <w:p>
      <w:pPr>
        <w:pStyle w:val="Heading3"/>
        <w:spacing w:line="240" w:lineRule="auto"/>
        <w:ind w:left="153" w:right="0"/>
        <w:jc w:val="left"/>
        <w:rPr>
          <w:b w:val="0"/>
          <w:bCs w:val="0"/>
        </w:rPr>
      </w:pPr>
      <w:bookmarkStart w:name="（2）承包情况" w:id="56"/>
      <w:bookmarkEnd w:id="5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70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3"/>
        <w:rPr>
          <w:rFonts w:ascii="宋体" w:hAnsi="宋体" w:cs="宋体" w:eastAsia="宋体" w:hint="default"/>
          <w:sz w:val="22"/>
          <w:szCs w:val="22"/>
        </w:rPr>
      </w:pPr>
    </w:p>
    <w:p>
      <w:pPr>
        <w:pStyle w:val="Heading3"/>
        <w:spacing w:line="240" w:lineRule="auto"/>
        <w:ind w:left="153" w:right="0"/>
        <w:jc w:val="left"/>
        <w:rPr>
          <w:b w:val="0"/>
          <w:bCs w:val="0"/>
        </w:rPr>
      </w:pPr>
      <w:bookmarkStart w:name="（3）租赁情况" w:id="57"/>
      <w:bookmarkEnd w:id="5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83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451" w:lineRule="auto" w:before="103"/>
        <w:ind w:right="150"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月，公司与咏传电子科技（上海）有限公司深圳分公司签订了《房屋租赁合同》，约定将公司位于深圳市福</w:t>
      </w:r>
      <w:r>
        <w:rPr/>
        <w:t> 田区深南中路与广深高速公路交界东南金运世纪大厦</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rFonts w:ascii="Times New Roman" w:hAnsi="Times New Roman" w:cs="Times New Roman" w:eastAsia="Times New Roman" w:hint="default"/>
        </w:rPr>
        <w:t>A</w:t>
      </w:r>
      <w:r>
        <w:rPr>
          <w:rFonts w:ascii="Times New Roman" w:hAnsi="Times New Roman" w:cs="Times New Roman" w:eastAsia="Times New Roman" w:hint="default"/>
        </w:rPr>
        <w:t>—</w:t>
      </w:r>
      <w:r>
        <w:rPr>
          <w:rFonts w:ascii="Times New Roman" w:hAnsi="Times New Roman" w:cs="Times New Roman" w:eastAsia="Times New Roman" w:hint="default"/>
        </w:rPr>
        <w:t>10L</w:t>
      </w:r>
      <w:r>
        <w:rPr/>
        <w:t>号共</w:t>
      </w:r>
      <w:r>
        <w:rPr>
          <w:rFonts w:ascii="Times New Roman" w:hAnsi="Times New Roman" w:cs="Times New Roman" w:eastAsia="Times New Roman" w:hint="default"/>
        </w:rPr>
        <w:t>12</w:t>
      </w:r>
      <w:r>
        <w:rPr/>
        <w:t>套房产出租给咏传电子科技（上海）有限公司深圳分 公司，租赁面积为</w:t>
      </w:r>
      <w:r>
        <w:rPr>
          <w:rFonts w:ascii="Times New Roman" w:hAnsi="Times New Roman" w:cs="Times New Roman" w:eastAsia="Times New Roman" w:hint="default"/>
        </w:rPr>
        <w:t>1,853.96</w:t>
      </w:r>
      <w:r>
        <w:rPr/>
        <w:t>平方米，月租金为</w:t>
      </w:r>
      <w:r>
        <w:rPr>
          <w:rFonts w:ascii="Times New Roman" w:hAnsi="Times New Roman" w:cs="Times New Roman" w:eastAsia="Times New Roman" w:hint="default"/>
        </w:rPr>
        <w:t>315,173.20</w:t>
      </w:r>
      <w:r>
        <w:rPr/>
        <w:t>元，租赁期自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日止。该房屋租赁合 同已经深圳市福田区房屋租赁管理局备案，合同登记备案号为</w:t>
      </w:r>
      <w:r>
        <w:rPr>
          <w:rFonts w:ascii="Times New Roman" w:hAnsi="Times New Roman" w:cs="Times New Roman" w:eastAsia="Times New Roman" w:hint="default"/>
        </w:rPr>
        <w:t>“</w:t>
      </w:r>
      <w:r>
        <w:rPr/>
        <w:t>福</w:t>
      </w:r>
      <w:r>
        <w:rPr>
          <w:rFonts w:ascii="Times New Roman" w:hAnsi="Times New Roman" w:cs="Times New Roman" w:eastAsia="Times New Roman" w:hint="default"/>
        </w:rPr>
        <w:t>EK050596”</w:t>
      </w:r>
      <w:r>
        <w:rPr/>
        <w:t>。</w:t>
      </w:r>
    </w:p>
    <w:p>
      <w:pPr>
        <w:pStyle w:val="BodyText"/>
        <w:spacing w:line="451" w:lineRule="auto" w:before="43"/>
        <w:ind w:right="150"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月，公司与咏传电子科技（上海）有限公司深圳分公司签订了《房屋租赁合同》，约定将公司位于深圳市福田</w:t>
      </w:r>
      <w:r>
        <w:rPr/>
        <w:t> 区深南中路与广深高速公路交界东南金运世纪大厦</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rFonts w:ascii="Times New Roman" w:hAnsi="Times New Roman" w:cs="Times New Roman" w:eastAsia="Times New Roman" w:hint="default"/>
        </w:rPr>
        <w:t>A</w:t>
      </w:r>
      <w:r>
        <w:rPr>
          <w:rFonts w:ascii="Times New Roman" w:hAnsi="Times New Roman" w:cs="Times New Roman" w:eastAsia="Times New Roman" w:hint="default"/>
        </w:rPr>
        <w:t>—</w:t>
      </w:r>
      <w:r>
        <w:rPr>
          <w:rFonts w:ascii="Times New Roman" w:hAnsi="Times New Roman" w:cs="Times New Roman" w:eastAsia="Times New Roman" w:hint="default"/>
        </w:rPr>
        <w:t>10L</w:t>
      </w:r>
      <w:r>
        <w:rPr/>
        <w:t>号共</w:t>
      </w:r>
      <w:r>
        <w:rPr>
          <w:rFonts w:ascii="Times New Roman" w:hAnsi="Times New Roman" w:cs="Times New Roman" w:eastAsia="Times New Roman" w:hint="default"/>
        </w:rPr>
        <w:t>12</w:t>
      </w:r>
      <w:r>
        <w:rPr/>
        <w:t>套房产出租给咏传电子科技（上海）有限公司深圳分公 司，租赁面积为</w:t>
      </w:r>
      <w:r>
        <w:rPr>
          <w:rFonts w:ascii="Times New Roman" w:hAnsi="Times New Roman" w:cs="Times New Roman" w:eastAsia="Times New Roman" w:hint="default"/>
        </w:rPr>
        <w:t>1,853.96</w:t>
      </w:r>
      <w:r>
        <w:rPr/>
        <w:t>平方米，月租金为</w:t>
      </w:r>
      <w:r>
        <w:rPr>
          <w:rFonts w:ascii="Times New Roman" w:hAnsi="Times New Roman" w:cs="Times New Roman" w:eastAsia="Times New Roman" w:hint="default"/>
        </w:rPr>
        <w:t>385,623.68</w:t>
      </w:r>
      <w:r>
        <w:rPr/>
        <w:t>元，租赁期自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日止。该房屋租赁合同 已经深圳市福田区房屋租赁管理局备案，合同登记备案号为</w:t>
      </w:r>
      <w:r>
        <w:rPr>
          <w:rFonts w:ascii="Times New Roman" w:hAnsi="Times New Roman" w:cs="Times New Roman" w:eastAsia="Times New Roman" w:hint="default"/>
        </w:rPr>
        <w:t>“</w:t>
      </w:r>
      <w:r>
        <w:rPr/>
        <w:t>福</w:t>
      </w:r>
      <w:r>
        <w:rPr>
          <w:rFonts w:ascii="Times New Roman" w:hAnsi="Times New Roman" w:cs="Times New Roman" w:eastAsia="Times New Roman" w:hint="default"/>
        </w:rPr>
        <w:t>EK053098”</w:t>
      </w:r>
      <w:r>
        <w:rPr/>
        <w:t>。</w:t>
      </w:r>
    </w:p>
    <w:p>
      <w:pPr>
        <w:pStyle w:val="BodyText"/>
        <w:spacing w:line="451" w:lineRule="auto" w:before="43"/>
        <w:ind w:right="0"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月，公司与廖珮怡签订了《房屋租赁合同》，约定将廖珮怡位于深圳市福田区车公庙天安数码城天祥大厦 </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5B2</w:t>
      </w:r>
      <w:r>
        <w:rPr/>
        <w:t>的房产出租给公司办公，租赁面积为</w:t>
      </w:r>
      <w:r>
        <w:rPr>
          <w:rFonts w:ascii="Times New Roman" w:hAnsi="Times New Roman" w:cs="Times New Roman" w:eastAsia="Times New Roman" w:hint="default"/>
        </w:rPr>
        <w:t>588.82</w:t>
      </w:r>
      <w:r>
        <w:rPr/>
        <w:t>平方米，月租金为</w:t>
      </w:r>
      <w:r>
        <w:rPr>
          <w:rFonts w:ascii="Times New Roman" w:hAnsi="Times New Roman" w:cs="Times New Roman" w:eastAsia="Times New Roman" w:hint="default"/>
        </w:rPr>
        <w:t>82,435.00</w:t>
      </w:r>
      <w:r>
        <w:rPr/>
        <w:t>元，并约定第二年月租金调整为</w:t>
      </w:r>
      <w:r>
        <w:rPr>
          <w:rFonts w:ascii="Times New Roman" w:hAnsi="Times New Roman" w:cs="Times New Roman" w:eastAsia="Times New Roman" w:hint="default"/>
        </w:rPr>
        <w:t>85,379.00 </w:t>
      </w:r>
      <w:r>
        <w:rPr>
          <w:spacing w:val="-2"/>
        </w:rPr>
        <w:t>元，租赁期自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日起至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日止。该房屋租赁合同已经深圳市福田区房屋租赁管理局备案，合同登记备</w:t>
      </w:r>
      <w:r>
        <w:rPr>
          <w:spacing w:val="-50"/>
        </w:rPr>
        <w:t> </w:t>
      </w:r>
      <w:r>
        <w:rPr>
          <w:spacing w:val="-50"/>
        </w:rPr>
      </w:r>
      <w:r>
        <w:rPr/>
        <w:t>案号为</w:t>
      </w:r>
      <w:r>
        <w:rPr>
          <w:rFonts w:ascii="Times New Roman" w:hAnsi="Times New Roman" w:cs="Times New Roman" w:eastAsia="Times New Roman" w:hint="default"/>
        </w:rPr>
        <w:t>“</w:t>
      </w:r>
      <w:r>
        <w:rPr/>
        <w:t>福</w:t>
      </w:r>
      <w:r>
        <w:rPr>
          <w:rFonts w:ascii="Times New Roman" w:hAnsi="Times New Roman" w:cs="Times New Roman" w:eastAsia="Times New Roman" w:hint="default"/>
        </w:rPr>
        <w:t>EK050774”</w:t>
      </w:r>
      <w:r>
        <w:rPr/>
        <w:t>。</w:t>
      </w:r>
    </w:p>
    <w:p>
      <w:pPr>
        <w:pStyle w:val="BodyText"/>
        <w:spacing w:line="451" w:lineRule="auto" w:before="43"/>
        <w:ind w:right="152"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月，公司与杨春葵、冯苏军签订了《房屋租赁合同》，约定将杨春葵、冯苏军位于深圳市福田区车公庙天安 数码城天祥大厦</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10A-1</w:t>
      </w:r>
      <w:r>
        <w:rPr/>
        <w:t>、</w:t>
      </w:r>
      <w:r>
        <w:rPr>
          <w:rFonts w:ascii="Times New Roman" w:hAnsi="Times New Roman" w:cs="Times New Roman" w:eastAsia="Times New Roman" w:hint="default"/>
        </w:rPr>
        <w:t>10A-2</w:t>
      </w:r>
      <w:r>
        <w:rPr/>
        <w:t>的房产出租给公司办公，租赁面积分别为</w:t>
      </w:r>
      <w:r>
        <w:rPr>
          <w:rFonts w:ascii="Times New Roman" w:hAnsi="Times New Roman" w:cs="Times New Roman" w:eastAsia="Times New Roman" w:hint="default"/>
        </w:rPr>
        <w:t>400</w:t>
      </w:r>
      <w:r>
        <w:rPr/>
        <w:t>平方米、</w:t>
      </w:r>
      <w:r>
        <w:rPr>
          <w:rFonts w:ascii="Times New Roman" w:hAnsi="Times New Roman" w:cs="Times New Roman" w:eastAsia="Times New Roman" w:hint="default"/>
        </w:rPr>
        <w:t>812.48</w:t>
      </w:r>
      <w:r>
        <w:rPr/>
        <w:t>平方米，月租金分别为 </w:t>
      </w:r>
      <w:r>
        <w:rPr>
          <w:rFonts w:ascii="Times New Roman" w:hAnsi="Times New Roman" w:cs="Times New Roman" w:eastAsia="Times New Roman" w:hint="default"/>
          <w:spacing w:val="-2"/>
        </w:rPr>
        <w:t>53,200.00</w:t>
      </w:r>
      <w:r>
        <w:rPr>
          <w:spacing w:val="-2"/>
        </w:rPr>
        <w:t>元、</w:t>
      </w:r>
      <w:r>
        <w:rPr>
          <w:rFonts w:ascii="Times New Roman" w:hAnsi="Times New Roman" w:cs="Times New Roman" w:eastAsia="Times New Roman" w:hint="default"/>
          <w:spacing w:val="-2"/>
        </w:rPr>
        <w:t>108,059.84</w:t>
      </w:r>
      <w:r>
        <w:rPr>
          <w:spacing w:val="-2"/>
        </w:rPr>
        <w:t>元，租赁期自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日止。该房屋租赁合同已经深圳市福田区房屋租赁管理局</w:t>
      </w:r>
      <w:r>
        <w:rPr>
          <w:spacing w:val="-35"/>
        </w:rPr>
        <w:t> </w:t>
      </w:r>
      <w:r>
        <w:rPr>
          <w:spacing w:val="-35"/>
        </w:rPr>
      </w:r>
      <w:r>
        <w:rPr/>
        <w:t>备案，合同登记备案号分别为</w:t>
      </w:r>
      <w:r>
        <w:rPr>
          <w:rFonts w:ascii="Times New Roman" w:hAnsi="Times New Roman" w:cs="Times New Roman" w:eastAsia="Times New Roman" w:hint="default"/>
        </w:rPr>
        <w:t>“</w:t>
      </w:r>
      <w:r>
        <w:rPr/>
        <w:t>福</w:t>
      </w:r>
      <w:r>
        <w:rPr>
          <w:rFonts w:ascii="Times New Roman" w:hAnsi="Times New Roman" w:cs="Times New Roman" w:eastAsia="Times New Roman" w:hint="default"/>
        </w:rPr>
        <w:t>EK051138”</w:t>
      </w:r>
      <w:r>
        <w:rPr/>
        <w:t>、</w:t>
      </w:r>
      <w:r>
        <w:rPr>
          <w:rFonts w:ascii="Times New Roman" w:hAnsi="Times New Roman" w:cs="Times New Roman" w:eastAsia="Times New Roman" w:hint="default"/>
        </w:rPr>
        <w:t>“</w:t>
      </w:r>
      <w:r>
        <w:rPr/>
        <w:t>福</w:t>
      </w:r>
      <w:r>
        <w:rPr>
          <w:rFonts w:ascii="Times New Roman" w:hAnsi="Times New Roman" w:cs="Times New Roman" w:eastAsia="Times New Roman" w:hint="default"/>
        </w:rPr>
        <w:t>EK051139”</w:t>
      </w:r>
      <w:r>
        <w:rPr/>
        <w:t>。</w:t>
      </w:r>
    </w:p>
    <w:p>
      <w:pPr>
        <w:spacing w:after="0" w:line="451"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7"/>
          <w:szCs w:val="27"/>
        </w:rPr>
      </w:pPr>
    </w:p>
    <w:p>
      <w:pPr>
        <w:pStyle w:val="BodyText"/>
        <w:spacing w:line="451" w:lineRule="auto" w:before="44"/>
        <w:ind w:right="19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月，公司与杨春葵、冯苏军签订了《房屋租赁合同》，约定将杨春葵、冯苏军位于深圳市福田区车公庙天安数 </w:t>
      </w:r>
      <w:r>
        <w:rPr>
          <w:spacing w:val="-4"/>
        </w:rPr>
        <w:t>码城天祥大厦</w:t>
      </w:r>
      <w:r>
        <w:rPr>
          <w:rFonts w:ascii="Times New Roman" w:hAnsi="Times New Roman" w:cs="Times New Roman" w:eastAsia="Times New Roman" w:hint="default"/>
          <w:spacing w:val="-4"/>
        </w:rPr>
        <w:t>AB</w:t>
      </w:r>
      <w:r>
        <w:rPr>
          <w:spacing w:val="-4"/>
        </w:rPr>
        <w:t>座</w:t>
      </w:r>
      <w:r>
        <w:rPr>
          <w:rFonts w:ascii="Times New Roman" w:hAnsi="Times New Roman" w:cs="Times New Roman" w:eastAsia="Times New Roman" w:hint="default"/>
          <w:spacing w:val="-4"/>
        </w:rPr>
        <w:t>10A-1</w:t>
      </w:r>
      <w:r>
        <w:rPr>
          <w:spacing w:val="-4"/>
        </w:rPr>
        <w:t>、</w:t>
      </w:r>
      <w:r>
        <w:rPr>
          <w:rFonts w:ascii="Times New Roman" w:hAnsi="Times New Roman" w:cs="Times New Roman" w:eastAsia="Times New Roman" w:hint="default"/>
          <w:spacing w:val="-4"/>
        </w:rPr>
        <w:t>10A-2</w:t>
      </w:r>
      <w:r>
        <w:rPr>
          <w:spacing w:val="-4"/>
        </w:rPr>
        <w:t>的房产出租给公司办公，租赁面积分别为</w:t>
      </w:r>
      <w:r>
        <w:rPr>
          <w:rFonts w:ascii="Times New Roman" w:hAnsi="Times New Roman" w:cs="Times New Roman" w:eastAsia="Times New Roman" w:hint="default"/>
          <w:spacing w:val="-4"/>
        </w:rPr>
        <w:t>400</w:t>
      </w:r>
      <w:r>
        <w:rPr>
          <w:spacing w:val="-4"/>
        </w:rPr>
        <w:t>平方米、</w:t>
      </w:r>
      <w:r>
        <w:rPr>
          <w:rFonts w:ascii="Times New Roman" w:hAnsi="Times New Roman" w:cs="Times New Roman" w:eastAsia="Times New Roman" w:hint="default"/>
          <w:spacing w:val="-4"/>
        </w:rPr>
        <w:t>812.48</w:t>
      </w:r>
      <w:r>
        <w:rPr>
          <w:spacing w:val="-4"/>
        </w:rPr>
        <w:t>平方米，月租金分别为</w:t>
      </w:r>
      <w:r>
        <w:rPr>
          <w:rFonts w:ascii="Times New Roman" w:hAnsi="Times New Roman" w:cs="Times New Roman" w:eastAsia="Times New Roman" w:hint="default"/>
          <w:spacing w:val="-4"/>
        </w:rPr>
        <w:t>55,860.00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元、</w:t>
      </w:r>
      <w:r>
        <w:rPr>
          <w:rFonts w:ascii="Times New Roman" w:hAnsi="Times New Roman" w:cs="Times New Roman" w:eastAsia="Times New Roman" w:hint="default"/>
          <w:spacing w:val="-2"/>
        </w:rPr>
        <w:t>113,462.83</w:t>
      </w:r>
      <w:r>
        <w:rPr>
          <w:spacing w:val="-2"/>
        </w:rPr>
        <w:t>元，租赁期自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日止。该房屋租赁合同已经深圳市福田区房屋租赁管理局备案，合</w:t>
      </w:r>
      <w:r>
        <w:rPr>
          <w:spacing w:val="-44"/>
        </w:rPr>
        <w:t> </w:t>
      </w:r>
      <w:r>
        <w:rPr>
          <w:spacing w:val="-44"/>
        </w:rPr>
      </w:r>
      <w:r>
        <w:rPr/>
        <w:t>同登记备案号分别为</w:t>
      </w:r>
      <w:r>
        <w:rPr>
          <w:rFonts w:ascii="Times New Roman" w:hAnsi="Times New Roman" w:cs="Times New Roman" w:eastAsia="Times New Roman" w:hint="default"/>
        </w:rPr>
        <w:t>“</w:t>
      </w:r>
      <w:r>
        <w:rPr/>
        <w:t>福</w:t>
      </w:r>
      <w:r>
        <w:rPr>
          <w:rFonts w:ascii="Times New Roman" w:hAnsi="Times New Roman" w:cs="Times New Roman" w:eastAsia="Times New Roman" w:hint="default"/>
        </w:rPr>
        <w:t>EK053776”</w:t>
      </w:r>
      <w:r>
        <w:rPr/>
        <w:t>、</w:t>
      </w:r>
      <w:r>
        <w:rPr>
          <w:rFonts w:ascii="Times New Roman" w:hAnsi="Times New Roman" w:cs="Times New Roman" w:eastAsia="Times New Roman" w:hint="default"/>
        </w:rPr>
        <w:t>“</w:t>
      </w:r>
      <w:r>
        <w:rPr/>
        <w:t>福</w:t>
      </w:r>
      <w:r>
        <w:rPr>
          <w:rFonts w:ascii="Times New Roman" w:hAnsi="Times New Roman" w:cs="Times New Roman" w:eastAsia="Times New Roman" w:hint="default"/>
        </w:rPr>
        <w:t>EK053777”</w:t>
      </w:r>
      <w:r>
        <w:rPr/>
        <w:t>。</w:t>
      </w:r>
    </w:p>
    <w:p>
      <w:pPr>
        <w:pStyle w:val="BodyText"/>
        <w:spacing w:line="451" w:lineRule="auto" w:before="43"/>
        <w:ind w:right="99" w:firstLine="360"/>
        <w:jc w:val="both"/>
        <w:rPr>
          <w:rFonts w:ascii="Times New Roman" w:hAnsi="Times New Roman" w:cs="Times New Roman" w:eastAsia="Times New Roman" w:hint="default"/>
        </w:rPr>
      </w:pP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月，公司全资子公司深圳市银之杰金融设备有限公司与深圳市大浪颐丰华股份合作公司签订了《房屋租赁合 </w:t>
      </w:r>
      <w:r>
        <w:rPr>
          <w:spacing w:val="-2"/>
        </w:rPr>
        <w:t>同》，约定将深圳市大浪颐丰华股份合作公司位于深圳市宝安区大浪街道大浪社区华宁路华联工业区</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2</w:t>
      </w:r>
      <w:r>
        <w:rPr>
          <w:spacing w:val="-2"/>
        </w:rPr>
        <w:t>楼的房产出租给公</w:t>
      </w:r>
      <w:r>
        <w:rPr>
          <w:spacing w:val="-63"/>
        </w:rPr>
        <w:t> </w:t>
      </w:r>
      <w:r>
        <w:rPr/>
        <w:t>司全资子公司深圳市银之杰金融设备有限公司办公，租赁面积为</w:t>
      </w:r>
      <w:r>
        <w:rPr>
          <w:rFonts w:ascii="Times New Roman" w:hAnsi="Times New Roman" w:cs="Times New Roman" w:eastAsia="Times New Roman" w:hint="default"/>
        </w:rPr>
        <w:t>1,800</w:t>
      </w:r>
      <w:r>
        <w:rPr/>
        <w:t>平方米，月租金为</w:t>
      </w:r>
      <w:r>
        <w:rPr>
          <w:rFonts w:ascii="Times New Roman" w:hAnsi="Times New Roman" w:cs="Times New Roman" w:eastAsia="Times New Roman" w:hint="default"/>
        </w:rPr>
        <w:t>18,000.00</w:t>
      </w:r>
      <w:r>
        <w:rPr/>
        <w:t>元，租赁期自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p>
    <w:p>
      <w:pPr>
        <w:pStyle w:val="BodyText"/>
        <w:spacing w:line="415" w:lineRule="auto" w:before="43"/>
        <w:ind w:left="154" w:right="88"/>
        <w:jc w:val="left"/>
      </w:pP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日止。该房屋租赁合同已经深圳市宝安区房屋租赁管理办公室备案，合同登记备案号</w:t>
      </w:r>
      <w:r>
        <w:rPr>
          <w:rFonts w:ascii="Times New Roman" w:hAnsi="Times New Roman" w:cs="Times New Roman" w:eastAsia="Times New Roman" w:hint="default"/>
          <w:spacing w:val="-2"/>
        </w:rPr>
        <w:t>“</w:t>
      </w:r>
      <w:r>
        <w:rPr>
          <w:spacing w:val="-2"/>
        </w:rPr>
        <w:t>宝</w:t>
      </w:r>
      <w:r>
        <w:rPr>
          <w:rFonts w:ascii="Times New Roman" w:hAnsi="Times New Roman" w:cs="Times New Roman" w:eastAsia="Times New Roman" w:hint="default"/>
          <w:spacing w:val="-2"/>
        </w:rPr>
        <w:t>LA014209</w:t>
      </w:r>
      <w:r>
        <w:rPr>
          <w:spacing w:val="-2"/>
        </w:rPr>
        <w:t>（备）</w:t>
      </w:r>
      <w:r>
        <w:rPr>
          <w:rFonts w:ascii="Times New Roman" w:hAnsi="Times New Roman" w:cs="Times New Roman" w:eastAsia="Times New Roman" w:hint="default"/>
          <w:spacing w:val="-2"/>
        </w:rPr>
        <w:t>”</w:t>
      </w:r>
      <w:r>
        <w:rPr>
          <w:spacing w:val="-2"/>
        </w:rPr>
        <w:t>。</w:t>
      </w:r>
      <w:r>
        <w:rPr>
          <w:spacing w:val="-88"/>
        </w:rPr>
        <w:t> </w:t>
      </w: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07" w:lineRule="exact"/>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9" w:right="69" w:hanging="270"/>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0" w:right="69" w:hanging="271"/>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8" w:right="67"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227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7"/>
              <w:jc w:val="both"/>
              <w:rPr>
                <w:rFonts w:ascii="宋体" w:hAnsi="宋体" w:cs="宋体" w:eastAsia="宋体" w:hint="default"/>
                <w:sz w:val="18"/>
                <w:szCs w:val="18"/>
              </w:rPr>
            </w:pPr>
            <w:r>
              <w:rPr>
                <w:rFonts w:ascii="宋体" w:hAnsi="宋体" w:cs="宋体" w:eastAsia="宋体" w:hint="default"/>
                <w:sz w:val="18"/>
                <w:szCs w:val="18"/>
              </w:rPr>
              <w:t>深圳市银 之杰科技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咏传电子 科技（上 </w:t>
            </w:r>
            <w:r>
              <w:rPr>
                <w:rFonts w:ascii="宋体" w:hAnsi="宋体" w:cs="宋体" w:eastAsia="宋体" w:hint="default"/>
                <w:spacing w:val="-18"/>
                <w:sz w:val="18"/>
                <w:szCs w:val="18"/>
              </w:rPr>
              <w:t>海）有限公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司深圳分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深圳市福 田区深南 中路的金 运世纪大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 </w:t>
            </w:r>
            <w:r>
              <w:rPr>
                <w:rFonts w:ascii="Times New Roman" w:hAnsi="Times New Roman" w:cs="Times New Roman" w:eastAsia="Times New Roman" w:hint="default"/>
                <w:sz w:val="18"/>
                <w:szCs w:val="18"/>
              </w:rPr>
              <w:t>A-L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号共</w:t>
            </w:r>
          </w:p>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套房产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4,170.52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229.09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租赁合同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38" w:lineRule="auto"/>
              <w:ind w:left="23"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占公司净 利润的 </w:t>
            </w:r>
            <w:r>
              <w:rPr>
                <w:rFonts w:ascii="Times New Roman" w:hAnsi="Times New Roman" w:cs="Times New Roman" w:eastAsia="Times New Roman" w:hint="default"/>
                <w:sz w:val="18"/>
                <w:szCs w:val="18"/>
              </w:rPr>
              <w:t>8.27%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93"/>
        <w:jc w:val="left"/>
        <w:rPr>
          <w:b w:val="0"/>
          <w:bCs w:val="0"/>
        </w:rPr>
      </w:pPr>
      <w:bookmarkStart w:name="2、担保情况" w:id="58"/>
      <w:bookmarkEnd w:id="58"/>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71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3"/>
        <w:rPr>
          <w:rFonts w:ascii="宋体" w:hAnsi="宋体" w:cs="宋体" w:eastAsia="宋体" w:hint="default"/>
          <w:sz w:val="22"/>
          <w:szCs w:val="22"/>
        </w:rPr>
      </w:pPr>
    </w:p>
    <w:p>
      <w:pPr>
        <w:pStyle w:val="Heading3"/>
        <w:spacing w:line="240" w:lineRule="auto"/>
        <w:ind w:left="153" w:right="93"/>
        <w:jc w:val="left"/>
        <w:rPr>
          <w:b w:val="0"/>
          <w:bCs w:val="0"/>
        </w:rPr>
      </w:pPr>
      <w:bookmarkStart w:name="3、委托理财、衍生品投资和委托贷款情况" w:id="59"/>
      <w:bookmarkEnd w:id="59"/>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3"/>
        <w:jc w:val="left"/>
        <w:rPr>
          <w:b w:val="0"/>
          <w:bCs w:val="0"/>
        </w:rPr>
      </w:pPr>
      <w:bookmarkStart w:name="（1）委托理财情况" w:id="60"/>
      <w:bookmarkEnd w:id="6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71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3"/>
        <w:rPr>
          <w:rFonts w:ascii="宋体" w:hAnsi="宋体" w:cs="宋体" w:eastAsia="宋体" w:hint="default"/>
          <w:sz w:val="22"/>
          <w:szCs w:val="22"/>
        </w:rPr>
      </w:pPr>
    </w:p>
    <w:p>
      <w:pPr>
        <w:pStyle w:val="Heading3"/>
        <w:spacing w:line="240" w:lineRule="auto"/>
        <w:ind w:left="153" w:right="93"/>
        <w:jc w:val="left"/>
        <w:rPr>
          <w:b w:val="0"/>
          <w:bCs w:val="0"/>
        </w:rPr>
      </w:pPr>
      <w:bookmarkStart w:name="（2）衍生品投资情况" w:id="61"/>
      <w:bookmarkEnd w:id="6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69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after="0" w:line="412" w:lineRule="auto"/>
        <w:jc w:val="left"/>
        <w:sectPr>
          <w:pgSz w:w="11910" w:h="16840"/>
          <w:pgMar w:header="877" w:footer="979" w:top="1100" w:bottom="1160" w:left="980" w:right="94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3）委托贷款情况" w:id="62"/>
      <w:bookmarkEnd w:id="6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70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0"/>
        <w:rPr>
          <w:rFonts w:ascii="宋体" w:hAnsi="宋体" w:cs="宋体" w:eastAsia="宋体" w:hint="default"/>
          <w:sz w:val="23"/>
          <w:szCs w:val="23"/>
        </w:rPr>
      </w:pPr>
    </w:p>
    <w:p>
      <w:pPr>
        <w:pStyle w:val="Heading3"/>
        <w:spacing w:line="240" w:lineRule="auto"/>
        <w:ind w:left="153" w:right="0"/>
        <w:jc w:val="left"/>
        <w:rPr>
          <w:b w:val="0"/>
          <w:bCs w:val="0"/>
        </w:rPr>
      </w:pPr>
      <w:bookmarkStart w:name="4、其他重大合同" w:id="63"/>
      <w:bookmarkEnd w:id="6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3" w:right="67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八、承诺事项履行情况" w:id="64"/>
      <w:bookmarkEnd w:id="64"/>
      <w:r>
        <w:rPr>
          <w:b w:val="0"/>
          <w:bCs w:val="0"/>
        </w:rPr>
      </w: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65"/>
      <w:bookmarkEnd w:id="65"/>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1985"/>
        <w:gridCol w:w="1985"/>
        <w:gridCol w:w="1134"/>
        <w:gridCol w:w="1211"/>
        <w:gridCol w:w="1268"/>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30"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公司承诺不为激励对象 依本激励计划获取有关 权益提供贷款以及其他 </w:t>
            </w:r>
            <w:r>
              <w:rPr>
                <w:rFonts w:ascii="宋体" w:hAnsi="宋体" w:cs="宋体" w:eastAsia="宋体" w:hint="default"/>
                <w:spacing w:val="-5"/>
                <w:sz w:val="18"/>
                <w:szCs w:val="18"/>
              </w:rPr>
              <w:t>任何形式的财务资助，包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括为其贷款提供担保。</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激励计划实施 期间</w:t>
            </w:r>
          </w:p>
        </w:tc>
        <w:tc>
          <w:tcPr>
            <w:tcW w:w="126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5"/>
              <w:jc w:val="left"/>
              <w:rPr>
                <w:rFonts w:ascii="宋体" w:hAnsi="宋体" w:cs="宋体" w:eastAsia="宋体" w:hint="default"/>
                <w:sz w:val="18"/>
                <w:szCs w:val="18"/>
              </w:rPr>
            </w:pPr>
            <w:r>
              <w:rPr>
                <w:rFonts w:ascii="宋体" w:hAnsi="宋体" w:cs="宋体" w:eastAsia="宋体" w:hint="default"/>
                <w:sz w:val="18"/>
                <w:szCs w:val="18"/>
              </w:rPr>
              <w:t>截止报告期末， 公司遵守以上 </w:t>
            </w:r>
            <w:r>
              <w:rPr>
                <w:rFonts w:ascii="宋体" w:hAnsi="宋体" w:cs="宋体" w:eastAsia="宋体" w:hint="default"/>
                <w:spacing w:val="-7"/>
                <w:sz w:val="18"/>
                <w:szCs w:val="18"/>
              </w:rPr>
              <w:t>承诺，未发生违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反上述承诺的 情况。</w:t>
            </w: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985" w:type="dxa"/>
            <w:vMerge/>
            <w:tcBorders>
              <w:left w:val="single" w:sz="9" w:space="0" w:color="D2D2D2"/>
              <w:right w:val="single" w:sz="4" w:space="0" w:color="000000"/>
            </w:tcBorders>
          </w:tcPr>
          <w:p>
            <w:pPr/>
          </w:p>
        </w:tc>
        <w:tc>
          <w:tcPr>
            <w:tcW w:w="1985"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629"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vMerge/>
            <w:tcBorders>
              <w:left w:val="single" w:sz="9" w:space="0" w:color="D2D2D2"/>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985" w:type="dxa"/>
            <w:tcBorders>
              <w:top w:val="single" w:sz="4" w:space="0" w:color="000000"/>
              <w:left w:val="single" w:sz="9"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冯军、李岩、深圳弘道天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瑞投资有限责任公司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60" w:lineRule="auto"/>
              <w:ind w:left="22" w:right="87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股份限售承诺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公司上述股东 均遵守以上承 </w:t>
            </w:r>
            <w:r>
              <w:rPr>
                <w:rFonts w:ascii="宋体" w:hAnsi="宋体" w:cs="宋体" w:eastAsia="宋体" w:hint="default"/>
                <w:spacing w:val="-7"/>
                <w:sz w:val="18"/>
                <w:szCs w:val="18"/>
              </w:rPr>
              <w:t>诺，未发生违反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况。</w:t>
            </w:r>
          </w:p>
        </w:tc>
      </w:tr>
      <w:tr>
        <w:trPr>
          <w:trHeight w:val="1142"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冯军、李岩</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30"/>
              <w:jc w:val="left"/>
              <w:rPr>
                <w:rFonts w:ascii="Times New Roman" w:hAnsi="Times New Roman" w:cs="Times New Roman" w:eastAsia="Times New Roman" w:hint="default"/>
                <w:sz w:val="18"/>
                <w:szCs w:val="18"/>
              </w:rPr>
            </w:pPr>
            <w:r>
              <w:rPr>
                <w:rFonts w:ascii="宋体" w:hAnsi="宋体" w:cs="宋体" w:eastAsia="宋体" w:hint="default"/>
                <w:sz w:val="18"/>
                <w:szCs w:val="18"/>
              </w:rPr>
              <w:t>业绩承诺及补偿安排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公司上述股东 均遵守以上承 </w:t>
            </w:r>
            <w:r>
              <w:rPr>
                <w:rFonts w:ascii="宋体" w:hAnsi="宋体" w:cs="宋体" w:eastAsia="宋体" w:hint="default"/>
                <w:spacing w:val="-7"/>
                <w:sz w:val="18"/>
                <w:szCs w:val="18"/>
              </w:rPr>
              <w:t>诺，未发生违反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况。</w:t>
            </w:r>
          </w:p>
        </w:tc>
      </w:tr>
      <w:tr>
        <w:trPr>
          <w:trHeight w:val="392"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985" w:type="dxa"/>
            <w:vMerge/>
            <w:tcBorders>
              <w:left w:val="single" w:sz="9" w:space="0" w:color="D2D2D2"/>
              <w:right w:val="single" w:sz="4" w:space="0" w:color="000000"/>
            </w:tcBorders>
          </w:tcPr>
          <w:p>
            <w:pPr/>
          </w:p>
        </w:tc>
        <w:tc>
          <w:tcPr>
            <w:tcW w:w="1985"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115"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985" w:type="dxa"/>
            <w:vMerge/>
            <w:tcBorders>
              <w:left w:val="single" w:sz="9" w:space="0" w:color="D2D2D2"/>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1650" w:hRule="exact"/>
        </w:trPr>
        <w:tc>
          <w:tcPr>
            <w:tcW w:w="1985" w:type="dxa"/>
            <w:vMerge/>
            <w:tcBorders>
              <w:left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冯军、李岩、深圳弘道天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瑞投资有限责任公司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30"/>
              <w:jc w:val="left"/>
              <w:rPr>
                <w:rFonts w:ascii="Times New Roman" w:hAnsi="Times New Roman" w:cs="Times New Roman" w:eastAsia="Times New Roman" w:hint="default"/>
                <w:sz w:val="18"/>
                <w:szCs w:val="18"/>
              </w:rPr>
            </w:pPr>
            <w:r>
              <w:rPr>
                <w:rFonts w:ascii="宋体" w:hAnsi="宋体" w:cs="宋体" w:eastAsia="宋体" w:hint="default"/>
                <w:sz w:val="18"/>
                <w:szCs w:val="18"/>
              </w:rPr>
              <w:t>避免关联交易的承诺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公司上述股东 均遵守以上承 </w:t>
            </w:r>
            <w:r>
              <w:rPr>
                <w:rFonts w:ascii="宋体" w:hAnsi="宋体" w:cs="宋体" w:eastAsia="宋体" w:hint="default"/>
                <w:spacing w:val="-7"/>
                <w:sz w:val="18"/>
                <w:szCs w:val="18"/>
              </w:rPr>
              <w:t>诺，未发生违反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况。</w:t>
            </w:r>
          </w:p>
        </w:tc>
      </w:tr>
      <w:tr>
        <w:trPr>
          <w:trHeight w:val="1027"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冯军、李岩、深圳弘道天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瑞投资有限责任公司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30"/>
              <w:jc w:val="left"/>
              <w:rPr>
                <w:rFonts w:ascii="Times New Roman" w:hAnsi="Times New Roman" w:cs="Times New Roman" w:eastAsia="Times New Roman" w:hint="default"/>
                <w:sz w:val="18"/>
                <w:szCs w:val="18"/>
              </w:rPr>
            </w:pPr>
            <w:r>
              <w:rPr>
                <w:rFonts w:ascii="宋体" w:hAnsi="宋体" w:cs="宋体" w:eastAsia="宋体" w:hint="default"/>
                <w:sz w:val="18"/>
                <w:szCs w:val="18"/>
              </w:rPr>
              <w:t>避免同业竞争的承诺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公司上述股东 均遵守以上承 </w:t>
            </w:r>
            <w:r>
              <w:rPr>
                <w:rFonts w:ascii="宋体" w:hAnsi="宋体" w:cs="宋体" w:eastAsia="宋体" w:hint="default"/>
                <w:spacing w:val="-7"/>
                <w:sz w:val="18"/>
                <w:szCs w:val="18"/>
              </w:rPr>
              <w:t>诺，未发生违反</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5"/>
        <w:gridCol w:w="1985"/>
        <w:gridCol w:w="1985"/>
        <w:gridCol w:w="1134"/>
        <w:gridCol w:w="1211"/>
        <w:gridCol w:w="1268"/>
      </w:tblGrid>
      <w:tr>
        <w:trPr>
          <w:trHeight w:val="674"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5"/>
              <w:jc w:val="left"/>
              <w:rPr>
                <w:rFonts w:ascii="宋体" w:hAnsi="宋体" w:cs="宋体" w:eastAsia="宋体" w:hint="default"/>
                <w:sz w:val="18"/>
                <w:szCs w:val="18"/>
              </w:rPr>
            </w:pPr>
            <w:r>
              <w:rPr>
                <w:rFonts w:ascii="宋体" w:hAnsi="宋体" w:cs="宋体" w:eastAsia="宋体" w:hint="default"/>
                <w:sz w:val="18"/>
                <w:szCs w:val="18"/>
              </w:rPr>
              <w:t>上述承诺的情 况。</w:t>
            </w:r>
          </w:p>
        </w:tc>
      </w:tr>
      <w:tr>
        <w:trPr>
          <w:trHeight w:val="289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上市前股东、共同实际控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（一）公司股票上市前股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东所持股份的流通限制 和自愿锁定股份的承诺</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19" w:lineRule="auto" w:before="101"/>
              <w:ind w:left="22" w:right="22"/>
              <w:jc w:val="left"/>
              <w:rPr>
                <w:rFonts w:ascii="宋体" w:hAnsi="宋体" w:cs="宋体" w:eastAsia="宋体" w:hint="default"/>
                <w:sz w:val="18"/>
                <w:szCs w:val="18"/>
              </w:rPr>
            </w:pPr>
            <w:r>
              <w:rPr>
                <w:rFonts w:ascii="宋体" w:hAnsi="宋体" w:cs="宋体" w:eastAsia="宋体" w:hint="default"/>
                <w:spacing w:val="-5"/>
                <w:sz w:val="18"/>
                <w:szCs w:val="18"/>
              </w:rPr>
              <w:t>（二）避免同业竞争的承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（一）公司股 票上市前股东 所持股份的流 通限制和自愿 锁定股份的承 诺：三十六个 </w:t>
            </w:r>
            <w:r>
              <w:rPr>
                <w:rFonts w:ascii="宋体" w:hAnsi="宋体" w:cs="宋体" w:eastAsia="宋体" w:hint="default"/>
                <w:spacing w:val="-16"/>
                <w:sz w:val="18"/>
                <w:szCs w:val="18"/>
              </w:rPr>
              <w:t>月；（二）避免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同业竞争的承 诺：长期。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截止报告期末， 公司上述股东 均遵守以上承 </w:t>
            </w:r>
            <w:r>
              <w:rPr>
                <w:rFonts w:ascii="宋体" w:hAnsi="宋体" w:cs="宋体" w:eastAsia="宋体" w:hint="default"/>
                <w:spacing w:val="-7"/>
                <w:sz w:val="18"/>
                <w:szCs w:val="18"/>
              </w:rPr>
              <w:t>诺，未发生违反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况。</w:t>
            </w:r>
          </w:p>
        </w:tc>
      </w:tr>
      <w:tr>
        <w:trPr>
          <w:trHeight w:val="258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2" w:right="-28"/>
              <w:jc w:val="left"/>
              <w:rPr>
                <w:rFonts w:ascii="宋体" w:hAnsi="宋体" w:cs="宋体" w:eastAsia="宋体" w:hint="default"/>
                <w:sz w:val="18"/>
                <w:szCs w:val="18"/>
              </w:rPr>
            </w:pPr>
            <w:r>
              <w:rPr>
                <w:rFonts w:ascii="宋体" w:hAnsi="宋体" w:cs="宋体" w:eastAsia="宋体" w:hint="default"/>
                <w:sz w:val="18"/>
                <w:szCs w:val="18"/>
              </w:rPr>
              <w:t>公司承诺在使用超募资 金补充流动资金后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5"/>
                <w:sz w:val="18"/>
                <w:szCs w:val="18"/>
              </w:rPr>
              <w:t>月内不进行证券投资、委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托理财、衍生品投资、创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业投资等高风险投资以 及为他人提供财务资助。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截止报告期末， 公司遵守以上 </w:t>
            </w:r>
            <w:r>
              <w:rPr>
                <w:rFonts w:ascii="宋体" w:hAnsi="宋体" w:cs="宋体" w:eastAsia="宋体" w:hint="default"/>
                <w:spacing w:val="-7"/>
                <w:sz w:val="18"/>
                <w:szCs w:val="18"/>
              </w:rPr>
              <w:t>承诺，未发生违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反上述承诺的 </w:t>
            </w:r>
            <w:r>
              <w:rPr>
                <w:rFonts w:ascii="宋体" w:hAnsi="宋体" w:cs="宋体" w:eastAsia="宋体" w:hint="default"/>
                <w:spacing w:val="-7"/>
                <w:sz w:val="18"/>
                <w:szCs w:val="18"/>
              </w:rPr>
              <w:t>情况。公司已于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319" w:lineRule="auto"/>
              <w:ind w:left="22" w:right="155"/>
              <w:jc w:val="left"/>
              <w:rPr>
                <w:rFonts w:ascii="宋体" w:hAnsi="宋体" w:cs="宋体" w:eastAsia="宋体" w:hint="default"/>
                <w:sz w:val="18"/>
                <w:szCs w:val="18"/>
              </w:rPr>
            </w:pPr>
            <w:r>
              <w:rPr>
                <w:rFonts w:ascii="宋体" w:hAnsi="宋体" w:cs="宋体" w:eastAsia="宋体" w:hint="default"/>
                <w:sz w:val="18"/>
                <w:szCs w:val="18"/>
              </w:rPr>
              <w:t>日履行完毕以 上承诺。</w:t>
            </w:r>
          </w:p>
        </w:tc>
      </w:tr>
    </w:tbl>
    <w:p>
      <w:pPr>
        <w:spacing w:line="240" w:lineRule="auto" w:before="9"/>
        <w:rPr>
          <w:rFonts w:ascii="宋体" w:hAnsi="宋体" w:cs="宋体" w:eastAsia="宋体" w:hint="default"/>
          <w:sz w:val="6"/>
          <w:szCs w:val="6"/>
        </w:rPr>
      </w:pPr>
    </w:p>
    <w:p>
      <w:pPr>
        <w:pStyle w:val="BodyText"/>
        <w:spacing w:line="240" w:lineRule="auto" w:before="44"/>
        <w:ind w:left="154" w:right="93"/>
        <w:jc w:val="left"/>
      </w:pPr>
      <w:r>
        <w:rPr/>
        <w:pict>
          <v:group style="position:absolute;margin-left:354.700012pt;margin-top:-51.668289pt;width:56.2pt;height:46.8pt;mso-position-horizontal-relative:page;mso-position-vertical-relative:paragraph;z-index:-755824" coordorigin="7094,-1033" coordsize="1124,936">
            <v:shape style="position:absolute;left:7094;top:-1033;width:1124;height:936" coordorigin="7094,-1033" coordsize="1124,936" path="m7094,-97l8218,-97,8218,-1033,7094,-1033,7094,-97xe" filled="true" fillcolor="#ffffff" stroked="false">
              <v:path arrowok="t"/>
              <v:fill type="solid"/>
            </v:shape>
            <w10:wrap type="none"/>
          </v:group>
        </w:pict>
      </w:r>
      <w:r>
        <w:rPr/>
        <w:t>注</w:t>
      </w:r>
      <w:r>
        <w:rPr>
          <w:spacing w:val="-46"/>
        </w:rPr>
        <w:t> </w:t>
      </w:r>
      <w:r>
        <w:rPr>
          <w:rFonts w:ascii="Times New Roman" w:hAnsi="Times New Roman" w:cs="Times New Roman" w:eastAsia="Times New Roman" w:hint="default"/>
        </w:rPr>
        <w:t>1</w:t>
      </w:r>
      <w:r>
        <w:rPr/>
        <w:t>：</w:t>
      </w:r>
    </w:p>
    <w:p>
      <w:pPr>
        <w:spacing w:line="240" w:lineRule="auto" w:before="9"/>
        <w:rPr>
          <w:rFonts w:ascii="宋体" w:hAnsi="宋体" w:cs="宋体" w:eastAsia="宋体" w:hint="default"/>
          <w:sz w:val="13"/>
          <w:szCs w:val="13"/>
        </w:rPr>
      </w:pPr>
    </w:p>
    <w:p>
      <w:pPr>
        <w:pStyle w:val="BodyText"/>
        <w:spacing w:line="477" w:lineRule="auto"/>
        <w:ind w:left="154" w:right="93" w:firstLine="360"/>
        <w:jc w:val="left"/>
      </w:pPr>
      <w:r>
        <w:rPr>
          <w:spacing w:val="-4"/>
        </w:rPr>
        <w:t>作为资产重组的交易对方，冯军、李岩及深圳弘道天瑞投资有限责任公司就本次交易对所获得的银之杰股票锁定期事宜，</w:t>
      </w:r>
      <w:r>
        <w:rPr/>
        <w:t> 承诺如下：</w:t>
      </w:r>
    </w:p>
    <w:p>
      <w:pPr>
        <w:pStyle w:val="BodyText"/>
        <w:spacing w:line="477" w:lineRule="auto" w:before="54"/>
        <w:ind w:left="154" w:right="272" w:firstLine="360"/>
        <w:jc w:val="left"/>
      </w:pPr>
      <w:r>
        <w:rPr/>
        <w:t>“自公司股票上市之日起三十六个月内，不转让或者委托他人管理其直接或者间接持有的公司本次发行前已发行的股 份，也不由公司回购其直接或者间接持有的公司本次发行前已发行的股份。</w:t>
      </w:r>
    </w:p>
    <w:p>
      <w:pPr>
        <w:pStyle w:val="BodyText"/>
        <w:spacing w:line="240" w:lineRule="auto" w:before="54"/>
        <w:ind w:left="513" w:right="93"/>
        <w:jc w:val="left"/>
      </w:pPr>
      <w:r>
        <w:rPr/>
        <w:t>前述期限届满且公司在指定媒体披露标的公司</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8"/>
        </w:rPr>
        <w:t> </w:t>
      </w:r>
      <w:r>
        <w:rPr/>
        <w:t>年度《专项审核报告》和《减值测试报告》后，本次向我们发行的</w:t>
      </w:r>
    </w:p>
    <w:p>
      <w:pPr>
        <w:spacing w:line="240" w:lineRule="auto" w:before="9"/>
        <w:rPr>
          <w:rFonts w:ascii="宋体" w:hAnsi="宋体" w:cs="宋体" w:eastAsia="宋体" w:hint="default"/>
          <w:sz w:val="16"/>
          <w:szCs w:val="16"/>
        </w:rPr>
      </w:pPr>
    </w:p>
    <w:p>
      <w:pPr>
        <w:pStyle w:val="BodyText"/>
        <w:spacing w:line="451" w:lineRule="auto"/>
        <w:ind w:left="154" w:right="173"/>
        <w:jc w:val="left"/>
      </w:pPr>
      <w:r>
        <w:rPr/>
        <w:t>全部股份扣减其各自累积应补偿的股份数后可解锁，扣减后我们各自可解锁的股份数量小于或等于</w:t>
      </w:r>
      <w:r>
        <w:rPr>
          <w:spacing w:val="-60"/>
        </w:rPr>
        <w:t> </w:t>
      </w:r>
      <w:r>
        <w:rPr>
          <w:rFonts w:ascii="Times New Roman" w:hAnsi="Times New Roman" w:cs="Times New Roman" w:eastAsia="Times New Roman" w:hint="default"/>
        </w:rPr>
        <w:t>0</w:t>
      </w:r>
      <w:r>
        <w:rPr>
          <w:rFonts w:ascii="Times New Roman" w:hAnsi="Times New Roman" w:cs="Times New Roman" w:eastAsia="Times New Roman" w:hint="default"/>
          <w:spacing w:val="-16"/>
        </w:rPr>
        <w:t> </w:t>
      </w:r>
      <w:r>
        <w:rPr>
          <w:spacing w:val="-5"/>
        </w:rPr>
        <w:t>的，则我们分别可解锁</w:t>
      </w:r>
      <w:r>
        <w:rPr/>
        <w:t> 的股份数为</w:t>
      </w:r>
      <w:r>
        <w:rPr>
          <w:spacing w:val="-46"/>
        </w:rPr>
        <w:t> </w:t>
      </w:r>
      <w:r>
        <w:rPr>
          <w:rFonts w:ascii="Times New Roman" w:hAnsi="Times New Roman" w:cs="Times New Roman" w:eastAsia="Times New Roman" w:hint="default"/>
          <w:spacing w:val="-60"/>
        </w:rPr>
        <w:t>0</w:t>
      </w:r>
      <w:r>
        <w:rPr>
          <w:spacing w:val="-60"/>
        </w:rPr>
        <w:t>。”</w:t>
      </w:r>
      <w:r>
        <w:rPr/>
      </w:r>
    </w:p>
    <w:p>
      <w:pPr>
        <w:pStyle w:val="BodyText"/>
        <w:spacing w:line="240" w:lineRule="auto" w:before="86"/>
        <w:ind w:left="154" w:right="93"/>
        <w:jc w:val="left"/>
      </w:pPr>
      <w:r>
        <w:rPr/>
        <w:t>注</w:t>
      </w:r>
      <w:r>
        <w:rPr>
          <w:spacing w:val="-46"/>
        </w:rPr>
        <w:t> </w:t>
      </w:r>
      <w:r>
        <w:rPr>
          <w:rFonts w:ascii="Times New Roman" w:hAnsi="Times New Roman" w:cs="Times New Roman" w:eastAsia="Times New Roman" w:hint="default"/>
        </w:rPr>
        <w:t>2</w:t>
      </w:r>
      <w:r>
        <w:rPr/>
        <w:t>：</w:t>
      </w:r>
    </w:p>
    <w:p>
      <w:pPr>
        <w:spacing w:line="240" w:lineRule="auto" w:before="10"/>
        <w:rPr>
          <w:rFonts w:ascii="宋体" w:hAnsi="宋体" w:cs="宋体" w:eastAsia="宋体" w:hint="default"/>
          <w:sz w:val="13"/>
          <w:szCs w:val="13"/>
        </w:rPr>
      </w:pPr>
    </w:p>
    <w:p>
      <w:pPr>
        <w:pStyle w:val="BodyText"/>
        <w:spacing w:line="477" w:lineRule="auto"/>
        <w:ind w:left="513" w:right="93"/>
        <w:jc w:val="left"/>
        <w:rPr>
          <w:rFonts w:ascii="Times New Roman" w:hAnsi="Times New Roman" w:cs="Times New Roman" w:eastAsia="Times New Roman" w:hint="default"/>
        </w:rPr>
      </w:pPr>
      <w:r>
        <w:rPr/>
        <w:t>作为资产重组的交易对方，冯军、李岩关于亿美软通的业绩承诺如下： </w:t>
      </w:r>
      <w:r>
        <w:rPr>
          <w:spacing w:val="-2"/>
        </w:rPr>
        <w:t>“亿美软通在盈利承诺期内实现的实际净利润数不低于亿美软通按照资产评估报告收益法预测的净利润数，其中，</w:t>
      </w:r>
      <w:r>
        <w:rPr>
          <w:rFonts w:ascii="Times New Roman" w:hAnsi="Times New Roman" w:cs="Times New Roman" w:eastAsia="Times New Roman" w:hint="default"/>
          <w:spacing w:val="-2"/>
        </w:rPr>
        <w:t>2014</w:t>
      </w:r>
    </w:p>
    <w:p>
      <w:pPr>
        <w:pStyle w:val="BodyText"/>
        <w:spacing w:line="451" w:lineRule="auto" w:before="21"/>
        <w:ind w:right="95"/>
        <w:jc w:val="left"/>
      </w:pPr>
      <w:r>
        <w:rPr/>
        <w:t>年度承诺净利润数不低于</w:t>
      </w:r>
      <w:r>
        <w:rPr>
          <w:spacing w:val="-46"/>
        </w:rPr>
        <w:t> </w:t>
      </w:r>
      <w:r>
        <w:rPr>
          <w:rFonts w:ascii="Times New Roman" w:hAnsi="Times New Roman" w:cs="Times New Roman" w:eastAsia="Times New Roman" w:hint="default"/>
        </w:rPr>
        <w:t>3840</w:t>
      </w:r>
      <w:r>
        <w:rPr>
          <w:rFonts w:ascii="Times New Roman" w:hAnsi="Times New Roman" w:cs="Times New Roman" w:eastAsia="Times New Roman" w:hint="default"/>
          <w:spacing w:val="-1"/>
        </w:rPr>
        <w:t> </w:t>
      </w:r>
      <w:r>
        <w:rPr>
          <w:spacing w:val="-6"/>
        </w:rPr>
        <w:t>万元、</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1"/>
        </w:rPr>
        <w:t> </w:t>
      </w:r>
      <w:r>
        <w:rPr/>
        <w:t>年度承诺净利润数不低于</w:t>
      </w:r>
      <w:r>
        <w:rPr>
          <w:spacing w:val="-46"/>
        </w:rPr>
        <w:t> </w:t>
      </w:r>
      <w:r>
        <w:rPr>
          <w:rFonts w:ascii="Times New Roman" w:hAnsi="Times New Roman" w:cs="Times New Roman" w:eastAsia="Times New Roman" w:hint="default"/>
        </w:rPr>
        <w:t>4800 </w:t>
      </w:r>
      <w:r>
        <w:rPr>
          <w:spacing w:val="-6"/>
        </w:rPr>
        <w:t>万元、</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1"/>
        </w:rPr>
        <w:t> </w:t>
      </w:r>
      <w:r>
        <w:rPr/>
        <w:t>年度承诺净利润数不低于</w:t>
      </w:r>
      <w:r>
        <w:rPr>
          <w:spacing w:val="-46"/>
        </w:rPr>
        <w:t> </w:t>
      </w:r>
      <w:r>
        <w:rPr>
          <w:rFonts w:ascii="Times New Roman" w:hAnsi="Times New Roman" w:cs="Times New Roman" w:eastAsia="Times New Roman" w:hint="default"/>
        </w:rPr>
        <w:t>6000 </w:t>
      </w:r>
      <w:r>
        <w:rPr>
          <w:spacing w:val="-23"/>
        </w:rPr>
        <w:t>万元。”</w:t>
      </w:r>
      <w:r>
        <w:rPr/>
        <w:t> 如果实际利润低于上述承诺利润，业绩补偿义务人冯军、李岩将按照《盈利预测补偿协议》的相关规定对公司进行补偿。</w:t>
      </w:r>
    </w:p>
    <w:p>
      <w:pPr>
        <w:pStyle w:val="BodyText"/>
        <w:spacing w:line="240" w:lineRule="auto" w:before="117"/>
        <w:ind w:right="93"/>
        <w:jc w:val="left"/>
      </w:pPr>
      <w:r>
        <w:rPr/>
        <w:t>注</w:t>
      </w:r>
      <w:r>
        <w:rPr>
          <w:spacing w:val="-46"/>
        </w:rPr>
        <w:t> </w:t>
      </w:r>
      <w:r>
        <w:rPr>
          <w:rFonts w:ascii="Times New Roman" w:hAnsi="Times New Roman" w:cs="Times New Roman" w:eastAsia="Times New Roman" w:hint="default"/>
        </w:rPr>
        <w:t>3</w:t>
      </w:r>
      <w:r>
        <w:rPr/>
        <w:t>：</w:t>
      </w:r>
    </w:p>
    <w:p>
      <w:pPr>
        <w:spacing w:line="240" w:lineRule="auto" w:before="9"/>
        <w:rPr>
          <w:rFonts w:ascii="宋体" w:hAnsi="宋体" w:cs="宋体" w:eastAsia="宋体" w:hint="default"/>
          <w:sz w:val="13"/>
          <w:szCs w:val="13"/>
        </w:rPr>
      </w:pPr>
    </w:p>
    <w:p>
      <w:pPr>
        <w:pStyle w:val="BodyText"/>
        <w:spacing w:line="477" w:lineRule="auto"/>
        <w:ind w:left="514" w:right="93"/>
        <w:jc w:val="left"/>
      </w:pPr>
      <w:r>
        <w:rPr>
          <w:spacing w:val="-4"/>
        </w:rPr>
        <w:t>为规范资产重组完成后的关联交易，作为资产重组的交易对方，冯军、李岩及深圳弘道天瑞投资有限责任公司承诺如下：</w:t>
      </w:r>
      <w:r>
        <w:rPr>
          <w:spacing w:val="-52"/>
        </w:rPr>
        <w:t> </w:t>
      </w:r>
      <w:r>
        <w:rPr>
          <w:spacing w:val="-52"/>
        </w:rPr>
      </w:r>
      <w:r>
        <w:rPr>
          <w:spacing w:val="-2"/>
        </w:rPr>
        <w:t>“</w:t>
      </w:r>
      <w:r>
        <w:rPr>
          <w:rFonts w:ascii="Times New Roman" w:hAnsi="Times New Roman" w:cs="Times New Roman" w:eastAsia="Times New Roman" w:hint="default"/>
          <w:spacing w:val="-2"/>
        </w:rPr>
        <w:t>1</w:t>
      </w:r>
      <w:r>
        <w:rPr>
          <w:spacing w:val="-2"/>
        </w:rPr>
        <w:t>、本次交易完成后，本人</w:t>
      </w:r>
      <w:r>
        <w:rPr>
          <w:rFonts w:ascii="Times New Roman" w:hAnsi="Times New Roman" w:cs="Times New Roman" w:eastAsia="Times New Roman" w:hint="default"/>
          <w:spacing w:val="-2"/>
        </w:rPr>
        <w:t>/</w:t>
      </w:r>
      <w:r>
        <w:rPr>
          <w:spacing w:val="-2"/>
        </w:rPr>
        <w:t>本公司及本人</w:t>
      </w:r>
      <w:r>
        <w:rPr>
          <w:rFonts w:ascii="Times New Roman" w:hAnsi="Times New Roman" w:cs="Times New Roman" w:eastAsia="Times New Roman" w:hint="default"/>
          <w:spacing w:val="-2"/>
        </w:rPr>
        <w:t>/</w:t>
      </w:r>
      <w:r>
        <w:rPr>
          <w:spacing w:val="-2"/>
        </w:rPr>
        <w:t>本公司对外投资的企业（包括但不限于直接持股、间接持股或委托持股）、</w:t>
      </w:r>
    </w:p>
    <w:p>
      <w:pPr>
        <w:spacing w:after="0" w:line="477"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191"/>
        <w:jc w:val="both"/>
      </w:pPr>
      <w:r>
        <w:rPr>
          <w:spacing w:val="-2"/>
        </w:rPr>
        <w:t>实际控制或担任董事、高级管理人员的企业将尽可能减少与银之杰及其下属公司（包括但不限于亿美软通）的关联交易，不</w:t>
      </w:r>
      <w:r>
        <w:rPr>
          <w:spacing w:val="-66"/>
        </w:rPr>
        <w:t> </w:t>
      </w:r>
      <w:r>
        <w:rPr>
          <w:spacing w:val="-66"/>
        </w:rPr>
      </w:r>
      <w:r>
        <w:rPr>
          <w:spacing w:val="-2"/>
        </w:rPr>
        <w:t>会利用自身作为银之杰股东之地位谋求与银之杰及其下属公司（包括但不限于亿美软通）在业务合作等方面给予优于市场第</w:t>
      </w:r>
      <w:r>
        <w:rPr>
          <w:spacing w:val="-64"/>
        </w:rPr>
        <w:t> </w:t>
      </w:r>
      <w:r>
        <w:rPr>
          <w:spacing w:val="-64"/>
        </w:rPr>
      </w:r>
      <w:r>
        <w:rPr>
          <w:spacing w:val="-2"/>
        </w:rPr>
        <w:t>三方的权利；不会利用自身作为银之杰股东之地位谋求与银之杰及其下属公司（包括但不限于亿美软通）达成交易的优先权</w:t>
      </w:r>
      <w:r>
        <w:rPr>
          <w:spacing w:val="-66"/>
        </w:rPr>
        <w:t> </w:t>
      </w:r>
      <w:r>
        <w:rPr>
          <w:spacing w:val="-66"/>
        </w:rPr>
      </w:r>
      <w:r>
        <w:rPr/>
        <w:t>利。</w:t>
      </w:r>
    </w:p>
    <w:p>
      <w:pPr>
        <w:pStyle w:val="BodyText"/>
        <w:spacing w:line="470" w:lineRule="auto" w:before="54"/>
        <w:ind w:right="93" w:firstLine="360"/>
        <w:jc w:val="left"/>
      </w:pPr>
      <w:r>
        <w:rPr>
          <w:rFonts w:ascii="Times New Roman" w:hAnsi="Times New Roman" w:cs="Times New Roman" w:eastAsia="Times New Roman" w:hint="default"/>
        </w:rPr>
        <w:t>2</w:t>
      </w:r>
      <w:r>
        <w:rPr/>
        <w:t>、若发生必要且不可避免的关联交易，本人</w:t>
      </w:r>
      <w:r>
        <w:rPr>
          <w:rFonts w:ascii="Times New Roman" w:hAnsi="Times New Roman" w:cs="Times New Roman" w:eastAsia="Times New Roman" w:hint="default"/>
        </w:rPr>
        <w:t>/</w:t>
      </w:r>
      <w:r>
        <w:rPr/>
        <w:t>本公司及本人</w:t>
      </w:r>
      <w:r>
        <w:rPr>
          <w:rFonts w:ascii="Times New Roman" w:hAnsi="Times New Roman" w:cs="Times New Roman" w:eastAsia="Times New Roman" w:hint="default"/>
        </w:rPr>
        <w:t>/</w:t>
      </w:r>
      <w:r>
        <w:rPr/>
        <w:t>本公司对外投资的企业（包括但不限于直接持股、间接持 </w:t>
      </w:r>
      <w:r>
        <w:rPr>
          <w:spacing w:val="-4"/>
        </w:rPr>
        <w:t>股或委托持股）、实际控制或担任董事、高级管理人员的企业将与银之杰及其下属公司（包括但不限于亿美软通）按照公平、</w:t>
      </w:r>
      <w:r>
        <w:rPr>
          <w:spacing w:val="-44"/>
        </w:rPr>
        <w:t> </w:t>
      </w:r>
      <w:r>
        <w:rPr>
          <w:spacing w:val="-44"/>
        </w:rPr>
      </w:r>
      <w:r>
        <w:rPr>
          <w:spacing w:val="-2"/>
        </w:rPr>
        <w:t>公允、等价有偿等原则依法签订协议，履行合法程序，并将按照有关法律法规和公司规定履行信息披露义务及相关内部决策</w:t>
      </w:r>
      <w:r>
        <w:rPr>
          <w:spacing w:val="-65"/>
        </w:rPr>
        <w:t> </w:t>
      </w:r>
      <w:r>
        <w:rPr>
          <w:spacing w:val="-65"/>
        </w:rPr>
      </w:r>
      <w:r>
        <w:rPr>
          <w:spacing w:val="-2"/>
        </w:rPr>
        <w:t>程序和回避制度，关联交易价格依照与无关联关系的独立第三方进行相同或相似交易时的价格确定，保证关联交易价格具有</w:t>
      </w:r>
      <w:r>
        <w:rPr>
          <w:spacing w:val="-64"/>
        </w:rPr>
        <w:t> </w:t>
      </w:r>
      <w:r>
        <w:rPr>
          <w:spacing w:val="-64"/>
        </w:rPr>
      </w:r>
      <w:r>
        <w:rPr/>
        <w:t>公允性，亦不利用该等交易从事任何损害银之杰及其股东的合法权益的行为。</w:t>
      </w:r>
    </w:p>
    <w:p>
      <w:pPr>
        <w:pStyle w:val="BodyText"/>
        <w:spacing w:line="463" w:lineRule="auto" w:before="59"/>
        <w:ind w:right="193" w:firstLine="360"/>
        <w:jc w:val="both"/>
      </w:pPr>
      <w:r>
        <w:rPr/>
        <w:t>本人</w:t>
      </w:r>
      <w:r>
        <w:rPr>
          <w:rFonts w:ascii="Times New Roman" w:hAnsi="Times New Roman" w:cs="Times New Roman" w:eastAsia="Times New Roman" w:hint="default"/>
        </w:rPr>
        <w:t>/</w:t>
      </w:r>
      <w:r>
        <w:rPr/>
        <w:t>本公司保证将依照公司规定参加股东大会，平等地行使相应权利，承担相应义务，不利用股东地位谋取不正当利 </w:t>
      </w:r>
      <w:r>
        <w:rPr>
          <w:spacing w:val="-2"/>
        </w:rPr>
        <w:t>益，不利用关联交易非法转移银之杰及其下属子公司（包括但不限于亿美软通）的资金、利润，保证不损害银之杰及其股东</w:t>
      </w:r>
      <w:r>
        <w:rPr>
          <w:spacing w:val="-66"/>
        </w:rPr>
        <w:t> </w:t>
      </w:r>
      <w:r>
        <w:rPr>
          <w:spacing w:val="-66"/>
        </w:rPr>
      </w:r>
      <w:r>
        <w:rPr/>
        <w:t>的合法权益。</w:t>
      </w:r>
    </w:p>
    <w:p>
      <w:pPr>
        <w:pStyle w:val="BodyText"/>
        <w:spacing w:line="491" w:lineRule="auto" w:before="65"/>
        <w:ind w:right="2073" w:firstLine="360"/>
        <w:jc w:val="left"/>
      </w:pPr>
      <w:r>
        <w:rPr>
          <w:spacing w:val="-3"/>
        </w:rPr>
        <w:t>若违反上述声明和保证，本人</w:t>
      </w:r>
      <w:r>
        <w:rPr>
          <w:rFonts w:ascii="Times New Roman" w:hAnsi="Times New Roman" w:cs="Times New Roman" w:eastAsia="Times New Roman" w:hint="default"/>
          <w:spacing w:val="-3"/>
        </w:rPr>
        <w:t>/</w:t>
      </w:r>
      <w:r>
        <w:rPr>
          <w:spacing w:val="-3"/>
        </w:rPr>
        <w:t>本公司将对前述行为给银之杰造成的损失向银之杰进行赔偿。”</w:t>
      </w:r>
      <w:r>
        <w:rPr/>
        <w:t> 注</w:t>
      </w:r>
      <w:r>
        <w:rPr>
          <w:spacing w:val="-46"/>
        </w:rPr>
        <w:t> </w:t>
      </w:r>
      <w:r>
        <w:rPr>
          <w:rFonts w:ascii="Times New Roman" w:hAnsi="Times New Roman" w:cs="Times New Roman" w:eastAsia="Times New Roman" w:hint="default"/>
        </w:rPr>
        <w:t>4</w:t>
      </w:r>
      <w:r>
        <w:rPr/>
        <w:t>：</w:t>
      </w:r>
    </w:p>
    <w:p>
      <w:pPr>
        <w:pStyle w:val="BodyText"/>
        <w:spacing w:line="205" w:lineRule="exact"/>
        <w:ind w:left="514" w:right="93"/>
        <w:jc w:val="left"/>
      </w:pPr>
      <w:r>
        <w:rPr/>
        <w:t>为了有效避免同业竞争，作为资产重组的交易对方，冯军、李岩及深圳弘道天瑞投资有限责任公司承诺如下：</w:t>
      </w:r>
    </w:p>
    <w:p>
      <w:pPr>
        <w:spacing w:line="240" w:lineRule="auto" w:before="10"/>
        <w:rPr>
          <w:rFonts w:ascii="宋体" w:hAnsi="宋体" w:cs="宋体" w:eastAsia="宋体" w:hint="default"/>
          <w:sz w:val="17"/>
          <w:szCs w:val="17"/>
        </w:rPr>
      </w:pPr>
    </w:p>
    <w:p>
      <w:pPr>
        <w:pStyle w:val="BodyText"/>
        <w:spacing w:line="468" w:lineRule="auto"/>
        <w:ind w:right="191" w:firstLine="360"/>
        <w:jc w:val="both"/>
      </w:pPr>
      <w:r>
        <w:rPr>
          <w:spacing w:val="-2"/>
        </w:rPr>
        <w:t>“</w:t>
      </w:r>
      <w:r>
        <w:rPr>
          <w:rFonts w:ascii="Times New Roman" w:hAnsi="Times New Roman" w:cs="Times New Roman" w:eastAsia="Times New Roman" w:hint="default"/>
          <w:spacing w:val="-2"/>
        </w:rPr>
        <w:t>1</w:t>
      </w:r>
      <w:r>
        <w:rPr>
          <w:spacing w:val="-2"/>
        </w:rPr>
        <w:t>、本人</w:t>
      </w:r>
      <w:r>
        <w:rPr>
          <w:rFonts w:ascii="Times New Roman" w:hAnsi="Times New Roman" w:cs="Times New Roman" w:eastAsia="Times New Roman" w:hint="default"/>
          <w:spacing w:val="-2"/>
        </w:rPr>
        <w:t>/</w:t>
      </w:r>
      <w:r>
        <w:rPr>
          <w:spacing w:val="-2"/>
        </w:rPr>
        <w:t>本公司（包括本人</w:t>
      </w:r>
      <w:r>
        <w:rPr>
          <w:rFonts w:ascii="Times New Roman" w:hAnsi="Times New Roman" w:cs="Times New Roman" w:eastAsia="Times New Roman" w:hint="default"/>
          <w:spacing w:val="-2"/>
        </w:rPr>
        <w:t>/</w:t>
      </w:r>
      <w:r>
        <w:rPr>
          <w:spacing w:val="-2"/>
        </w:rPr>
        <w:t>本公司关联人，关联人定义同《深圳证券交易所创业板上市规则》）目前没有在中国境内</w:t>
      </w:r>
      <w:r>
        <w:rPr/>
        <w:t> </w:t>
      </w:r>
      <w:r>
        <w:rPr>
          <w:spacing w:val="-2"/>
        </w:rPr>
        <w:t>或境外单独或与其他自然人、法人、合伙企业或组织，以任何形式（包括但不限于通过独自经营、合资经营、联营、租赁经</w:t>
      </w:r>
      <w:r>
        <w:rPr>
          <w:spacing w:val="-72"/>
        </w:rPr>
        <w:t> </w:t>
      </w:r>
      <w:r>
        <w:rPr>
          <w:spacing w:val="-72"/>
        </w:rPr>
      </w:r>
      <w:r>
        <w:rPr>
          <w:spacing w:val="-2"/>
        </w:rPr>
        <w:t>营、承包经营、委托管理等方式拥有其他公司或企业的股权或权益等）直接或间接从事或参与任何对银之杰及亿美软通构成</w:t>
      </w:r>
      <w:r>
        <w:rPr>
          <w:spacing w:val="-66"/>
        </w:rPr>
        <w:t> </w:t>
      </w:r>
      <w:r>
        <w:rPr>
          <w:spacing w:val="-66"/>
        </w:rPr>
      </w:r>
      <w:r>
        <w:rPr/>
        <w:t>竞争的业务及活动，或拥有与银之杰及亿美软通存在竞争关系的任何经济实体、机构、经济组织的权益。</w:t>
      </w:r>
    </w:p>
    <w:p>
      <w:pPr>
        <w:pStyle w:val="BodyText"/>
        <w:spacing w:line="451" w:lineRule="auto" w:before="61"/>
        <w:ind w:left="154" w:right="191" w:firstLine="360"/>
        <w:jc w:val="both"/>
      </w:pPr>
      <w:r>
        <w:rPr>
          <w:rFonts w:ascii="Times New Roman" w:hAnsi="Times New Roman" w:cs="Times New Roman" w:eastAsia="Times New Roman" w:hint="default"/>
        </w:rPr>
        <w:t>2</w:t>
      </w:r>
      <w:r>
        <w:rPr/>
        <w:t>、在今后的业务中，本人</w:t>
      </w:r>
      <w:r>
        <w:rPr>
          <w:rFonts w:ascii="Times New Roman" w:hAnsi="Times New Roman" w:cs="Times New Roman" w:eastAsia="Times New Roman" w:hint="default"/>
        </w:rPr>
        <w:t>/</w:t>
      </w:r>
      <w:r>
        <w:rPr/>
        <w:t>本公司及本人</w:t>
      </w:r>
      <w:r>
        <w:rPr>
          <w:rFonts w:ascii="Times New Roman" w:hAnsi="Times New Roman" w:cs="Times New Roman" w:eastAsia="Times New Roman" w:hint="default"/>
        </w:rPr>
        <w:t>/</w:t>
      </w:r>
      <w:r>
        <w:rPr/>
        <w:t>本公司控制的其他企业不与银之杰及亿美软通业务产生同业竞争，即本人</w:t>
      </w:r>
      <w:r>
        <w:rPr>
          <w:rFonts w:ascii="Times New Roman" w:hAnsi="Times New Roman" w:cs="Times New Roman" w:eastAsia="Times New Roman" w:hint="default"/>
        </w:rPr>
        <w:t>/</w:t>
      </w:r>
      <w:r>
        <w:rPr/>
        <w:t>本 公司及其控制的其他企业（包括本人</w:t>
      </w:r>
      <w:r>
        <w:rPr>
          <w:rFonts w:ascii="Times New Roman" w:hAnsi="Times New Roman" w:cs="Times New Roman" w:eastAsia="Times New Roman" w:hint="default"/>
        </w:rPr>
        <w:t>/</w:t>
      </w:r>
      <w:r>
        <w:rPr/>
        <w:t>本公司及控制的其他企业全资、控股公司及本人</w:t>
      </w:r>
      <w:r>
        <w:rPr>
          <w:rFonts w:ascii="Times New Roman" w:hAnsi="Times New Roman" w:cs="Times New Roman" w:eastAsia="Times New Roman" w:hint="default"/>
        </w:rPr>
        <w:t>/</w:t>
      </w:r>
      <w:r>
        <w:rPr/>
        <w:t>本公司控制的其他企业对其具有实际 控制权的公司）不会以任何形式直接或间接的从事与银之杰及亿美软通业务相同或相似的业务。</w:t>
      </w:r>
    </w:p>
    <w:p>
      <w:pPr>
        <w:pStyle w:val="BodyText"/>
        <w:spacing w:line="451" w:lineRule="auto" w:before="74"/>
        <w:ind w:right="173" w:firstLine="360"/>
        <w:jc w:val="left"/>
      </w:pPr>
      <w:r>
        <w:rPr>
          <w:rFonts w:ascii="Times New Roman" w:hAnsi="Times New Roman" w:cs="Times New Roman" w:eastAsia="Times New Roman" w:hint="default"/>
        </w:rPr>
        <w:t>3</w:t>
      </w:r>
      <w:r>
        <w:rPr/>
        <w:t>、如银之杰或亿美软通认定本人</w:t>
      </w:r>
      <w:r>
        <w:rPr>
          <w:rFonts w:ascii="Times New Roman" w:hAnsi="Times New Roman" w:cs="Times New Roman" w:eastAsia="Times New Roman" w:hint="default"/>
        </w:rPr>
        <w:t>/</w:t>
      </w:r>
      <w:r>
        <w:rPr/>
        <w:t>本公司及本人</w:t>
      </w:r>
      <w:r>
        <w:rPr>
          <w:rFonts w:ascii="Times New Roman" w:hAnsi="Times New Roman" w:cs="Times New Roman" w:eastAsia="Times New Roman" w:hint="default"/>
        </w:rPr>
        <w:t>/</w:t>
      </w:r>
      <w:r>
        <w:rPr/>
        <w:t>本公司控制的其他企业现有业务或将来产生的业务与银之杰或亿美软 通业务存在同业竞争，则本人</w:t>
      </w:r>
      <w:r>
        <w:rPr>
          <w:rFonts w:ascii="Times New Roman" w:hAnsi="Times New Roman" w:cs="Times New Roman" w:eastAsia="Times New Roman" w:hint="default"/>
        </w:rPr>
        <w:t>/</w:t>
      </w:r>
      <w:r>
        <w:rPr/>
        <w:t>本公司及本人</w:t>
      </w:r>
      <w:r>
        <w:rPr>
          <w:rFonts w:ascii="Times New Roman" w:hAnsi="Times New Roman" w:cs="Times New Roman" w:eastAsia="Times New Roman" w:hint="default"/>
        </w:rPr>
        <w:t>/</w:t>
      </w:r>
      <w:r>
        <w:rPr/>
        <w:t>本公司控制的其他企业将在银之杰或亿美软通提出异议后及时转让或终止该业 务。</w:t>
      </w:r>
    </w:p>
    <w:p>
      <w:pPr>
        <w:pStyle w:val="BodyText"/>
        <w:spacing w:line="451" w:lineRule="auto" w:before="74"/>
        <w:ind w:right="83" w:firstLine="360"/>
        <w:jc w:val="left"/>
      </w:pPr>
      <w:r>
        <w:rPr>
          <w:rFonts w:ascii="Times New Roman" w:hAnsi="Times New Roman" w:cs="Times New Roman" w:eastAsia="Times New Roman" w:hint="default"/>
        </w:rPr>
        <w:t>4</w:t>
      </w:r>
      <w:r>
        <w:rPr/>
        <w:t>、本人</w:t>
      </w:r>
      <w:r>
        <w:rPr>
          <w:rFonts w:ascii="Times New Roman" w:hAnsi="Times New Roman" w:cs="Times New Roman" w:eastAsia="Times New Roman" w:hint="default"/>
        </w:rPr>
        <w:t>/</w:t>
      </w:r>
      <w:r>
        <w:rPr/>
        <w:t>本公司及本人</w:t>
      </w:r>
      <w:r>
        <w:rPr>
          <w:rFonts w:ascii="Times New Roman" w:hAnsi="Times New Roman" w:cs="Times New Roman" w:eastAsia="Times New Roman" w:hint="default"/>
        </w:rPr>
        <w:t>/</w:t>
      </w:r>
      <w:r>
        <w:rPr/>
        <w:t>本公司控制的其他企业保证严格遵守公司章程的规定，不利用股东、实际控制人、董事、监事、 高级管理人员的地位谋求不当利益，不损害银之杰及亿美软通的合法权益。</w:t>
      </w:r>
    </w:p>
    <w:p>
      <w:pPr>
        <w:pStyle w:val="BodyText"/>
        <w:spacing w:line="451" w:lineRule="auto" w:before="74"/>
        <w:ind w:right="239" w:firstLine="360"/>
        <w:jc w:val="both"/>
      </w:pPr>
      <w:r>
        <w:rPr>
          <w:rFonts w:ascii="Times New Roman" w:hAnsi="Times New Roman" w:cs="Times New Roman" w:eastAsia="Times New Roman" w:hint="default"/>
        </w:rPr>
        <w:t>5</w:t>
      </w:r>
      <w:r>
        <w:rPr/>
        <w:t>、本承诺函自出具之日起至本人</w:t>
      </w:r>
      <w:r>
        <w:rPr>
          <w:rFonts w:ascii="Times New Roman" w:hAnsi="Times New Roman" w:cs="Times New Roman" w:eastAsia="Times New Roman" w:hint="default"/>
        </w:rPr>
        <w:t>/</w:t>
      </w:r>
      <w:r>
        <w:rPr/>
        <w:t>本公司获得的银之杰股份全部解锁前及之后三年内具有法律效力，构成对本人</w:t>
      </w:r>
      <w:r>
        <w:rPr>
          <w:rFonts w:ascii="Times New Roman" w:hAnsi="Times New Roman" w:cs="Times New Roman" w:eastAsia="Times New Roman" w:hint="default"/>
        </w:rPr>
        <w:t>/</w:t>
      </w:r>
      <w:r>
        <w:rPr/>
        <w:t>本公 司及本人</w:t>
      </w:r>
      <w:r>
        <w:rPr>
          <w:rFonts w:ascii="Times New Roman" w:hAnsi="Times New Roman" w:cs="Times New Roman" w:eastAsia="Times New Roman" w:hint="default"/>
        </w:rPr>
        <w:t>/</w:t>
      </w:r>
      <w:r>
        <w:rPr/>
        <w:t>本公司控制的其他企业具有法律约束力的法律文件，如有违反，所得利益归银之杰所有，如给银之杰或亿美软通 </w:t>
      </w:r>
      <w:r>
        <w:rPr>
          <w:spacing w:val="-3"/>
        </w:rPr>
        <w:t>造成损失，本人</w:t>
      </w:r>
      <w:r>
        <w:rPr>
          <w:rFonts w:ascii="Times New Roman" w:hAnsi="Times New Roman" w:cs="Times New Roman" w:eastAsia="Times New Roman" w:hint="default"/>
          <w:spacing w:val="-3"/>
        </w:rPr>
        <w:t>/</w:t>
      </w:r>
      <w:r>
        <w:rPr>
          <w:spacing w:val="-3"/>
        </w:rPr>
        <w:t>本公司及本人</w:t>
      </w:r>
      <w:r>
        <w:rPr>
          <w:rFonts w:ascii="Times New Roman" w:hAnsi="Times New Roman" w:cs="Times New Roman" w:eastAsia="Times New Roman" w:hint="default"/>
          <w:spacing w:val="-3"/>
        </w:rPr>
        <w:t>/</w:t>
      </w:r>
      <w:r>
        <w:rPr>
          <w:spacing w:val="-3"/>
        </w:rPr>
        <w:t>本公司控制的其他企业承诺将承担相应的法律责任。”</w:t>
      </w:r>
    </w:p>
    <w:p>
      <w:pPr>
        <w:spacing w:after="0" w:line="451" w:lineRule="auto"/>
        <w:jc w:val="both"/>
        <w:sectPr>
          <w:pgSz w:w="11910" w:h="16840"/>
          <w:pgMar w:header="877" w:footer="979" w:top="1100" w:bottom="1160" w:left="980" w:right="94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注</w:t>
      </w:r>
      <w:r>
        <w:rPr>
          <w:spacing w:val="-46"/>
        </w:rPr>
        <w:t> </w:t>
      </w:r>
      <w:r>
        <w:rPr>
          <w:rFonts w:ascii="Times New Roman" w:hAnsi="Times New Roman" w:cs="Times New Roman" w:eastAsia="Times New Roman" w:hint="default"/>
        </w:rPr>
        <w:t>5</w:t>
      </w:r>
      <w:r>
        <w:rPr/>
        <w:t>：</w:t>
      </w:r>
    </w:p>
    <w:p>
      <w:pPr>
        <w:spacing w:line="240" w:lineRule="auto" w:before="9"/>
        <w:rPr>
          <w:rFonts w:ascii="宋体" w:hAnsi="宋体" w:cs="宋体" w:eastAsia="宋体" w:hint="default"/>
          <w:sz w:val="13"/>
          <w:szCs w:val="13"/>
        </w:rPr>
      </w:pPr>
    </w:p>
    <w:p>
      <w:pPr>
        <w:pStyle w:val="BodyText"/>
        <w:spacing w:line="463" w:lineRule="auto"/>
        <w:ind w:left="154" w:right="0" w:firstLine="360"/>
        <w:jc w:val="left"/>
      </w:pPr>
      <w:r>
        <w:rPr>
          <w:rFonts w:ascii="Times New Roman" w:hAnsi="Times New Roman" w:cs="Times New Roman" w:eastAsia="Times New Roman" w:hint="default"/>
        </w:rPr>
        <w:t>1</w:t>
      </w:r>
      <w:r>
        <w:rPr/>
        <w:t>．本公司持有公司股份</w:t>
      </w:r>
      <w:r>
        <w:rPr>
          <w:spacing w:val="-46"/>
        </w:rPr>
        <w:t> </w:t>
      </w:r>
      <w:r>
        <w:rPr>
          <w:rFonts w:ascii="Times New Roman" w:hAnsi="Times New Roman" w:cs="Times New Roman" w:eastAsia="Times New Roman" w:hint="default"/>
        </w:rPr>
        <w:t>5%</w:t>
      </w:r>
      <w:r>
        <w:rPr/>
        <w:t>以上的股东作为公司董事或高级管理人员，张学君、陈向军、李军、何晔承诺：三十六个 </w:t>
      </w:r>
      <w:r>
        <w:rPr>
          <w:spacing w:val="-2"/>
        </w:rPr>
        <w:t>月的锁定期满后，在本人任职期间，每年转让所持有的公司股份不超过本人所持公司股份数的百分之二十五；本人离职后半</w:t>
      </w:r>
      <w:r>
        <w:rPr>
          <w:spacing w:val="-66"/>
        </w:rPr>
        <w:t> </w:t>
      </w:r>
      <w:r>
        <w:rPr>
          <w:spacing w:val="-66"/>
        </w:rPr>
      </w:r>
      <w:r>
        <w:rPr/>
        <w:t>年内，不转让所持有的公司股份。</w:t>
      </w:r>
    </w:p>
    <w:p>
      <w:pPr>
        <w:pStyle w:val="BodyText"/>
        <w:spacing w:line="451" w:lineRule="auto" w:before="65"/>
        <w:ind w:left="154" w:right="142" w:firstLine="360"/>
        <w:jc w:val="left"/>
      </w:pPr>
      <w:r>
        <w:rPr>
          <w:rFonts w:ascii="Times New Roman" w:hAnsi="Times New Roman" w:cs="Times New Roman" w:eastAsia="Times New Roman" w:hint="default"/>
        </w:rPr>
        <w:t>2</w:t>
      </w:r>
      <w:r>
        <w:rPr/>
        <w:t>．本公司监事周峰和李玟臻，高级管理人员刘奕、许秋江承诺：在本人任职期间每年转让所持有的公司股份不超过本 人所持公司股份总数的百分之二十五；本人离职后半年内，不转让所持有的公司股份。</w:t>
      </w:r>
    </w:p>
    <w:p>
      <w:pPr>
        <w:pStyle w:val="BodyText"/>
        <w:spacing w:line="240" w:lineRule="auto" w:before="117"/>
        <w:ind w:right="0"/>
        <w:jc w:val="left"/>
      </w:pPr>
      <w:r>
        <w:rPr/>
        <w:t>注</w:t>
      </w:r>
      <w:r>
        <w:rPr>
          <w:spacing w:val="-46"/>
        </w:rPr>
        <w:t> </w:t>
      </w:r>
      <w:r>
        <w:rPr>
          <w:rFonts w:ascii="Times New Roman" w:hAnsi="Times New Roman" w:cs="Times New Roman" w:eastAsia="Times New Roman" w:hint="default"/>
        </w:rPr>
        <w:t>6</w:t>
      </w:r>
      <w:r>
        <w:rPr/>
        <w:t>：</w:t>
      </w:r>
    </w:p>
    <w:p>
      <w:pPr>
        <w:spacing w:line="240" w:lineRule="auto" w:before="10"/>
        <w:rPr>
          <w:rFonts w:ascii="宋体" w:hAnsi="宋体" w:cs="宋体" w:eastAsia="宋体" w:hint="default"/>
          <w:sz w:val="13"/>
          <w:szCs w:val="13"/>
        </w:rPr>
      </w:pPr>
    </w:p>
    <w:p>
      <w:pPr>
        <w:pStyle w:val="BodyText"/>
        <w:spacing w:line="451" w:lineRule="auto"/>
        <w:ind w:left="514" w:right="142"/>
        <w:jc w:val="left"/>
      </w:pPr>
      <w:r>
        <w:rPr/>
        <w:t>公司共同控制人张学君、陈向军和李军，以及持有公司</w:t>
      </w:r>
      <w:r>
        <w:rPr>
          <w:spacing w:val="-45"/>
        </w:rPr>
        <w:t> </w:t>
      </w:r>
      <w:r>
        <w:rPr>
          <w:rFonts w:ascii="Times New Roman" w:hAnsi="Times New Roman" w:cs="Times New Roman" w:eastAsia="Times New Roman" w:hint="default"/>
        </w:rPr>
        <w:t>5%</w:t>
      </w:r>
      <w:r>
        <w:rPr/>
        <w:t>以上股份的股东何晔，就避免同业竞争作出了以下承诺： “</w:t>
      </w:r>
      <w:r>
        <w:rPr>
          <w:rFonts w:ascii="Times New Roman" w:hAnsi="Times New Roman" w:cs="Times New Roman" w:eastAsia="Times New Roman" w:hint="default"/>
        </w:rPr>
        <w:t>1</w:t>
      </w:r>
      <w:r>
        <w:rPr/>
        <w:t>、本人目前没有在中国境内任何地方或中国境外，直接或间接发展、经营或协助经营或参与与公司业务存在竞争的</w:t>
      </w:r>
    </w:p>
    <w:p>
      <w:pPr>
        <w:pStyle w:val="BodyText"/>
        <w:spacing w:line="240" w:lineRule="auto" w:before="43"/>
        <w:ind w:left="154" w:right="0"/>
        <w:jc w:val="left"/>
      </w:pPr>
      <w:r>
        <w:rPr/>
        <w:t>任何活动，亦没有在任何与公司业务有直接或间接竞争关系的公司或企业拥有任何直接或间接权益。</w:t>
      </w:r>
    </w:p>
    <w:p>
      <w:pPr>
        <w:spacing w:line="240" w:lineRule="auto" w:before="10"/>
        <w:rPr>
          <w:rFonts w:ascii="宋体" w:hAnsi="宋体" w:cs="宋体" w:eastAsia="宋体" w:hint="default"/>
          <w:sz w:val="17"/>
          <w:szCs w:val="17"/>
        </w:rPr>
      </w:pPr>
    </w:p>
    <w:p>
      <w:pPr>
        <w:pStyle w:val="BodyText"/>
        <w:spacing w:line="451" w:lineRule="auto"/>
        <w:ind w:left="154" w:right="142" w:firstLine="360"/>
        <w:jc w:val="left"/>
      </w:pPr>
      <w:r>
        <w:rPr>
          <w:rFonts w:ascii="Times New Roman" w:hAnsi="Times New Roman" w:cs="Times New Roman" w:eastAsia="Times New Roman" w:hint="default"/>
        </w:rPr>
        <w:t>2</w:t>
      </w:r>
      <w:r>
        <w:rPr/>
        <w:t>、自本承诺函签署之日起，本人将不直接或间接经营任何与股份公司经营的业务构成竞争或可能构成竞争的业务，也 不参与投资任何与股份公司生产的产品或经营的业务构成竞争或可能构成竞争的其他企业。</w:t>
      </w:r>
    </w:p>
    <w:p>
      <w:pPr>
        <w:pStyle w:val="BodyText"/>
        <w:spacing w:line="240" w:lineRule="auto" w:before="74"/>
        <w:ind w:left="513" w:right="0"/>
        <w:jc w:val="left"/>
      </w:pPr>
      <w:r>
        <w:rPr>
          <w:rFonts w:ascii="Times New Roman" w:hAnsi="Times New Roman" w:cs="Times New Roman" w:eastAsia="Times New Roman" w:hint="default"/>
        </w:rPr>
        <w:t>3</w:t>
      </w:r>
      <w:r>
        <w:rPr/>
        <w:t>、自本承诺函签署之日起，本人将不会利用公司股东的身份进行损害公司及其它股东利益的经营活动。</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4</w:t>
      </w:r>
      <w:r>
        <w:rPr/>
        <w:t>、如上述承诺被证明是不真实的或未被遵守，本人将向公司赔偿一切直接或间接的损失，并承担相应法律责任</w:t>
      </w:r>
      <w:r>
        <w:rPr>
          <w:spacing w:val="-90"/>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59" w:lineRule="auto"/>
        <w:ind w:left="153"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6"/>
        <w:gridCol w:w="1212"/>
        <w:gridCol w:w="1213"/>
        <w:gridCol w:w="1214"/>
        <w:gridCol w:w="1213"/>
        <w:gridCol w:w="1214"/>
        <w:gridCol w:w="1214"/>
        <w:gridCol w:w="1075"/>
      </w:tblGrid>
      <w:tr>
        <w:trPr>
          <w:trHeight w:val="714"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2" w:right="6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12" w:right="60"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1" w:right="83"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1962"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北京亿美软通 科技有限公司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75" w:right="0"/>
              <w:jc w:val="left"/>
              <w:rPr>
                <w:rFonts w:ascii="Times New Roman" w:hAnsi="Times New Roman" w:cs="Times New Roman" w:eastAsia="Times New Roman" w:hint="default"/>
                <w:sz w:val="18"/>
                <w:szCs w:val="18"/>
              </w:rPr>
            </w:pPr>
            <w:r>
              <w:rPr>
                <w:rFonts w:ascii="Times New Roman"/>
                <w:sz w:val="18"/>
              </w:rPr>
              <w:t>3,840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4,433.70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z w:val="18"/>
                  <w:szCs w:val="18"/>
                </w:rPr>
                <w:t>www.cninfo.c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om.cn</w:t>
            </w:r>
            <w:r>
              <w:rPr>
                <w:rFonts w:ascii="宋体" w:hAnsi="宋体" w:cs="宋体" w:eastAsia="宋体" w:hint="default"/>
                <w:spacing w:val="-17"/>
                <w:sz w:val="18"/>
                <w:szCs w:val="18"/>
              </w:rPr>
              <w:t>：《发行</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股份购买资</w:t>
            </w:r>
          </w:p>
          <w:p>
            <w:pPr>
              <w:pStyle w:val="TableParagraph"/>
              <w:spacing w:line="319" w:lineRule="auto" w:before="76"/>
              <w:ind w:left="22" w:right="23"/>
              <w:jc w:val="left"/>
              <w:rPr>
                <w:rFonts w:ascii="宋体" w:hAnsi="宋体" w:cs="宋体" w:eastAsia="宋体" w:hint="default"/>
                <w:sz w:val="18"/>
                <w:szCs w:val="18"/>
              </w:rPr>
            </w:pPr>
            <w:r>
              <w:rPr>
                <w:rFonts w:ascii="宋体" w:hAnsi="宋体" w:cs="宋体" w:eastAsia="宋体" w:hint="default"/>
                <w:spacing w:val="-11"/>
                <w:sz w:val="18"/>
                <w:szCs w:val="18"/>
              </w:rPr>
              <w:t>产报告书（草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0"/>
                <w:sz w:val="18"/>
                <w:szCs w:val="18"/>
              </w:rPr>
              <w:t>案）》</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九、聘任、解聘会计师事务所情况" w:id="67"/>
      <w:bookmarkEnd w:id="67"/>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梅月欣、蒙世权</w:t>
            </w:r>
          </w:p>
        </w:tc>
      </w:tr>
    </w:tbl>
    <w:p>
      <w:pPr>
        <w:pStyle w:val="BodyText"/>
        <w:spacing w:line="240" w:lineRule="auto" w:before="51"/>
        <w:ind w:left="154" w:right="0"/>
        <w:jc w:val="left"/>
      </w:pPr>
      <w:r>
        <w:rPr/>
        <w:t>是否改聘会计师事务所</w:t>
      </w:r>
    </w:p>
    <w:p>
      <w:pPr>
        <w:spacing w:after="0" w:line="240" w:lineRule="auto"/>
        <w:jc w:val="left"/>
        <w:sectPr>
          <w:footerReference w:type="default" r:id="rId15"/>
          <w:pgSz w:w="11910" w:h="16840"/>
          <w:pgMar w:footer="979" w:header="877" w:top="1100" w:bottom="1160" w:left="980" w:right="980"/>
          <w:pgNumType w:start="45"/>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73"/>
        <w:jc w:val="left"/>
        <w:rPr>
          <w:b w:val="0"/>
          <w:bCs w:val="0"/>
        </w:rPr>
      </w:pPr>
      <w:bookmarkStart w:name="十、上市公司及其董事、监事、高级管理人员、公司股东、实际控制人和收购人处罚及整改" w:id="68"/>
      <w:bookmarkEnd w:id="68"/>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8"/>
        <w:rPr>
          <w:rFonts w:ascii="宋体" w:hAnsi="宋体" w:cs="宋体" w:eastAsia="宋体" w:hint="default"/>
          <w:b/>
          <w:bCs/>
          <w:sz w:val="26"/>
          <w:szCs w:val="26"/>
        </w:rPr>
      </w:pPr>
    </w:p>
    <w:p>
      <w:pPr>
        <w:pStyle w:val="BodyText"/>
        <w:spacing w:line="489"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491" w:lineRule="auto" w:before="8"/>
        <w:ind w:left="154" w:right="5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489" w:lineRule="auto" w:before="6"/>
        <w:ind w:left="154" w:right="7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8"/>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一、公司股东及其一致行动人在报告期提出或实施股份增持计划的情况" w:id="69"/>
      <w:bookmarkEnd w:id="69"/>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41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十二、董事、监事、高级管理人员、持股5%以上的股东违规买卖公司股票情况" w:id="70"/>
      <w:bookmarkEnd w:id="70"/>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三、年度报告披露后面临暂停上市和终止上市情况" w:id="71"/>
      <w:bookmarkEnd w:id="7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72"/>
      <w:bookmarkEnd w:id="7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line="412" w:lineRule="auto" w:before="0"/>
        <w:ind w:left="515" w:right="5978"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公司参与发起设立财产保险公司的进展情况</w:t>
      </w:r>
      <w:r>
        <w:rPr>
          <w:rFonts w:ascii="宋体" w:hAnsi="宋体" w:cs="宋体" w:eastAsia="宋体" w:hint="default"/>
          <w:sz w:val="18"/>
          <w:szCs w:val="18"/>
        </w:rPr>
      </w:r>
    </w:p>
    <w:p>
      <w:pPr>
        <w:pStyle w:val="BodyText"/>
        <w:spacing w:line="458" w:lineRule="auto" w:before="103"/>
        <w:ind w:right="0"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日，公司召开了第三届董事会第四次会议，审议通过了《关于参与发起设立财产保险公司的议案》，同意公</w:t>
      </w:r>
      <w:r>
        <w:rPr/>
        <w:t> 司出资</w:t>
      </w:r>
      <w:r>
        <w:rPr>
          <w:rFonts w:ascii="Times New Roman" w:hAnsi="Times New Roman" w:cs="Times New Roman" w:eastAsia="Times New Roman" w:hint="default"/>
        </w:rPr>
        <w:t>1.5</w:t>
      </w:r>
      <w:r>
        <w:rPr/>
        <w:t>亿元人民币参与发起设立财产保险公司，出资后占财产保险公司注册资本的</w:t>
      </w:r>
      <w:r>
        <w:rPr>
          <w:rFonts w:ascii="Times New Roman" w:hAnsi="Times New Roman" w:cs="Times New Roman" w:eastAsia="Times New Roman" w:hint="default"/>
        </w:rPr>
        <w:t>15%</w:t>
      </w:r>
      <w:r>
        <w:rPr/>
        <w:t>（详细内容见公司在中国证监会 </w:t>
      </w:r>
      <w:r>
        <w:rPr>
          <w:spacing w:val="-3"/>
        </w:rPr>
        <w:t>指定信息披露网站巨潮资讯网上公布的相关公告）。由于财产保险公司的筹建、设立</w:t>
      </w:r>
      <w:r>
        <w:rPr>
          <w:rFonts w:ascii="Times New Roman" w:hAnsi="Times New Roman" w:cs="Times New Roman" w:eastAsia="Times New Roman" w:hint="default"/>
          <w:spacing w:val="-3"/>
        </w:rPr>
        <w:t>,</w:t>
      </w:r>
      <w:r>
        <w:rPr>
          <w:spacing w:val="-3"/>
        </w:rPr>
        <w:t>以及本公司作为出资人发起设立财产保</w:t>
      </w:r>
      <w:r>
        <w:rPr>
          <w:spacing w:val="-52"/>
        </w:rPr>
        <w:t> </w:t>
      </w:r>
      <w:r>
        <w:rPr>
          <w:spacing w:val="-2"/>
        </w:rPr>
        <w:t>险公司等事项均需经中国保险监督管理委员会批准或核准，目前，公司和其他发起合作方正在积极申请互联网财产保险公司</w:t>
      </w:r>
      <w:r>
        <w:rPr>
          <w:spacing w:val="-63"/>
        </w:rPr>
        <w:t> </w:t>
      </w:r>
      <w:r>
        <w:rPr>
          <w:spacing w:val="-63"/>
        </w:rPr>
      </w:r>
      <w:r>
        <w:rPr/>
        <w:t>的经营许可牌照，相关申报材料已报送保监会，尚在审核程序中。</w:t>
      </w:r>
    </w:p>
    <w:p>
      <w:pPr>
        <w:spacing w:after="0" w:line="458" w:lineRule="auto"/>
        <w:jc w:val="left"/>
        <w:sectPr>
          <w:pgSz w:w="11910" w:h="16840"/>
          <w:pgMar w:header="877" w:footer="979"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五、控股子公司重要事项" w:id="73"/>
      <w:bookmarkEnd w:id="73"/>
      <w:r>
        <w:rPr>
          <w:b w:val="0"/>
          <w:bCs w:val="0"/>
        </w:rPr>
      </w:r>
      <w:r>
        <w:rPr/>
        <w:t>十五、控股子公司重要事项</w:t>
      </w:r>
      <w:r>
        <w:rPr>
          <w:b w:val="0"/>
          <w:bCs w:val="0"/>
        </w:rPr>
      </w:r>
    </w:p>
    <w:p>
      <w:pPr>
        <w:spacing w:line="240" w:lineRule="auto" w:before="7"/>
        <w:rPr>
          <w:rFonts w:ascii="宋体" w:hAnsi="宋体" w:cs="宋体" w:eastAsia="宋体" w:hint="default"/>
          <w:b/>
          <w:bCs/>
          <w:sz w:val="26"/>
          <w:szCs w:val="26"/>
        </w:rPr>
      </w:pPr>
    </w:p>
    <w:p>
      <w:pPr>
        <w:spacing w:line="412" w:lineRule="auto" w:before="0"/>
        <w:ind w:left="515" w:right="2301"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w w:val="95"/>
          <w:sz w:val="18"/>
          <w:szCs w:val="18"/>
        </w:rPr>
        <w:t>公司全资子公司亿美软通与漳州片仔癀药业股份有限公司成立合资公司的进展情况</w:t>
      </w:r>
      <w:r>
        <w:rPr>
          <w:rFonts w:ascii="宋体" w:hAnsi="宋体" w:cs="宋体" w:eastAsia="宋体" w:hint="default"/>
          <w:sz w:val="18"/>
          <w:szCs w:val="18"/>
        </w:rPr>
      </w:r>
    </w:p>
    <w:p>
      <w:pPr>
        <w:pStyle w:val="BodyText"/>
        <w:spacing w:line="458" w:lineRule="auto" w:before="103"/>
        <w:ind w:right="152"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日，公司召开了第三届董事会第七次会议，审议通过了《关于公司与漳州片仔癀药业股份有限公司签署战 </w:t>
      </w:r>
      <w:r>
        <w:rPr>
          <w:spacing w:val="-5"/>
        </w:rPr>
        <w:t>略合作协议的议案》、《关于同意公司子公司对外投资的议案》，同意公司全资子公司亿美软通与漳州片仔癀药业股份有限公</w:t>
      </w:r>
      <w:r>
        <w:rPr>
          <w:spacing w:val="-85"/>
        </w:rPr>
        <w:t> </w:t>
      </w:r>
      <w:r>
        <w:rPr>
          <w:spacing w:val="-85"/>
        </w:rPr>
      </w:r>
      <w:r>
        <w:rPr>
          <w:spacing w:val="-2"/>
          <w:w w:val="99"/>
        </w:rPr>
        <w:t>司共同投资设立合资公司“福建片仔癀银之杰健康管理有限公司”，发展</w:t>
      </w:r>
      <w:r>
        <w:rPr>
          <w:rFonts w:ascii="Times New Roman" w:hAnsi="Times New Roman" w:cs="Times New Roman" w:eastAsia="Times New Roman" w:hint="default"/>
          <w:spacing w:val="-2"/>
          <w:w w:val="99"/>
        </w:rPr>
        <w:t>O2O</w:t>
      </w:r>
      <w:r>
        <w:rPr>
          <w:spacing w:val="-2"/>
          <w:w w:val="99"/>
        </w:rPr>
        <w:t>大健康产业平台及电子商务业务。合资公司注</w:t>
      </w:r>
      <w:r>
        <w:rPr>
          <w:spacing w:val="-70"/>
          <w:w w:val="99"/>
        </w:rPr>
        <w:t> </w:t>
      </w:r>
      <w:r>
        <w:rPr>
          <w:spacing w:val="-70"/>
          <w:w w:val="99"/>
        </w:rPr>
      </w:r>
      <w:r>
        <w:rPr/>
        <w:t>册资本为</w:t>
      </w:r>
      <w:r>
        <w:rPr>
          <w:rFonts w:ascii="Times New Roman" w:hAnsi="Times New Roman" w:cs="Times New Roman" w:eastAsia="Times New Roman" w:hint="default"/>
        </w:rPr>
        <w:t>2000</w:t>
      </w:r>
      <w:r>
        <w:rPr/>
        <w:t>万元人民币，其中公司全资子公司亿美软通出资</w:t>
      </w:r>
      <w:r>
        <w:rPr>
          <w:rFonts w:ascii="Times New Roman" w:hAnsi="Times New Roman" w:cs="Times New Roman" w:eastAsia="Times New Roman" w:hint="default"/>
        </w:rPr>
        <w:t>860</w:t>
      </w:r>
      <w:r>
        <w:rPr/>
        <w:t>万元，占合资公司</w:t>
      </w:r>
      <w:r>
        <w:rPr>
          <w:rFonts w:ascii="Times New Roman" w:hAnsi="Times New Roman" w:cs="Times New Roman" w:eastAsia="Times New Roman" w:hint="default"/>
        </w:rPr>
        <w:t>43%</w:t>
      </w:r>
      <w:r>
        <w:rPr/>
        <w:t>股权；漳州片仔癀药业股份有限公 </w:t>
      </w:r>
      <w:r>
        <w:rPr>
          <w:spacing w:val="-1"/>
        </w:rPr>
        <w:t>司出资</w:t>
      </w:r>
      <w:r>
        <w:rPr>
          <w:rFonts w:ascii="Times New Roman" w:hAnsi="Times New Roman" w:cs="Times New Roman" w:eastAsia="Times New Roman" w:hint="default"/>
          <w:spacing w:val="-1"/>
        </w:rPr>
        <w:t>900</w:t>
      </w:r>
      <w:r>
        <w:rPr>
          <w:spacing w:val="-1"/>
        </w:rPr>
        <w:t>万元，占合资公司</w:t>
      </w:r>
      <w:r>
        <w:rPr>
          <w:rFonts w:ascii="Times New Roman" w:hAnsi="Times New Roman" w:cs="Times New Roman" w:eastAsia="Times New Roman" w:hint="default"/>
          <w:spacing w:val="-1"/>
        </w:rPr>
        <w:t>45%</w:t>
      </w:r>
      <w:r>
        <w:rPr>
          <w:spacing w:val="-1"/>
        </w:rPr>
        <w:t>股权；合资公司管理团队出资</w:t>
      </w:r>
      <w:r>
        <w:rPr>
          <w:rFonts w:ascii="Times New Roman" w:hAnsi="Times New Roman" w:cs="Times New Roman" w:eastAsia="Times New Roman" w:hint="default"/>
          <w:spacing w:val="-1"/>
        </w:rPr>
        <w:t>240</w:t>
      </w:r>
      <w:r>
        <w:rPr>
          <w:spacing w:val="-1"/>
        </w:rPr>
        <w:t>万元，占合资公司</w:t>
      </w:r>
      <w:r>
        <w:rPr>
          <w:rFonts w:ascii="Times New Roman" w:hAnsi="Times New Roman" w:cs="Times New Roman" w:eastAsia="Times New Roman" w:hint="default"/>
          <w:spacing w:val="-1"/>
        </w:rPr>
        <w:t>12%</w:t>
      </w:r>
      <w:r>
        <w:rPr>
          <w:spacing w:val="-1"/>
        </w:rPr>
        <w:t>股权（详细内容见公司在中国证监</w:t>
      </w:r>
      <w:r>
        <w:rPr>
          <w:spacing w:val="-54"/>
        </w:rPr>
        <w:t> </w:t>
      </w:r>
      <w:r>
        <w:rPr>
          <w:spacing w:val="-54"/>
        </w:rPr>
      </w:r>
      <w:r>
        <w:rPr>
          <w:spacing w:val="-2"/>
        </w:rPr>
        <w:t>会指定信息披露网站巨潮资讯网上公布的相关公告）。合资公司于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日完成了工商注册登记手续。目前，合资公</w:t>
      </w:r>
      <w:r>
        <w:rPr>
          <w:spacing w:val="-64"/>
        </w:rPr>
        <w:t> </w:t>
      </w:r>
      <w:r>
        <w:rPr>
          <w:spacing w:val="-2"/>
        </w:rPr>
        <w:t>司正在依托亿美软通的移动商务数据库和互联网营销服务手段，结合片仔癀产品品牌效应，积极开展线上营销业务。“片仔</w:t>
      </w:r>
      <w:r>
        <w:rPr>
          <w:spacing w:val="-72"/>
        </w:rPr>
        <w:t> </w:t>
      </w:r>
      <w:r>
        <w:rPr>
          <w:spacing w:val="-72"/>
        </w:rPr>
      </w:r>
      <w:r>
        <w:rPr/>
        <w:t>癀微购”的微信公众营销平台已经建立并开通服务。</w:t>
      </w:r>
    </w:p>
    <w:p>
      <w:pPr>
        <w:spacing w:after="0" w:line="458" w:lineRule="auto"/>
        <w:jc w:val="both"/>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93"/>
        <w:jc w:val="left"/>
        <w:rPr>
          <w:b w:val="0"/>
          <w:bCs w:val="0"/>
        </w:rPr>
      </w:pPr>
      <w:bookmarkStart w:name="第六节 股份变动及股东情况" w:id="74"/>
      <w:bookmarkEnd w:id="74"/>
      <w:r>
        <w:rPr>
          <w:b w:val="0"/>
          <w:bCs w:val="0"/>
        </w:rPr>
      </w:r>
      <w:bookmarkStart w:name="_bookmark5" w:id="75"/>
      <w:bookmarkEnd w:id="7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3"/>
        <w:jc w:val="left"/>
        <w:rPr>
          <w:b w:val="0"/>
          <w:bCs w:val="0"/>
        </w:rPr>
      </w:pPr>
      <w:bookmarkStart w:name="一、股份变动情况" w:id="76"/>
      <w:bookmarkEnd w:id="7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3"/>
        <w:jc w:val="left"/>
        <w:rPr>
          <w:b w:val="0"/>
          <w:bCs w:val="0"/>
        </w:rPr>
      </w:pPr>
      <w:bookmarkStart w:name="1、股份变动情况" w:id="77"/>
      <w:bookmarkEnd w:id="7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2"/>
        <w:gridCol w:w="1004"/>
        <w:gridCol w:w="743"/>
        <w:gridCol w:w="958"/>
        <w:gridCol w:w="426"/>
        <w:gridCol w:w="992"/>
        <w:gridCol w:w="850"/>
        <w:gridCol w:w="993"/>
        <w:gridCol w:w="994"/>
        <w:gridCol w:w="708"/>
      </w:tblGrid>
      <w:tr>
        <w:trPr>
          <w:trHeight w:val="206"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1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4219" w:type="dxa"/>
            <w:gridSpan w:val="5"/>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743"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59,210,734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48.80%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21,082,219</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59,033,488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-1,197,246</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78,918,461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138,129,195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59,210,734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48.80%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21,082,219</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59,033,488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-1,197,246</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78,918,461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138,129,195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9" w:space="0" w:color="D2D2D2"/>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7,027,406</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7,027,406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7,027,406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59,210,734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48.80%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14,054,813</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59,033,488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-1,197,246</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71,891,055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131,101,789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62,119,266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51.20%</w:t>
            </w:r>
          </w:p>
        </w:tc>
        <w:tc>
          <w:tcPr>
            <w:tcW w:w="95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62,296,512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177,246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62,473,758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124,593,024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62,119,266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51.20%</w:t>
            </w:r>
          </w:p>
        </w:tc>
        <w:tc>
          <w:tcPr>
            <w:tcW w:w="95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62,296,512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177,246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62,473,758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124,593,024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121,330,000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21,082,219</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121,330,000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-1,020,000</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141,392,219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262,722,219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12"/>
          <w:szCs w:val="12"/>
        </w:rPr>
      </w:pPr>
    </w:p>
    <w:p>
      <w:pPr>
        <w:pStyle w:val="BodyText"/>
        <w:spacing w:line="240" w:lineRule="auto" w:before="44"/>
        <w:ind w:left="154" w:right="93"/>
        <w:jc w:val="left"/>
      </w:pPr>
      <w:r>
        <w:rPr/>
        <w:t>股份变动的原因</w:t>
      </w:r>
    </w:p>
    <w:p>
      <w:pPr>
        <w:spacing w:line="240" w:lineRule="auto" w:before="12"/>
        <w:rPr>
          <w:rFonts w:ascii="宋体" w:hAnsi="宋体" w:cs="宋体" w:eastAsia="宋体" w:hint="default"/>
          <w:sz w:val="14"/>
          <w:szCs w:val="14"/>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日，依照《深圳证券交易所创业板上市公司规范运作指引》的相关规定，解除高管锁定股</w:t>
      </w:r>
      <w:r>
        <w:rPr>
          <w:spacing w:val="-53"/>
        </w:rPr>
        <w:t> </w:t>
      </w:r>
      <w:r>
        <w:rPr>
          <w:rFonts w:ascii="Times New Roman" w:hAnsi="Times New Roman" w:cs="Times New Roman" w:eastAsia="Times New Roman" w:hint="default"/>
        </w:rPr>
        <w:t>177,246</w:t>
      </w:r>
      <w:r>
        <w:rPr>
          <w:rFonts w:ascii="Times New Roman" w:hAnsi="Times New Roman" w:cs="Times New Roman" w:eastAsia="Times New Roman" w:hint="default"/>
          <w:spacing w:val="-16"/>
        </w:rPr>
        <w:t> </w:t>
      </w:r>
      <w:r>
        <w:rPr/>
        <w:t>股。</w:t>
      </w:r>
    </w:p>
    <w:p>
      <w:pPr>
        <w:spacing w:line="240" w:lineRule="auto" w:before="9"/>
        <w:rPr>
          <w:rFonts w:ascii="宋体" w:hAnsi="宋体" w:cs="宋体" w:eastAsia="宋体" w:hint="default"/>
          <w:sz w:val="16"/>
          <w:szCs w:val="16"/>
        </w:rPr>
      </w:pPr>
    </w:p>
    <w:p>
      <w:pPr>
        <w:pStyle w:val="BodyText"/>
        <w:spacing w:line="240" w:lineRule="auto"/>
        <w:ind w:left="513" w:right="9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日，公司实施了</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年度利润分配和资本公积金转增股本方案，以公司总股本</w:t>
      </w:r>
      <w:r>
        <w:rPr>
          <w:spacing w:val="-45"/>
        </w:rPr>
        <w:t> </w:t>
      </w:r>
      <w:r>
        <w:rPr>
          <w:rFonts w:ascii="Times New Roman" w:hAnsi="Times New Roman" w:cs="Times New Roman" w:eastAsia="Times New Roman" w:hint="default"/>
        </w:rPr>
        <w:t>12,133</w:t>
      </w:r>
      <w:r>
        <w:rPr>
          <w:rFonts w:ascii="Times New Roman" w:hAnsi="Times New Roman" w:cs="Times New Roman" w:eastAsia="Times New Roman" w:hint="default"/>
          <w:spacing w:val="-9"/>
        </w:rPr>
        <w:t> </w:t>
      </w:r>
      <w:r>
        <w:rPr/>
        <w:t>万股为基数，</w:t>
      </w:r>
    </w:p>
    <w:p>
      <w:pPr>
        <w:spacing w:line="240" w:lineRule="auto" w:before="9"/>
        <w:rPr>
          <w:rFonts w:ascii="宋体" w:hAnsi="宋体" w:cs="宋体" w:eastAsia="宋体" w:hint="default"/>
          <w:sz w:val="16"/>
          <w:szCs w:val="16"/>
        </w:rPr>
      </w:pPr>
    </w:p>
    <w:p>
      <w:pPr>
        <w:pStyle w:val="BodyText"/>
        <w:spacing w:line="240" w:lineRule="auto"/>
        <w:ind w:right="93"/>
        <w:jc w:val="left"/>
      </w:pPr>
      <w:r>
        <w:rPr/>
        <w:t>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股派发现金红利</w:t>
      </w:r>
      <w:r>
        <w:rPr>
          <w:spacing w:val="-46"/>
        </w:rPr>
        <w:t> </w:t>
      </w:r>
      <w:r>
        <w:rPr>
          <w:rFonts w:ascii="Times New Roman" w:hAnsi="Times New Roman" w:cs="Times New Roman" w:eastAsia="Times New Roman" w:hint="default"/>
        </w:rPr>
        <w:t>0.5</w:t>
      </w:r>
      <w:r>
        <w:rPr>
          <w:rFonts w:ascii="Times New Roman" w:hAnsi="Times New Roman" w:cs="Times New Roman" w:eastAsia="Times New Roman" w:hint="default"/>
          <w:spacing w:val="-9"/>
        </w:rPr>
        <w:t> </w:t>
      </w:r>
      <w:r>
        <w:rPr/>
        <w:t>元（含税），同时以资本公积金向全体股东每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股转增</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股，共转增</w:t>
      </w:r>
      <w:r>
        <w:rPr>
          <w:spacing w:val="-46"/>
        </w:rPr>
        <w:t> </w:t>
      </w:r>
      <w:r>
        <w:rPr>
          <w:rFonts w:ascii="Times New Roman" w:hAnsi="Times New Roman" w:cs="Times New Roman" w:eastAsia="Times New Roman" w:hint="default"/>
        </w:rPr>
        <w:t>12,133</w:t>
      </w:r>
      <w:r>
        <w:rPr>
          <w:rFonts w:ascii="Times New Roman" w:hAnsi="Times New Roman" w:cs="Times New Roman" w:eastAsia="Times New Roman" w:hint="default"/>
          <w:spacing w:val="-9"/>
        </w:rPr>
        <w:t> </w:t>
      </w:r>
      <w:r>
        <w:rPr/>
        <w:t>万股，</w:t>
      </w:r>
    </w:p>
    <w:p>
      <w:pPr>
        <w:spacing w:line="240" w:lineRule="auto" w:before="9"/>
        <w:rPr>
          <w:rFonts w:ascii="宋体" w:hAnsi="宋体" w:cs="宋体" w:eastAsia="宋体" w:hint="default"/>
          <w:sz w:val="16"/>
          <w:szCs w:val="16"/>
        </w:rPr>
      </w:pPr>
    </w:p>
    <w:p>
      <w:pPr>
        <w:pStyle w:val="BodyText"/>
        <w:spacing w:line="240" w:lineRule="auto"/>
        <w:ind w:left="154" w:right="93"/>
        <w:jc w:val="left"/>
      </w:pPr>
      <w:r>
        <w:rPr/>
        <w:t>转增后公司总股本增加至</w:t>
      </w:r>
      <w:r>
        <w:rPr>
          <w:spacing w:val="-46"/>
        </w:rPr>
        <w:t> </w:t>
      </w:r>
      <w:r>
        <w:rPr>
          <w:rFonts w:ascii="Times New Roman" w:hAnsi="Times New Roman" w:cs="Times New Roman" w:eastAsia="Times New Roman" w:hint="default"/>
        </w:rPr>
        <w:t>24,266</w:t>
      </w:r>
      <w:r>
        <w:rPr>
          <w:rFonts w:ascii="Times New Roman" w:hAnsi="Times New Roman" w:cs="Times New Roman" w:eastAsia="Times New Roman" w:hint="default"/>
          <w:spacing w:val="-9"/>
        </w:rPr>
        <w:t> </w:t>
      </w:r>
      <w:r>
        <w:rPr/>
        <w:t>万股。</w:t>
      </w:r>
    </w:p>
    <w:p>
      <w:pPr>
        <w:spacing w:line="240" w:lineRule="auto" w:before="9"/>
        <w:rPr>
          <w:rFonts w:ascii="宋体" w:hAnsi="宋体" w:cs="宋体" w:eastAsia="宋体" w:hint="default"/>
          <w:sz w:val="16"/>
          <w:szCs w:val="16"/>
        </w:rPr>
      </w:pPr>
    </w:p>
    <w:p>
      <w:pPr>
        <w:pStyle w:val="BodyText"/>
        <w:spacing w:line="451" w:lineRule="auto"/>
        <w:ind w:right="192" w:firstLine="360"/>
        <w:jc w:val="both"/>
      </w:pPr>
      <w:r>
        <w:rPr>
          <w:rFonts w:ascii="Times New Roman" w:hAnsi="Times New Roman" w:cs="Times New Roman" w:eastAsia="Times New Roman" w:hint="default"/>
          <w:spacing w:val="-3"/>
        </w:rPr>
        <w:t>3</w:t>
      </w:r>
      <w:r>
        <w:rPr>
          <w:spacing w:val="-3"/>
        </w:rPr>
        <w:t>、报告期内，由于公司部分激励对象因个人原因离职已不符合激励条件，且公司 </w:t>
      </w:r>
      <w:r>
        <w:rPr>
          <w:rFonts w:ascii="Times New Roman" w:hAnsi="Times New Roman" w:cs="Times New Roman" w:eastAsia="Times New Roman" w:hint="default"/>
        </w:rPr>
        <w:t>2013</w:t>
      </w:r>
      <w:r>
        <w:rPr>
          <w:rFonts w:ascii="Times New Roman" w:hAnsi="Times New Roman" w:cs="Times New Roman" w:eastAsia="Times New Roman" w:hint="default"/>
          <w:spacing w:val="-20"/>
        </w:rPr>
        <w:t> </w:t>
      </w:r>
      <w:r>
        <w:rPr/>
        <w:t>年度业绩未能满足公司激励计划 规定的第一个行权</w:t>
      </w:r>
      <w:r>
        <w:rPr>
          <w:rFonts w:ascii="Times New Roman" w:hAnsi="Times New Roman" w:cs="Times New Roman" w:eastAsia="Times New Roman" w:hint="default"/>
        </w:rPr>
        <w:t>/</w:t>
      </w:r>
      <w:r>
        <w:rPr/>
        <w:t>解锁期的业绩考核条件，公司将激励计划中尚未解锁的限制性股票共计</w:t>
      </w:r>
      <w:r>
        <w:rPr>
          <w:spacing w:val="-45"/>
        </w:rPr>
        <w:t> </w:t>
      </w:r>
      <w:r>
        <w:rPr>
          <w:rFonts w:ascii="Times New Roman" w:hAnsi="Times New Roman" w:cs="Times New Roman" w:eastAsia="Times New Roman" w:hint="default"/>
        </w:rPr>
        <w:t>102</w:t>
      </w:r>
      <w:r>
        <w:rPr>
          <w:rFonts w:ascii="Times New Roman" w:hAnsi="Times New Roman" w:cs="Times New Roman" w:eastAsia="Times New Roman" w:hint="default"/>
          <w:spacing w:val="-9"/>
        </w:rPr>
        <w:t> </w:t>
      </w:r>
      <w:r>
        <w:rPr/>
        <w:t>万股进行回购注销。</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日，回购注销完成后，公司总股本由</w:t>
      </w:r>
      <w:r>
        <w:rPr>
          <w:spacing w:val="-46"/>
        </w:rPr>
        <w:t> </w:t>
      </w:r>
      <w:r>
        <w:rPr>
          <w:rFonts w:ascii="Times New Roman" w:hAnsi="Times New Roman" w:cs="Times New Roman" w:eastAsia="Times New Roman" w:hint="default"/>
        </w:rPr>
        <w:t>24,266</w:t>
      </w:r>
      <w:r>
        <w:rPr>
          <w:rFonts w:ascii="Times New Roman" w:hAnsi="Times New Roman" w:cs="Times New Roman" w:eastAsia="Times New Roman" w:hint="default"/>
          <w:spacing w:val="-9"/>
        </w:rPr>
        <w:t> </w:t>
      </w:r>
      <w:r>
        <w:rPr/>
        <w:t>万股减少至</w:t>
      </w:r>
      <w:r>
        <w:rPr>
          <w:spacing w:val="-46"/>
        </w:rPr>
        <w:t> </w:t>
      </w:r>
      <w:r>
        <w:rPr>
          <w:rFonts w:ascii="Times New Roman" w:hAnsi="Times New Roman" w:cs="Times New Roman" w:eastAsia="Times New Roman" w:hint="default"/>
        </w:rPr>
        <w:t>24,164</w:t>
      </w:r>
      <w:r>
        <w:rPr>
          <w:rFonts w:ascii="Times New Roman" w:hAnsi="Times New Roman" w:cs="Times New Roman" w:eastAsia="Times New Roman" w:hint="default"/>
          <w:spacing w:val="-9"/>
        </w:rPr>
        <w:t> </w:t>
      </w:r>
      <w:r>
        <w:rPr/>
        <w:t>万股。</w:t>
      </w:r>
    </w:p>
    <w:p>
      <w:pPr>
        <w:pStyle w:val="BodyText"/>
        <w:spacing w:line="240" w:lineRule="auto" w:before="43"/>
        <w:ind w:left="514" w:right="0"/>
        <w:jc w:val="left"/>
      </w:pPr>
      <w:r>
        <w:rPr>
          <w:rFonts w:ascii="Times New Roman" w:hAnsi="Times New Roman" w:cs="Times New Roman" w:eastAsia="Times New Roman" w:hint="default"/>
          <w:spacing w:val="-4"/>
        </w:rPr>
        <w:t>4</w:t>
      </w:r>
      <w:r>
        <w:rPr>
          <w:spacing w:val="-4"/>
        </w:rPr>
        <w:t>、报告期内，公司向冯军、李岩和弘道天瑞发行</w:t>
      </w:r>
      <w:r>
        <w:rPr>
          <w:spacing w:val="-44"/>
        </w:rPr>
        <w:t> </w:t>
      </w:r>
      <w:r>
        <w:rPr>
          <w:rFonts w:ascii="Times New Roman" w:hAnsi="Times New Roman" w:cs="Times New Roman" w:eastAsia="Times New Roman" w:hint="default"/>
        </w:rPr>
        <w:t>2,108.2219</w:t>
      </w:r>
      <w:r>
        <w:rPr>
          <w:rFonts w:ascii="Times New Roman" w:hAnsi="Times New Roman" w:cs="Times New Roman" w:eastAsia="Times New Roman" w:hint="default"/>
          <w:spacing w:val="-8"/>
        </w:rPr>
        <w:t> </w:t>
      </w:r>
      <w:r>
        <w:rPr/>
        <w:t>万股购买其持有的亿美软通</w:t>
      </w:r>
      <w:r>
        <w:rPr>
          <w:spacing w:val="-45"/>
        </w:rPr>
        <w:t> </w:t>
      </w:r>
      <w:r>
        <w:rPr>
          <w:rFonts w:ascii="Times New Roman" w:hAnsi="Times New Roman" w:cs="Times New Roman" w:eastAsia="Times New Roman" w:hint="default"/>
          <w:spacing w:val="-3"/>
        </w:rPr>
        <w:t>100%</w:t>
      </w:r>
      <w:r>
        <w:rPr>
          <w:spacing w:val="-3"/>
        </w:rPr>
        <w:t>股权。</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日，</w:t>
      </w:r>
    </w:p>
    <w:p>
      <w:pPr>
        <w:spacing w:line="240" w:lineRule="auto" w:before="9"/>
        <w:rPr>
          <w:rFonts w:ascii="宋体" w:hAnsi="宋体" w:cs="宋体" w:eastAsia="宋体" w:hint="default"/>
          <w:sz w:val="16"/>
          <w:szCs w:val="16"/>
        </w:rPr>
      </w:pPr>
    </w:p>
    <w:p>
      <w:pPr>
        <w:pStyle w:val="BodyText"/>
        <w:spacing w:line="240" w:lineRule="auto"/>
        <w:ind w:left="154" w:right="93"/>
        <w:jc w:val="left"/>
      </w:pPr>
      <w:r>
        <w:rPr/>
        <w:t>新增股份上市后，公司总股本由</w:t>
      </w:r>
      <w:r>
        <w:rPr>
          <w:spacing w:val="-46"/>
        </w:rPr>
        <w:t> </w:t>
      </w:r>
      <w:r>
        <w:rPr>
          <w:rFonts w:ascii="Times New Roman" w:hAnsi="Times New Roman" w:cs="Times New Roman" w:eastAsia="Times New Roman" w:hint="default"/>
        </w:rPr>
        <w:t>24,164</w:t>
      </w:r>
      <w:r>
        <w:rPr>
          <w:rFonts w:ascii="Times New Roman" w:hAnsi="Times New Roman" w:cs="Times New Roman" w:eastAsia="Times New Roman" w:hint="default"/>
          <w:spacing w:val="-9"/>
        </w:rPr>
        <w:t> </w:t>
      </w:r>
      <w:r>
        <w:rPr/>
        <w:t>万股增加至</w:t>
      </w:r>
      <w:r>
        <w:rPr>
          <w:spacing w:val="-46"/>
        </w:rPr>
        <w:t> </w:t>
      </w:r>
      <w:r>
        <w:rPr>
          <w:rFonts w:ascii="Times New Roman" w:hAnsi="Times New Roman" w:cs="Times New Roman" w:eastAsia="Times New Roman" w:hint="default"/>
        </w:rPr>
        <w:t>26,272.2219</w:t>
      </w:r>
      <w:r>
        <w:rPr>
          <w:rFonts w:ascii="Times New Roman" w:hAnsi="Times New Roman" w:cs="Times New Roman" w:eastAsia="Times New Roman" w:hint="default"/>
          <w:spacing w:val="-9"/>
        </w:rPr>
        <w:t> </w:t>
      </w:r>
      <w:r>
        <w:rPr/>
        <w:t>万股。</w:t>
      </w:r>
    </w:p>
    <w:p>
      <w:pPr>
        <w:spacing w:line="240" w:lineRule="auto" w:before="13"/>
        <w:rPr>
          <w:rFonts w:ascii="宋体" w:hAnsi="宋体" w:cs="宋体" w:eastAsia="宋体" w:hint="default"/>
          <w:sz w:val="25"/>
          <w:szCs w:val="25"/>
        </w:rPr>
      </w:pPr>
    </w:p>
    <w:p>
      <w:pPr>
        <w:pStyle w:val="BodyText"/>
        <w:spacing w:line="240" w:lineRule="auto"/>
        <w:ind w:right="93"/>
        <w:jc w:val="left"/>
      </w:pPr>
      <w:r>
        <w:rPr/>
        <w:t>股份变动的批准情况</w:t>
      </w:r>
    </w:p>
    <w:p>
      <w:pPr>
        <w:spacing w:line="240" w:lineRule="auto" w:before="11"/>
        <w:rPr>
          <w:rFonts w:ascii="宋体" w:hAnsi="宋体" w:cs="宋体" w:eastAsia="宋体" w:hint="default"/>
          <w:sz w:val="14"/>
          <w:szCs w:val="14"/>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spacing w:val="-3"/>
        </w:rPr>
        <w:t>日，公司第二届董事会第二十三次会议审议通过了《</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12"/>
        </w:rPr>
        <w:t> </w:t>
      </w:r>
      <w:r>
        <w:rPr/>
        <w:t>年度利润分配和资本公积金转增股本方案》；</w:t>
      </w:r>
    </w:p>
    <w:p>
      <w:pPr>
        <w:spacing w:line="240" w:lineRule="auto" w:before="9"/>
        <w:rPr>
          <w:rFonts w:ascii="宋体" w:hAnsi="宋体" w:cs="宋体" w:eastAsia="宋体" w:hint="default"/>
          <w:sz w:val="16"/>
          <w:szCs w:val="16"/>
        </w:rPr>
      </w:pPr>
    </w:p>
    <w:p>
      <w:pPr>
        <w:pStyle w:val="BodyText"/>
        <w:spacing w:line="240" w:lineRule="auto"/>
        <w:ind w:left="154" w:right="9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年度股东大会审议通过了上述权益分派方案；</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日，上述方案实施完毕。</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7"/>
          <w:szCs w:val="27"/>
        </w:rPr>
      </w:pPr>
    </w:p>
    <w:p>
      <w:pPr>
        <w:pStyle w:val="BodyText"/>
        <w:spacing w:line="240" w:lineRule="auto" w:before="44"/>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日，公司第三届董事会第五次会议审议通过了《关于已授予的部分股票期权作废及部分限制性股票</w:t>
      </w:r>
    </w:p>
    <w:p>
      <w:pPr>
        <w:spacing w:line="240" w:lineRule="auto" w:before="9"/>
        <w:rPr>
          <w:rFonts w:ascii="宋体" w:hAnsi="宋体" w:cs="宋体" w:eastAsia="宋体" w:hint="default"/>
          <w:sz w:val="16"/>
          <w:szCs w:val="16"/>
        </w:rPr>
      </w:pPr>
    </w:p>
    <w:p>
      <w:pPr>
        <w:pStyle w:val="BodyText"/>
        <w:spacing w:line="451" w:lineRule="auto"/>
        <w:ind w:right="161"/>
        <w:jc w:val="left"/>
      </w:pPr>
      <w:r>
        <w:rPr/>
        <w:t>回购注销的议案》，同意将尚未行权的股权期权共计</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万份全部进行作废；尚未解锁的限制性股票共计</w:t>
      </w:r>
      <w:r>
        <w:rPr>
          <w:spacing w:val="-46"/>
        </w:rPr>
        <w:t> </w:t>
      </w:r>
      <w:r>
        <w:rPr>
          <w:rFonts w:ascii="Times New Roman" w:hAnsi="Times New Roman" w:cs="Times New Roman" w:eastAsia="Times New Roman" w:hint="default"/>
        </w:rPr>
        <w:t>102</w:t>
      </w:r>
      <w:r>
        <w:rPr>
          <w:rFonts w:ascii="Times New Roman" w:hAnsi="Times New Roman" w:cs="Times New Roman" w:eastAsia="Times New Roman" w:hint="default"/>
          <w:spacing w:val="-9"/>
        </w:rPr>
        <w:t> </w:t>
      </w:r>
      <w:r>
        <w:rPr/>
        <w:t>万股全部进行 回购注销。</w:t>
      </w:r>
    </w:p>
    <w:p>
      <w:pPr>
        <w:pStyle w:val="BodyText"/>
        <w:spacing w:line="451" w:lineRule="auto" w:before="74"/>
        <w:ind w:left="154" w:right="135" w:firstLine="36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日，公司第三届董事会第三次会议审议通过了《发行股份购买资产报告书（草案）》等议案，同意 公司向冯军、李岩和弘道天瑞购发行股份买其持有的亿美软通</w:t>
      </w:r>
      <w:r>
        <w:rPr>
          <w:spacing w:val="-50"/>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日，公司</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年第一次临时股东大会审议 通过了上述发行股份购买资产的相关议案；</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15"/>
        </w:rPr>
        <w:t> </w:t>
      </w:r>
      <w:r>
        <w:rPr/>
        <w:t>日，中国证监会印发了《关于核准深圳市银之杰科技股份有限公司向冯 军等发行股份购买资产的批复》（证监许可</w:t>
      </w:r>
      <w:r>
        <w:rPr>
          <w:rFonts w:ascii="Times New Roman" w:hAnsi="Times New Roman" w:cs="Times New Roman" w:eastAsia="Times New Roman" w:hint="default"/>
        </w:rPr>
        <w:t>[2014]1112</w:t>
      </w:r>
      <w:r>
        <w:rPr>
          <w:rFonts w:ascii="Times New Roman" w:hAnsi="Times New Roman" w:cs="Times New Roman" w:eastAsia="Times New Roman" w:hint="default"/>
          <w:spacing w:val="-11"/>
        </w:rPr>
        <w:t> </w:t>
      </w:r>
      <w:r>
        <w:rPr/>
        <w:t>号），核准公司向冯军发行</w:t>
      </w:r>
      <w:r>
        <w:rPr>
          <w:spacing w:val="-49"/>
        </w:rPr>
        <w:t> </w:t>
      </w:r>
      <w:r>
        <w:rPr>
          <w:rFonts w:ascii="Times New Roman" w:hAnsi="Times New Roman" w:cs="Times New Roman" w:eastAsia="Times New Roman" w:hint="default"/>
        </w:rPr>
        <w:t>7,127,617</w:t>
      </w:r>
      <w:r>
        <w:rPr>
          <w:rFonts w:ascii="Times New Roman" w:hAnsi="Times New Roman" w:cs="Times New Roman" w:eastAsia="Times New Roman" w:hint="default"/>
          <w:spacing w:val="-12"/>
        </w:rPr>
        <w:t> </w:t>
      </w:r>
      <w:r>
        <w:rPr/>
        <w:t>股股份、向李岩发行</w:t>
      </w:r>
      <w:r>
        <w:rPr>
          <w:spacing w:val="-49"/>
        </w:rPr>
        <w:t> </w:t>
      </w:r>
      <w:r>
        <w:rPr>
          <w:rFonts w:ascii="Times New Roman" w:hAnsi="Times New Roman" w:cs="Times New Roman" w:eastAsia="Times New Roman" w:hint="default"/>
        </w:rPr>
        <w:t>6,927,196</w:t>
      </w:r>
    </w:p>
    <w:p>
      <w:pPr>
        <w:pStyle w:val="BodyText"/>
        <w:spacing w:line="240" w:lineRule="auto" w:before="43"/>
        <w:ind w:left="154" w:right="0"/>
        <w:jc w:val="left"/>
      </w:pPr>
      <w:r>
        <w:rPr/>
        <w:t>股股份、向弘道天瑞发行</w:t>
      </w:r>
      <w:r>
        <w:rPr>
          <w:spacing w:val="-46"/>
        </w:rPr>
        <w:t> </w:t>
      </w:r>
      <w:r>
        <w:rPr>
          <w:rFonts w:ascii="Times New Roman" w:hAnsi="Times New Roman" w:cs="Times New Roman" w:eastAsia="Times New Roman" w:hint="default"/>
        </w:rPr>
        <w:t>7,027,406</w:t>
      </w:r>
      <w:r>
        <w:rPr>
          <w:rFonts w:ascii="Times New Roman" w:hAnsi="Times New Roman" w:cs="Times New Roman" w:eastAsia="Times New Roman" w:hint="default"/>
          <w:spacing w:val="-9"/>
        </w:rPr>
        <w:t> </w:t>
      </w:r>
      <w:r>
        <w:rPr/>
        <w:t>股股份购买相关资产。</w:t>
      </w:r>
    </w:p>
    <w:p>
      <w:pPr>
        <w:spacing w:line="240" w:lineRule="auto" w:before="13"/>
        <w:rPr>
          <w:rFonts w:ascii="宋体" w:hAnsi="宋体" w:cs="宋体" w:eastAsia="宋体" w:hint="default"/>
          <w:sz w:val="25"/>
          <w:szCs w:val="25"/>
        </w:rPr>
      </w:pPr>
    </w:p>
    <w:p>
      <w:pPr>
        <w:pStyle w:val="BodyText"/>
        <w:spacing w:line="240" w:lineRule="auto"/>
        <w:ind w:left="154" w:right="0"/>
        <w:jc w:val="left"/>
      </w:pPr>
      <w:r>
        <w:rPr/>
        <w:t>股份变动的过户情况</w:t>
      </w:r>
    </w:p>
    <w:p>
      <w:pPr>
        <w:spacing w:line="240" w:lineRule="auto" w:before="11"/>
        <w:rPr>
          <w:rFonts w:ascii="宋体" w:hAnsi="宋体" w:cs="宋体" w:eastAsia="宋体" w:hint="default"/>
          <w:sz w:val="14"/>
          <w:szCs w:val="14"/>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年度权益分派方案的除权除息日为</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日，公司已完成上述股本转增事项。</w:t>
      </w:r>
    </w:p>
    <w:p>
      <w:pPr>
        <w:spacing w:line="240" w:lineRule="auto" w:before="9"/>
        <w:rPr>
          <w:rFonts w:ascii="宋体" w:hAnsi="宋体" w:cs="宋体" w:eastAsia="宋体" w:hint="default"/>
          <w:sz w:val="16"/>
          <w:szCs w:val="16"/>
        </w:rPr>
      </w:pPr>
    </w:p>
    <w:p>
      <w:pPr>
        <w:pStyle w:val="BodyText"/>
        <w:spacing w:line="240" w:lineRule="auto"/>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spacing w:val="-90"/>
        </w:rPr>
        <w:t>、</w:t>
      </w:r>
      <w:r>
        <w:rPr/>
        <w:t>经中国证券登记结算有限责任公司深圳分公司审核确认</w:t>
      </w:r>
      <w:r>
        <w:rPr>
          <w:spacing w:val="-90"/>
        </w:rPr>
        <w:t>，</w:t>
      </w:r>
      <w:r>
        <w:rPr/>
        <w:t>公司对已授予的</w:t>
      </w:r>
      <w:r>
        <w:rPr>
          <w:spacing w:val="-56"/>
        </w:rPr>
        <w:t> </w:t>
      </w:r>
      <w:r>
        <w:rPr>
          <w:rFonts w:ascii="Times New Roman" w:hAnsi="Times New Roman" w:cs="Times New Roman" w:eastAsia="Times New Roman" w:hint="default"/>
        </w:rPr>
        <w:t>102</w:t>
      </w:r>
      <w:r>
        <w:rPr>
          <w:rFonts w:ascii="Times New Roman" w:hAnsi="Times New Roman" w:cs="Times New Roman" w:eastAsia="Times New Roman" w:hint="default"/>
          <w:spacing w:val="-15"/>
        </w:rPr>
        <w:t> </w:t>
      </w:r>
      <w:r>
        <w:rPr/>
        <w:t>万股限制性股票回购注销事宜已于</w:t>
      </w:r>
      <w:r>
        <w:rPr>
          <w:spacing w:val="-56"/>
        </w:rPr>
        <w:t> </w:t>
      </w:r>
      <w:r>
        <w:rPr>
          <w:rFonts w:ascii="Times New Roman" w:hAnsi="Times New Roman" w:cs="Times New Roman" w:eastAsia="Times New Roman" w:hint="default"/>
        </w:rPr>
        <w:t>2014</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日办理完成。</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3</w:t>
      </w:r>
      <w:r>
        <w:rPr/>
        <w:t>、公司向冯军、李岩和弘道天瑞发行股份购买相关资产，本次发行新增</w:t>
      </w:r>
      <w:r>
        <w:rPr>
          <w:spacing w:val="-52"/>
        </w:rPr>
        <w:t> </w:t>
      </w:r>
      <w:r>
        <w:rPr>
          <w:rFonts w:ascii="Times New Roman" w:hAnsi="Times New Roman" w:cs="Times New Roman" w:eastAsia="Times New Roman" w:hint="default"/>
        </w:rPr>
        <w:t>21,082,219</w:t>
      </w:r>
      <w:r>
        <w:rPr>
          <w:rFonts w:ascii="Times New Roman" w:hAnsi="Times New Roman" w:cs="Times New Roman" w:eastAsia="Times New Roman" w:hint="default"/>
          <w:spacing w:val="-15"/>
        </w:rPr>
        <w:t> </w:t>
      </w:r>
      <w:r>
        <w:rPr/>
        <w:t>股股份已于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15"/>
        </w:rPr>
        <w:t> </w:t>
      </w:r>
      <w:r>
        <w:rPr/>
        <w:t>日在中</w:t>
      </w:r>
    </w:p>
    <w:p>
      <w:pPr>
        <w:spacing w:line="240" w:lineRule="auto" w:before="9"/>
        <w:rPr>
          <w:rFonts w:ascii="宋体" w:hAnsi="宋体" w:cs="宋体" w:eastAsia="宋体" w:hint="default"/>
          <w:sz w:val="16"/>
          <w:szCs w:val="16"/>
        </w:rPr>
      </w:pPr>
    </w:p>
    <w:p>
      <w:pPr>
        <w:pStyle w:val="BodyText"/>
        <w:spacing w:line="240" w:lineRule="auto"/>
        <w:ind w:left="154" w:right="0"/>
        <w:jc w:val="left"/>
        <w:rPr>
          <w:rFonts w:ascii="Times New Roman" w:hAnsi="Times New Roman" w:cs="Times New Roman" w:eastAsia="Times New Roman" w:hint="default"/>
        </w:rPr>
      </w:pPr>
      <w:r>
        <w:rPr/>
        <w:t>国证券登记结算有限责任公司深圳分公司办理完毕预登记手续。本次发行新增股份为有限售条件的流通股，上市日为</w:t>
      </w:r>
      <w:r>
        <w:rPr>
          <w:spacing w:val="-45"/>
        </w:rPr>
        <w:t> </w:t>
      </w:r>
      <w:r>
        <w:rPr>
          <w:rFonts w:ascii="Times New Roman" w:hAnsi="Times New Roman" w:cs="Times New Roman" w:eastAsia="Times New Roman" w:hint="default"/>
        </w:rPr>
        <w:t>2014</w:t>
      </w:r>
    </w:p>
    <w:p>
      <w:pPr>
        <w:spacing w:line="240" w:lineRule="auto" w:before="1"/>
        <w:rPr>
          <w:rFonts w:ascii="Times New Roman" w:hAnsi="Times New Roman" w:cs="Times New Roman" w:eastAsia="Times New Roman" w:hint="default"/>
          <w:sz w:val="19"/>
          <w:szCs w:val="19"/>
        </w:rPr>
      </w:pPr>
    </w:p>
    <w:p>
      <w:pPr>
        <w:pStyle w:val="BodyText"/>
        <w:spacing w:line="240" w:lineRule="auto"/>
        <w:ind w:left="154" w:right="0"/>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w:t>
      </w:r>
    </w:p>
    <w:p>
      <w:pPr>
        <w:spacing w:line="240" w:lineRule="auto" w:before="13"/>
        <w:rPr>
          <w:rFonts w:ascii="宋体" w:hAnsi="宋体" w:cs="宋体" w:eastAsia="宋体" w:hint="default"/>
          <w:sz w:val="25"/>
          <w:szCs w:val="25"/>
        </w:rPr>
      </w:pPr>
    </w:p>
    <w:p>
      <w:pPr>
        <w:pStyle w:val="BodyText"/>
        <w:spacing w:line="240" w:lineRule="auto"/>
        <w:ind w:left="154" w:right="0"/>
        <w:jc w:val="left"/>
      </w:pPr>
      <w:r>
        <w:rPr/>
        <w:t>股份变动对最近一年和最近一期基本每股收益和稀释每股收益、归属于公司普通股股东的每股净资产等财务指标的影响</w:t>
      </w:r>
    </w:p>
    <w:p>
      <w:pPr>
        <w:spacing w:line="240" w:lineRule="auto" w:before="11"/>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51" w:lineRule="auto"/>
        <w:ind w:right="139" w:firstLine="360"/>
        <w:jc w:val="left"/>
      </w:pPr>
      <w:r>
        <w:rPr/>
        <w:t>报告期内，公司因上述股份变动，总股本由</w:t>
      </w:r>
      <w:r>
        <w:rPr>
          <w:spacing w:val="-51"/>
        </w:rPr>
        <w:t> </w:t>
      </w:r>
      <w:r>
        <w:rPr>
          <w:rFonts w:ascii="Times New Roman" w:hAnsi="Times New Roman" w:cs="Times New Roman" w:eastAsia="Times New Roman" w:hint="default"/>
        </w:rPr>
        <w:t>12,133</w:t>
      </w:r>
      <w:r>
        <w:rPr>
          <w:rFonts w:ascii="Times New Roman" w:hAnsi="Times New Roman" w:cs="Times New Roman" w:eastAsia="Times New Roman" w:hint="default"/>
          <w:spacing w:val="-14"/>
        </w:rPr>
        <w:t> </w:t>
      </w:r>
      <w:r>
        <w:rPr/>
        <w:t>万股增加至</w:t>
      </w:r>
      <w:r>
        <w:rPr>
          <w:spacing w:val="-52"/>
        </w:rPr>
        <w:t> </w:t>
      </w:r>
      <w:r>
        <w:rPr>
          <w:rFonts w:ascii="Times New Roman" w:hAnsi="Times New Roman" w:cs="Times New Roman" w:eastAsia="Times New Roman" w:hint="default"/>
        </w:rPr>
        <w:t>26,272.2219</w:t>
      </w:r>
      <w:r>
        <w:rPr>
          <w:rFonts w:ascii="Times New Roman" w:hAnsi="Times New Roman" w:cs="Times New Roman" w:eastAsia="Times New Roman" w:hint="default"/>
          <w:spacing w:val="-14"/>
        </w:rPr>
        <w:t> </w:t>
      </w:r>
      <w:r>
        <w:rPr/>
        <w:t>万股。本次股本变动，对公司有关财务指标 的影响如下：</w:t>
      </w:r>
    </w:p>
    <w:tbl>
      <w:tblPr>
        <w:tblW w:w="0" w:type="auto"/>
        <w:jc w:val="left"/>
        <w:tblInd w:w="146" w:type="dxa"/>
        <w:tblLayout w:type="fixed"/>
        <w:tblCellMar>
          <w:top w:w="0" w:type="dxa"/>
          <w:left w:w="0" w:type="dxa"/>
          <w:bottom w:w="0" w:type="dxa"/>
          <w:right w:w="0" w:type="dxa"/>
        </w:tblCellMar>
        <w:tblLook w:val="01E0"/>
      </w:tblPr>
      <w:tblGrid>
        <w:gridCol w:w="3262"/>
        <w:gridCol w:w="2268"/>
        <w:gridCol w:w="1842"/>
        <w:gridCol w:w="1842"/>
      </w:tblGrid>
      <w:tr>
        <w:trPr>
          <w:trHeight w:val="226" w:hRule="exact"/>
        </w:trPr>
        <w:tc>
          <w:tcPr>
            <w:tcW w:w="3262" w:type="dxa"/>
            <w:tcBorders>
              <w:top w:val="single" w:sz="6" w:space="0" w:color="000000"/>
              <w:left w:val="single" w:sz="6" w:space="0" w:color="000000"/>
              <w:bottom w:val="nil" w:sz="6" w:space="0" w:color="auto"/>
              <w:right w:val="single" w:sz="6" w:space="0" w:color="000000"/>
            </w:tcBorders>
            <w:shd w:val="clear" w:color="auto" w:fill="D2D2D2"/>
          </w:tcPr>
          <w:p>
            <w:pPr/>
          </w:p>
        </w:tc>
        <w:tc>
          <w:tcPr>
            <w:tcW w:w="2268" w:type="dxa"/>
            <w:tcBorders>
              <w:top w:val="single" w:sz="6" w:space="0" w:color="000000"/>
              <w:left w:val="single" w:sz="6" w:space="0" w:color="000000"/>
              <w:bottom w:val="nil" w:sz="6" w:space="0" w:color="auto"/>
              <w:right w:val="single" w:sz="6" w:space="0" w:color="000000"/>
            </w:tcBorders>
            <w:shd w:val="clear" w:color="auto" w:fill="D2D2D2"/>
          </w:tcPr>
          <w:p>
            <w:pPr/>
          </w:p>
        </w:tc>
        <w:tc>
          <w:tcPr>
            <w:tcW w:w="368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196" w:hRule="exact"/>
        </w:trPr>
        <w:tc>
          <w:tcPr>
            <w:tcW w:w="326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2"/>
              <w:ind w:right="1"/>
              <w:jc w:val="center"/>
              <w:rPr>
                <w:rFonts w:ascii="宋体" w:hAnsi="宋体" w:cs="宋体" w:eastAsia="宋体" w:hint="default"/>
                <w:sz w:val="18"/>
                <w:szCs w:val="18"/>
              </w:rPr>
            </w:pPr>
            <w:r>
              <w:rPr>
                <w:rFonts w:ascii="宋体" w:hAnsi="宋体" w:cs="宋体" w:eastAsia="宋体" w:hint="default"/>
                <w:sz w:val="18"/>
                <w:szCs w:val="18"/>
              </w:rPr>
              <w:t>财务指标</w:t>
            </w:r>
          </w:p>
        </w:tc>
        <w:tc>
          <w:tcPr>
            <w:tcW w:w="226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3684" w:type="dxa"/>
            <w:gridSpan w:val="2"/>
            <w:vMerge/>
            <w:tcBorders>
              <w:left w:val="single" w:sz="6" w:space="0" w:color="000000"/>
              <w:bottom w:val="single" w:sz="6" w:space="0" w:color="000000"/>
              <w:right w:val="single" w:sz="6" w:space="0" w:color="000000"/>
            </w:tcBorders>
            <w:shd w:val="clear" w:color="auto" w:fill="D2D2D2"/>
          </w:tcPr>
          <w:p>
            <w:pPr/>
          </w:p>
        </w:tc>
      </w:tr>
      <w:tr>
        <w:trPr>
          <w:trHeight w:val="422" w:hRule="exact"/>
        </w:trPr>
        <w:tc>
          <w:tcPr>
            <w:tcW w:w="3262" w:type="dxa"/>
            <w:vMerge/>
            <w:tcBorders>
              <w:left w:val="single" w:sz="6" w:space="0" w:color="000000"/>
              <w:bottom w:val="single" w:sz="6" w:space="0" w:color="000000"/>
              <w:right w:val="single" w:sz="6" w:space="0" w:color="000000"/>
            </w:tcBorders>
            <w:shd w:val="clear" w:color="auto" w:fill="D2D2D2"/>
          </w:tcPr>
          <w:p>
            <w:pPr/>
          </w:p>
        </w:tc>
        <w:tc>
          <w:tcPr>
            <w:tcW w:w="2268" w:type="dxa"/>
            <w:vMerge/>
            <w:tcBorders>
              <w:left w:val="single" w:sz="6" w:space="0" w:color="000000"/>
              <w:bottom w:val="single" w:sz="6" w:space="0" w:color="000000"/>
              <w:right w:val="single" w:sz="6" w:space="0" w:color="000000"/>
            </w:tcBorders>
            <w:shd w:val="clear" w:color="auto" w:fill="D2D2D2"/>
          </w:tcPr>
          <w:p>
            <w:pP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股本变动后</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股本变动前</w:t>
            </w:r>
          </w:p>
        </w:tc>
      </w:tr>
      <w:tr>
        <w:trPr>
          <w:trHeight w:val="433" w:hRule="exact"/>
        </w:trPr>
        <w:tc>
          <w:tcPr>
            <w:tcW w:w="3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2"/>
                <w:sz w:val="18"/>
              </w:rPr>
              <w:t>0.1130</w:t>
            </w:r>
          </w:p>
        </w:tc>
        <w:tc>
          <w:tcPr>
            <w:tcW w:w="1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0.0600</w:t>
            </w:r>
          </w:p>
        </w:tc>
        <w:tc>
          <w:tcPr>
            <w:tcW w:w="1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2"/>
                <w:sz w:val="18"/>
              </w:rPr>
              <w:t>0.1199</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
                <w:sz w:val="18"/>
              </w:rPr>
              <w:t>0.1125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0.0600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2"/>
                <w:sz w:val="18"/>
              </w:rPr>
              <w:t>0.1199</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3.1688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4.3028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4.3028</w:t>
            </w:r>
          </w:p>
        </w:tc>
      </w:tr>
    </w:tbl>
    <w:p>
      <w:pPr>
        <w:spacing w:line="240" w:lineRule="auto" w:before="12"/>
        <w:rPr>
          <w:rFonts w:ascii="宋体" w:hAnsi="宋体" w:cs="宋体" w:eastAsia="宋体" w:hint="default"/>
          <w:sz w:val="11"/>
          <w:szCs w:val="11"/>
        </w:rPr>
      </w:pPr>
    </w:p>
    <w:p>
      <w:pPr>
        <w:pStyle w:val="BodyText"/>
        <w:spacing w:line="240" w:lineRule="auto" w:before="44"/>
        <w:ind w:left="154" w:right="0"/>
        <w:jc w:val="left"/>
      </w:pPr>
      <w:r>
        <w:rPr/>
        <w:t>公司认为必要或证券监管机构要求披露的其他内容</w:t>
      </w:r>
    </w:p>
    <w:p>
      <w:pPr>
        <w:spacing w:line="240" w:lineRule="auto" w:before="11"/>
        <w:rPr>
          <w:rFonts w:ascii="宋体" w:hAnsi="宋体" w:cs="宋体" w:eastAsia="宋体" w:hint="default"/>
          <w:sz w:val="14"/>
          <w:szCs w:val="14"/>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限售股份变动情况" w:id="78"/>
      <w:bookmarkEnd w:id="7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0" w:right="15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242"/>
        <w:gridCol w:w="1492"/>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20,931,750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20,931,750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41,863,500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0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17,941,500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35,883,000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0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8,970,750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8,970,750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17,941,500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0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8,970,750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8,970,750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17,941,500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0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0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729,000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0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28,476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09"/>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每年按照上年末 持有股份数的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7,127,617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7,127,617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资产重组股份 限售承诺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深圳弘道天瑞投 资有限责任公司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7,027,406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7,027,406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资产重组股份 限售承诺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6,927,196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6,927,196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资产重组股份 限售承诺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股权激励对象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9"/>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在满足解锁条件 下，根据公司股权 激励计划安排进 行解锁</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59,210,734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1,146,246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80,166,707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138,129,195</w:t>
            </w:r>
          </w:p>
        </w:tc>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77" w:lineRule="auto" w:before="88"/>
        <w:ind w:right="143" w:firstLine="360"/>
        <w:jc w:val="left"/>
      </w:pPr>
      <w:r>
        <w:rPr/>
        <w:t>注：公司于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18</w:t>
      </w:r>
      <w:r>
        <w:rPr/>
        <w:t>日召开了第三届董事会第五次会议，审议通过了《关于已授予的部分股票期权作废及部分限制 </w:t>
      </w:r>
      <w:r>
        <w:rPr>
          <w:spacing w:val="-2"/>
        </w:rPr>
        <w:t>性股票回购注销的议案》。由于公司部分激励对象因个人原因离职已不符合激励条件，且公司</w:t>
      </w:r>
      <w:r>
        <w:rPr>
          <w:rFonts w:ascii="宋体" w:hAnsi="宋体" w:cs="宋体" w:eastAsia="宋体" w:hint="default"/>
          <w:spacing w:val="-2"/>
        </w:rPr>
        <w:t>2013</w:t>
      </w:r>
      <w:r>
        <w:rPr>
          <w:spacing w:val="-2"/>
        </w:rPr>
        <w:t>年度业绩未能满足公司激</w:t>
      </w:r>
      <w:r>
        <w:rPr>
          <w:spacing w:val="-61"/>
        </w:rPr>
        <w:t> </w:t>
      </w:r>
      <w:r>
        <w:rPr/>
        <w:t>励计划规定的第一个行权</w:t>
      </w:r>
      <w:r>
        <w:rPr>
          <w:rFonts w:ascii="宋体" w:hAnsi="宋体" w:cs="宋体" w:eastAsia="宋体" w:hint="default"/>
        </w:rPr>
        <w:t>/</w:t>
      </w:r>
      <w:r>
        <w:rPr/>
        <w:t>解锁期的业绩考核条件，公司将激励计划中尚未解锁的限制性股票共计</w:t>
      </w:r>
      <w:r>
        <w:rPr>
          <w:rFonts w:ascii="宋体" w:hAnsi="宋体" w:cs="宋体" w:eastAsia="宋体" w:hint="default"/>
        </w:rPr>
        <w:t>102</w:t>
      </w:r>
      <w:r>
        <w:rPr/>
        <w:t>万股全部进行回购注 销，并于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21</w:t>
      </w:r>
      <w:r>
        <w:rPr/>
        <w:t>日办理完成上述回购注销事宜。</w:t>
      </w:r>
    </w:p>
    <w:p>
      <w:pPr>
        <w:spacing w:after="0" w:line="477" w:lineRule="auto"/>
        <w:jc w:val="left"/>
        <w:sectPr>
          <w:pgSz w:w="11910" w:h="16840"/>
          <w:pgMar w:header="877" w:footer="979"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二、证券发行与上市情况" w:id="79"/>
      <w:bookmarkEnd w:id="7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情况" w:id="80"/>
      <w:bookmarkEnd w:id="80"/>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1560"/>
        <w:gridCol w:w="119"/>
        <w:gridCol w:w="954"/>
        <w:gridCol w:w="1477"/>
        <w:gridCol w:w="1258"/>
        <w:gridCol w:w="1368"/>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3"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4"/>
                <w:sz w:val="18"/>
                <w:szCs w:val="18"/>
              </w:rPr>
              <w:t>发行价格（或利率</w:t>
            </w:r>
          </w:p>
        </w:tc>
        <w:tc>
          <w:tcPr>
            <w:tcW w:w="11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4" w:right="83"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银之杰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0" w:right="0"/>
              <w:jc w:val="left"/>
              <w:rPr>
                <w:rFonts w:ascii="Times New Roman" w:hAnsi="Times New Roman" w:cs="Times New Roman" w:eastAsia="Times New Roman" w:hint="default"/>
                <w:sz w:val="18"/>
                <w:szCs w:val="18"/>
              </w:rPr>
            </w:pPr>
            <w:r>
              <w:rPr>
                <w:rFonts w:ascii="Times New Roman"/>
                <w:sz w:val="18"/>
              </w:rPr>
              <w:t>21,082,219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36" w:lineRule="auto" w:before="51"/>
        <w:ind w:left="513" w:right="0" w:hanging="360"/>
        <w:jc w:val="left"/>
      </w:pPr>
      <w:r>
        <w:rPr/>
        <w:t>证券发行情况的说明 </w:t>
      </w:r>
      <w:r>
        <w:rPr>
          <w:spacing w:val="-2"/>
        </w:rPr>
        <w:t>报告期内，公司向冯军、李岩和弘道天瑞发行</w:t>
      </w:r>
      <w:r>
        <w:rPr>
          <w:rFonts w:ascii="宋体" w:hAnsi="宋体" w:cs="宋体" w:eastAsia="宋体" w:hint="default"/>
          <w:spacing w:val="-2"/>
        </w:rPr>
        <w:t>2,108.2219</w:t>
      </w:r>
      <w:r>
        <w:rPr>
          <w:spacing w:val="-2"/>
        </w:rPr>
        <w:t>万股购买其持有的亿美软通</w:t>
      </w:r>
      <w:r>
        <w:rPr>
          <w:rFonts w:ascii="宋体" w:hAnsi="宋体" w:cs="宋体" w:eastAsia="宋体" w:hint="default"/>
          <w:spacing w:val="-2"/>
        </w:rPr>
        <w:t>100%</w:t>
      </w:r>
      <w:r>
        <w:rPr>
          <w:spacing w:val="-2"/>
        </w:rPr>
        <w:t>股权。本次发行新增股份已于</w:t>
      </w:r>
    </w:p>
    <w:p>
      <w:pPr>
        <w:pStyle w:val="BodyText"/>
        <w:spacing w:line="477" w:lineRule="auto" w:before="85"/>
        <w:ind w:right="0"/>
        <w:jc w:val="left"/>
      </w:pP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21</w:t>
      </w:r>
      <w:r>
        <w:rPr>
          <w:spacing w:val="-2"/>
        </w:rPr>
        <w:t>日在中国证券登记结算有限责任公司深圳分公司办理完毕预登记手续。本次发行新增股份为有限售条件的流通</w:t>
      </w:r>
      <w:r>
        <w:rPr>
          <w:spacing w:val="-56"/>
        </w:rPr>
        <w:t> </w:t>
      </w:r>
      <w:r>
        <w:rPr>
          <w:spacing w:val="-56"/>
        </w:rPr>
      </w:r>
      <w:r>
        <w:rPr/>
        <w:t>股，上市日为</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5</w:t>
      </w:r>
      <w:r>
        <w:rPr/>
        <w:t>日。</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2、公司股份总数及股东结构的变动、公司资产和负债结构的变动情况说明" w:id="81"/>
      <w:bookmarkEnd w:id="8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233" w:hanging="360"/>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21</w:t>
      </w:r>
      <w:r>
        <w:rPr/>
        <w:t>日，公司实施了</w:t>
      </w:r>
      <w:r>
        <w:rPr>
          <w:rFonts w:ascii="宋体" w:hAnsi="宋体" w:cs="宋体" w:eastAsia="宋体" w:hint="default"/>
        </w:rPr>
        <w:t>2013</w:t>
      </w:r>
      <w:r>
        <w:rPr/>
        <w:t>年度利润分配和资本公积金转增股本方案，转增股本后，公司总股本由</w:t>
      </w:r>
      <w:r>
        <w:rPr>
          <w:rFonts w:ascii="宋体" w:hAnsi="宋体" w:cs="宋体" w:eastAsia="宋体" w:hint="default"/>
        </w:rPr>
        <w:t>121,330,000</w:t>
      </w:r>
    </w:p>
    <w:p>
      <w:pPr>
        <w:pStyle w:val="BodyText"/>
        <w:spacing w:line="477" w:lineRule="auto" w:before="103"/>
        <w:ind w:right="143"/>
        <w:jc w:val="left"/>
      </w:pPr>
      <w:r>
        <w:rPr/>
        <w:t>股增加至</w:t>
      </w:r>
      <w:r>
        <w:rPr>
          <w:rFonts w:ascii="宋体" w:hAnsi="宋体" w:cs="宋体" w:eastAsia="宋体" w:hint="default"/>
        </w:rPr>
        <w:t>242,660,000</w:t>
      </w:r>
      <w:r>
        <w:rPr/>
        <w:t>股，增加股本</w:t>
      </w:r>
      <w:r>
        <w:rPr>
          <w:rFonts w:ascii="宋体" w:hAnsi="宋体" w:cs="宋体" w:eastAsia="宋体" w:hint="default"/>
        </w:rPr>
        <w:t>121,330,000</w:t>
      </w:r>
      <w:r>
        <w:rPr/>
        <w:t>元，减少资本公积金</w:t>
      </w:r>
      <w:r>
        <w:rPr>
          <w:rFonts w:ascii="宋体" w:hAnsi="宋体" w:cs="宋体" w:eastAsia="宋体" w:hint="default"/>
        </w:rPr>
        <w:t>121,330,000</w:t>
      </w:r>
      <w:r>
        <w:rPr/>
        <w:t>元。上述资本公积金转增股本事项未引起 公司股东结构变动、公司资产和负债结构变动。</w:t>
      </w:r>
    </w:p>
    <w:p>
      <w:pPr>
        <w:pStyle w:val="BodyText"/>
        <w:spacing w:line="240" w:lineRule="auto" w:before="54"/>
        <w:ind w:left="513" w:right="0"/>
        <w:jc w:val="left"/>
      </w:pP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21</w:t>
      </w:r>
      <w:r>
        <w:rPr/>
        <w:t>日，公司完成了激励计划中不得解锁的</w:t>
      </w:r>
      <w:r>
        <w:rPr>
          <w:rFonts w:ascii="宋体" w:hAnsi="宋体" w:cs="宋体" w:eastAsia="宋体" w:hint="default"/>
        </w:rPr>
        <w:t>102</w:t>
      </w:r>
      <w:r>
        <w:rPr/>
        <w:t>万股限制性股票的回购注销，回购注销后，公司总股本由</w:t>
      </w:r>
    </w:p>
    <w:p>
      <w:pPr>
        <w:spacing w:line="240" w:lineRule="auto" w:before="10"/>
        <w:rPr>
          <w:rFonts w:ascii="宋体" w:hAnsi="宋体" w:cs="宋体" w:eastAsia="宋体" w:hint="default"/>
          <w:sz w:val="17"/>
          <w:szCs w:val="17"/>
        </w:rPr>
      </w:pPr>
    </w:p>
    <w:p>
      <w:pPr>
        <w:pStyle w:val="BodyText"/>
        <w:spacing w:line="240" w:lineRule="auto"/>
        <w:ind w:left="154" w:right="0"/>
        <w:jc w:val="left"/>
      </w:pPr>
      <w:r>
        <w:rPr>
          <w:rFonts w:ascii="宋体" w:hAnsi="宋体" w:cs="宋体" w:eastAsia="宋体" w:hint="default"/>
        </w:rPr>
        <w:t>242,660,000</w:t>
      </w:r>
      <w:r>
        <w:rPr/>
        <w:t>股减少至</w:t>
      </w:r>
      <w:r>
        <w:rPr>
          <w:rFonts w:ascii="宋体" w:hAnsi="宋体" w:cs="宋体" w:eastAsia="宋体" w:hint="default"/>
        </w:rPr>
        <w:t>241,640,000</w:t>
      </w:r>
      <w:r>
        <w:rPr/>
        <w:t>股，减少股本</w:t>
      </w:r>
      <w:r>
        <w:rPr>
          <w:rFonts w:ascii="宋体" w:hAnsi="宋体" w:cs="宋体" w:eastAsia="宋体" w:hint="default"/>
        </w:rPr>
        <w:t>1,020,000</w:t>
      </w:r>
      <w:r>
        <w:rPr/>
        <w:t>元，减少资本公积</w:t>
      </w:r>
      <w:r>
        <w:rPr>
          <w:rFonts w:ascii="宋体" w:hAnsi="宋体" w:cs="宋体" w:eastAsia="宋体" w:hint="default"/>
        </w:rPr>
        <w:t>1,371,900</w:t>
      </w:r>
      <w:r>
        <w:rPr/>
        <w:t>元，即减少资产</w:t>
      </w:r>
      <w:r>
        <w:rPr>
          <w:rFonts w:ascii="宋体" w:hAnsi="宋体" w:cs="宋体" w:eastAsia="宋体" w:hint="default"/>
        </w:rPr>
        <w:t>2,391,900</w:t>
      </w:r>
      <w:r>
        <w:rPr/>
        <w:t>元。</w:t>
      </w:r>
    </w:p>
    <w:p>
      <w:pPr>
        <w:spacing w:line="240" w:lineRule="auto" w:before="10"/>
        <w:rPr>
          <w:rFonts w:ascii="宋体" w:hAnsi="宋体" w:cs="宋体" w:eastAsia="宋体" w:hint="default"/>
          <w:sz w:val="17"/>
          <w:szCs w:val="17"/>
        </w:rPr>
      </w:pPr>
    </w:p>
    <w:p>
      <w:pPr>
        <w:pStyle w:val="BodyText"/>
        <w:spacing w:line="477" w:lineRule="auto"/>
        <w:ind w:right="0" w:firstLine="360"/>
        <w:jc w:val="left"/>
      </w:pP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5</w:t>
      </w:r>
      <w:r>
        <w:rPr>
          <w:spacing w:val="-2"/>
        </w:rPr>
        <w:t>日，公司向冯军、李岩和弘道天瑞发行的</w:t>
      </w:r>
      <w:r>
        <w:rPr>
          <w:rFonts w:ascii="宋体" w:hAnsi="宋体" w:cs="宋体" w:eastAsia="宋体" w:hint="default"/>
          <w:spacing w:val="-2"/>
        </w:rPr>
        <w:t>21,082,219</w:t>
      </w:r>
      <w:r>
        <w:rPr>
          <w:spacing w:val="-2"/>
        </w:rPr>
        <w:t>股上市，新增股份上市后，公司总股本由</w:t>
      </w:r>
      <w:r>
        <w:rPr>
          <w:rFonts w:ascii="宋体" w:hAnsi="宋体" w:cs="宋体" w:eastAsia="宋体" w:hint="default"/>
          <w:spacing w:val="-2"/>
        </w:rPr>
        <w:t>241,640,000</w:t>
      </w:r>
      <w:r>
        <w:rPr>
          <w:rFonts w:ascii="宋体" w:hAnsi="宋体" w:cs="宋体" w:eastAsia="宋体" w:hint="default"/>
        </w:rPr>
        <w:t> </w:t>
      </w:r>
      <w:r>
        <w:rPr/>
        <w:t>股增加至</w:t>
      </w:r>
      <w:r>
        <w:rPr>
          <w:rFonts w:ascii="宋体" w:hAnsi="宋体" w:cs="宋体" w:eastAsia="宋体" w:hint="default"/>
        </w:rPr>
        <w:t>262,722,219</w:t>
      </w:r>
      <w:r>
        <w:rPr/>
        <w:t>股，增加股本</w:t>
      </w:r>
      <w:r>
        <w:rPr>
          <w:rFonts w:ascii="宋体" w:hAnsi="宋体" w:cs="宋体" w:eastAsia="宋体" w:hint="default"/>
        </w:rPr>
        <w:t>21,082,219</w:t>
      </w:r>
      <w:r>
        <w:rPr/>
        <w:t>元，增加资本公积</w:t>
      </w:r>
      <w:r>
        <w:rPr>
          <w:rFonts w:ascii="宋体" w:hAnsi="宋体" w:cs="宋体" w:eastAsia="宋体" w:hint="default"/>
        </w:rPr>
        <w:t>278,917,757.37</w:t>
      </w:r>
      <w:r>
        <w:rPr/>
        <w:t>元，即增加资产</w:t>
      </w:r>
      <w:r>
        <w:rPr>
          <w:rFonts w:ascii="宋体" w:hAnsi="宋体" w:cs="宋体" w:eastAsia="宋体" w:hint="default"/>
        </w:rPr>
        <w:t>299,999,976.37 </w:t>
      </w:r>
      <w:r>
        <w:rPr/>
        <w:t>元。</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三、股东和实际控制人情况" w:id="82"/>
      <w:bookmarkEnd w:id="82"/>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83"/>
      <w:bookmarkEnd w:id="8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067"/>
        <w:gridCol w:w="882"/>
        <w:gridCol w:w="854"/>
        <w:gridCol w:w="1025"/>
        <w:gridCol w:w="1277"/>
        <w:gridCol w:w="1278"/>
        <w:gridCol w:w="847"/>
        <w:gridCol w:w="779"/>
      </w:tblGrid>
      <w:tr>
        <w:trPr>
          <w:trHeight w:val="40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54"/>
              <w:jc w:val="right"/>
              <w:rPr>
                <w:rFonts w:ascii="Times New Roman" w:hAnsi="Times New Roman" w:cs="Times New Roman" w:eastAsia="Times New Roman" w:hint="default"/>
                <w:sz w:val="18"/>
                <w:szCs w:val="18"/>
              </w:rPr>
            </w:pPr>
            <w:r>
              <w:rPr>
                <w:rFonts w:ascii="Times New Roman"/>
                <w:sz w:val="18"/>
              </w:rPr>
              <w:t>5,536</w:t>
            </w:r>
          </w:p>
        </w:tc>
        <w:tc>
          <w:tcPr>
            <w:tcW w:w="35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6,172</w:t>
            </w:r>
          </w:p>
        </w:tc>
      </w:tr>
      <w:tr>
        <w:trPr>
          <w:trHeight w:val="39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21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7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0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74"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92" w:right="92"/>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92" w:right="94"/>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6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17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1" w:hRule="exact"/>
        </w:trPr>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54"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8" w:type="dxa"/>
            <w:vMerge/>
            <w:tcBorders>
              <w:left w:val="single" w:sz="4" w:space="0" w:color="000000"/>
              <w:right w:val="single" w:sz="4" w:space="0" w:color="000000"/>
            </w:tcBorders>
            <w:shd w:val="clear" w:color="auto" w:fill="D2D2D2"/>
          </w:tcPr>
          <w:p>
            <w:pPr/>
          </w:p>
        </w:tc>
        <w:tc>
          <w:tcPr>
            <w:tcW w:w="16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8" w:type="dxa"/>
            <w:vMerge/>
            <w:tcBorders>
              <w:left w:val="single" w:sz="4" w:space="0" w:color="000000"/>
              <w:right w:val="single" w:sz="4" w:space="0" w:color="000000"/>
            </w:tcBorders>
            <w:shd w:val="clear" w:color="auto" w:fill="D2D2D2"/>
          </w:tcPr>
          <w:p>
            <w:pP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5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3"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8" w:type="dxa"/>
            <w:vMerge/>
            <w:tcBorders>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779"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21.25%</w:t>
            </w:r>
          </w:p>
        </w:tc>
        <w:tc>
          <w:tcPr>
            <w:tcW w:w="854"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7"/>
              <w:ind w:right="-10"/>
              <w:jc w:val="right"/>
              <w:rPr>
                <w:rFonts w:ascii="Times New Roman" w:hAnsi="Times New Roman" w:cs="Times New Roman" w:eastAsia="Times New Roman" w:hint="default"/>
                <w:sz w:val="18"/>
                <w:szCs w:val="18"/>
              </w:rPr>
            </w:pPr>
            <w:r>
              <w:rPr>
                <w:rFonts w:ascii="Times New Roman"/>
                <w:sz w:val="18"/>
              </w:rPr>
              <w:t>55,818,000</w:t>
            </w:r>
          </w:p>
        </w:tc>
        <w:tc>
          <w:tcPr>
            <w:tcW w:w="1025"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7"/>
              <w:ind w:left="56" w:right="0"/>
              <w:jc w:val="left"/>
              <w:rPr>
                <w:rFonts w:ascii="Times New Roman" w:hAnsi="Times New Roman" w:cs="Times New Roman" w:eastAsia="Times New Roman" w:hint="default"/>
                <w:sz w:val="18"/>
                <w:szCs w:val="18"/>
              </w:rPr>
            </w:pPr>
            <w:r>
              <w:rPr>
                <w:rFonts w:ascii="Times New Roman"/>
                <w:sz w:val="18"/>
              </w:rPr>
              <w:t>27,909,000</w:t>
            </w:r>
          </w:p>
        </w:tc>
        <w:tc>
          <w:tcPr>
            <w:tcW w:w="1277"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41,863,500</w:t>
            </w:r>
          </w:p>
        </w:tc>
        <w:tc>
          <w:tcPr>
            <w:tcW w:w="127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13,954,500</w:t>
            </w:r>
          </w:p>
        </w:tc>
        <w:tc>
          <w:tcPr>
            <w:tcW w:w="84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47,844,000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23,922,000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35,883,000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11,961,000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75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3"/>
                    <w:gridCol w:w="876"/>
                    <w:gridCol w:w="603"/>
                    <w:gridCol w:w="284"/>
                    <w:gridCol w:w="991"/>
                    <w:gridCol w:w="1277"/>
                    <w:gridCol w:w="282"/>
                    <w:gridCol w:w="993"/>
                    <w:gridCol w:w="426"/>
                    <w:gridCol w:w="425"/>
                    <w:gridCol w:w="779"/>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9.11%</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23,922,000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11,961,000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17,941,500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5,980,500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9.11%</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23,922,000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11,961,000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17,941,500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5,980,500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5,000,000</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中国农业银行－宝 盈策略增长股票型 证券投资基金</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7,676,941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7,676,941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7,676,941</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7,127,617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7,127,617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7,127,617</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深圳弘道天瑞投资 有限责任公司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7,027,406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7,027,406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7,027,406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6,927,196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6,927,196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6,927,196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汪旻</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3,812,500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-174,500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3,812,500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华融国际信托有限 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华融</w:t>
                        </w:r>
                        <w:r>
                          <w:rPr>
                            <w:rFonts w:ascii="Times New Roman" w:hAnsi="Times New Roman" w:cs="Times New Roman" w:eastAsia="Times New Roman" w:hint="default"/>
                            <w:sz w:val="18"/>
                            <w:szCs w:val="18"/>
                          </w:rPr>
                          <w:t>·</w:t>
                        </w:r>
                        <w:r>
                          <w:rPr>
                            <w:rFonts w:ascii="宋体" w:hAnsi="宋体" w:cs="宋体" w:eastAsia="宋体" w:hint="default"/>
                            <w:sz w:val="18"/>
                            <w:szCs w:val="18"/>
                          </w:rPr>
                          <w:t>聖 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 合资金信托计划</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3,627,860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3,627,860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3,627,860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11" w:right="60"/>
                          <w:jc w:val="left"/>
                          <w:rPr>
                            <w:rFonts w:ascii="宋体" w:hAnsi="宋体" w:cs="宋体" w:eastAsia="宋体" w:hint="default"/>
                            <w:sz w:val="18"/>
                            <w:szCs w:val="18"/>
                          </w:rPr>
                        </w:pPr>
                        <w:r>
                          <w:rPr>
                            <w:rFonts w:ascii="宋体" w:hAnsi="宋体" w:cs="宋体" w:eastAsia="宋体" w:hint="default"/>
                            <w:spacing w:val="-2"/>
                            <w:sz w:val="18"/>
                            <w:szCs w:val="18"/>
                          </w:rPr>
                          <w:t>公司前十名股东之间，张学君、陈向军、李军三人为公司共同实际控制人、一致行动人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除此以外，公司未知前十名股东之间是否存在关联关系，也未知是否属于一致行动人。</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411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83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62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411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34"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2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4112" w:type="dxa"/>
                        <w:gridSpan w:val="4"/>
                        <w:vMerge/>
                        <w:tcBorders>
                          <w:left w:val="single" w:sz="4" w:space="0" w:color="000000"/>
                          <w:bottom w:val="nil" w:sz="6" w:space="0" w:color="auto"/>
                          <w:right w:val="single" w:sz="4" w:space="0" w:color="000000"/>
                        </w:tcBorders>
                        <w:shd w:val="clear" w:color="auto" w:fill="D2D2D2"/>
                      </w:tcPr>
                      <w:p>
                        <w:pPr/>
                      </w:p>
                    </w:tc>
                    <w:tc>
                      <w:tcPr>
                        <w:tcW w:w="2834" w:type="dxa"/>
                        <w:gridSpan w:val="4"/>
                        <w:vMerge/>
                        <w:tcBorders>
                          <w:left w:val="single" w:sz="4" w:space="0" w:color="000000"/>
                          <w:bottom w:val="nil" w:sz="6" w:space="0" w:color="auto"/>
                          <w:right w:val="single" w:sz="4" w:space="0" w:color="000000"/>
                        </w:tcBorders>
                        <w:shd w:val="clear" w:color="auto" w:fill="D2D2D2"/>
                      </w:tcPr>
                      <w:p>
                        <w:pPr/>
                      </w:p>
                    </w:tc>
                    <w:tc>
                      <w:tcPr>
                        <w:tcW w:w="14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411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83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gridSpan w:val="2"/>
                        <w:vMerge/>
                        <w:tcBorders>
                          <w:left w:val="single" w:sz="4" w:space="0" w:color="000000"/>
                          <w:bottom w:val="single" w:sz="4" w:space="0" w:color="000000"/>
                          <w:right w:val="single" w:sz="4" w:space="0" w:color="000000"/>
                        </w:tcBorders>
                        <w:shd w:val="clear" w:color="auto" w:fill="D2D2D2"/>
                      </w:tcPr>
                      <w:p>
                        <w:pPr/>
                      </w:p>
                    </w:tc>
                    <w:tc>
                      <w:tcPr>
                        <w:tcW w:w="1204"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13,954,500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1" w:right="0"/>
                          <w:jc w:val="left"/>
                          <w:rPr>
                            <w:rFonts w:ascii="Times New Roman" w:hAnsi="Times New Roman" w:cs="Times New Roman" w:eastAsia="Times New Roman" w:hint="default"/>
                            <w:sz w:val="18"/>
                            <w:szCs w:val="18"/>
                          </w:rPr>
                        </w:pPr>
                        <w:r>
                          <w:rPr>
                            <w:rFonts w:ascii="Times New Roman"/>
                            <w:sz w:val="18"/>
                          </w:rPr>
                          <w:t>13,954,500</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11,961,000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11,961,000</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中国农业银行－宝盈策略增长股票型证券投资基金</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7,676,941</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7,676,941</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5,980,500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5,980,500</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5,980,500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5,980,500</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汪旻</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3,812,500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3,812,500</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华融国际信托有限责任公司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华融</w:t>
                        </w:r>
                        <w:r>
                          <w:rPr>
                            <w:rFonts w:ascii="Times New Roman" w:hAnsi="Times New Roman" w:cs="Times New Roman" w:eastAsia="Times New Roman" w:hint="default"/>
                            <w:sz w:val="18"/>
                            <w:szCs w:val="18"/>
                          </w:rPr>
                          <w:t>·</w:t>
                        </w:r>
                        <w:r>
                          <w:rPr>
                            <w:rFonts w:ascii="宋体" w:hAnsi="宋体" w:cs="宋体" w:eastAsia="宋体" w:hint="default"/>
                            <w:sz w:val="18"/>
                            <w:szCs w:val="18"/>
                          </w:rPr>
                          <w:t>聖熙</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号证券投资 集合资金信托计划</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3,627,860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3,627,860</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中国平安人寿保险股份有限公司－分红－个险分红</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3,515,043</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3,515,043</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中国银行股份有限公司－银华优势企业（平衡型）证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券投资基金</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2,799,614</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2,799,614</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中国工商银行－浦银安盛价值成长股票型证券投资 基金</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2,390,420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2,390,420</w:t>
                        </w:r>
                      </w:p>
                    </w:tc>
                  </w:tr>
                  <w:tr>
                    <w:trPr>
                      <w:trHeight w:val="1338"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w:t>
                        </w:r>
                        <w:r>
                          <w:rPr>
                            <w:rFonts w:ascii="宋体" w:hAnsi="宋体" w:cs="宋体" w:eastAsia="宋体" w:hint="default"/>
                            <w:spacing w:val="1"/>
                            <w:sz w:val="18"/>
                            <w:szCs w:val="18"/>
                          </w:rPr>
                          <w:t>售</w:t>
                        </w:r>
                        <w:r>
                          <w:rPr>
                            <w:rFonts w:ascii="宋体" w:hAnsi="宋体" w:cs="宋体" w:eastAsia="宋体" w:hint="default"/>
                            <w:sz w:val="18"/>
                            <w:szCs w:val="18"/>
                          </w:rPr>
                          <w:t>流通股股东之间</w:t>
                        </w:r>
                        <w:r>
                          <w:rPr>
                            <w:rFonts w:ascii="宋体" w:hAnsi="宋体" w:cs="宋体" w:eastAsia="宋体" w:hint="default"/>
                            <w:spacing w:val="-86"/>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w:t>
                        </w:r>
                      </w:p>
                      <w:p>
                        <w:pPr>
                          <w:pStyle w:val="TableParagraph"/>
                          <w:spacing w:line="302" w:lineRule="auto" w:before="63"/>
                          <w:ind w:left="22" w:right="27"/>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 的说明</w:t>
                        </w:r>
                      </w:p>
                    </w:tc>
                    <w:tc>
                      <w:tcPr>
                        <w:tcW w:w="5457"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公司前十名无限售股股东之间，张学君、陈向军、李军三人为公司共 同实际控制人、一致行动人。除此以外，公司未知前十名无限售股股 东之间，以及前十名无限售股股东和前十名股东之间是否存在关联关 系，也未知是否属于一致行动人。</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参与融资融券业务股东情况说</w:t>
                        </w:r>
                        <w:r>
                          <w:rPr>
                            <w:rFonts w:ascii="宋体" w:hAnsi="宋体" w:cs="宋体" w:eastAsia="宋体" w:hint="default"/>
                            <w:spacing w:val="-21"/>
                            <w:sz w:val="18"/>
                            <w:szCs w:val="18"/>
                          </w:rPr>
                          <w:t>明</w:t>
                        </w:r>
                        <w:r>
                          <w:rPr>
                            <w:rFonts w:ascii="宋体" w:hAnsi="宋体" w:cs="宋体" w:eastAsia="宋体" w:hint="default"/>
                            <w:sz w:val="18"/>
                            <w:szCs w:val="18"/>
                          </w:rPr>
                          <w:t>（如有</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pacing w:val="-34"/>
                            <w:sz w:val="18"/>
                            <w:szCs w:val="18"/>
                          </w:rPr>
                          <w:t>）</w:t>
                        </w:r>
                        <w:r>
                          <w:rPr>
                            <w:rFonts w:ascii="宋体" w:hAnsi="宋体" w:cs="宋体" w:eastAsia="宋体" w:hint="default"/>
                            <w:sz w:val="18"/>
                            <w:szCs w:val="18"/>
                          </w:rPr>
                        </w:r>
                      </w:p>
                    </w:tc>
                    <w:tc>
                      <w:tcPr>
                        <w:tcW w:w="54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40" w:lineRule="auto" w:before="71"/>
                          <w:ind w:left="202" w:right="0"/>
                          <w:jc w:val="left"/>
                          <w:rPr>
                            <w:rFonts w:ascii="宋体" w:hAnsi="宋体" w:cs="宋体" w:eastAsia="宋体" w:hint="default"/>
                            <w:sz w:val="18"/>
                            <w:szCs w:val="18"/>
                          </w:rPr>
                        </w:pPr>
                        <w:r>
                          <w:rPr>
                            <w:rFonts w:ascii="宋体" w:hAnsi="宋体" w:cs="宋体" w:eastAsia="宋体" w:hint="default"/>
                            <w:sz w:val="18"/>
                            <w:szCs w:val="18"/>
                          </w:rPr>
                          <w:t>司股东汪旻通过华泰证券股份有限公司客户信用交易担保证券账户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6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74" w:lineRule="exact"/>
        <w:ind w:left="427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271.25pt;height:18.75pt;mso-position-horizontal-relative:char;mso-position-vertical-relative:line" coordorigin="0,0" coordsize="5425,375">
            <v:group style="position:absolute;left:11;top:11;width:2;height:352" coordorigin="11,11" coordsize="2,352">
              <v:shape style="position:absolute;left:11;top:11;width:2;height:352" coordorigin="11,11" coordsize="0,352" path="m11,11l11,363e" filled="false" stroked="true" strokeweight="1.140pt" strokecolor="#ffffff">
                <v:path arrowok="t"/>
              </v:shape>
            </v:group>
            <v:group style="position:absolute;left:23;top:11;width:5402;height:352" coordorigin="23,11" coordsize="5402,352">
              <v:shape style="position:absolute;left:23;top:11;width:5402;height:352" coordorigin="23,11" coordsize="5402,352" path="m23,363l5424,363,5424,11,23,11,23,363xe" filled="true" fillcolor="#ffffff" stroked="false">
                <v:path arrowok="t"/>
                <v:fill type="solid"/>
              </v:shape>
            </v:group>
          </v:group>
        </w:pict>
      </w:r>
      <w:r>
        <w:rPr>
          <w:rFonts w:ascii="宋体" w:hAnsi="宋体" w:cs="宋体" w:eastAsia="宋体" w:hint="default"/>
          <w:position w:val="-6"/>
          <w:sz w:val="20"/>
          <w:szCs w:val="20"/>
        </w:rPr>
      </w:r>
    </w:p>
    <w:p>
      <w:pPr>
        <w:spacing w:after="0" w:line="374" w:lineRule="exact"/>
        <w:rPr>
          <w:rFonts w:ascii="宋体" w:hAnsi="宋体" w:cs="宋体" w:eastAsia="宋体" w:hint="default"/>
          <w:sz w:val="20"/>
          <w:szCs w:val="20"/>
        </w:rPr>
        <w:sectPr>
          <w:pgSz w:w="11910" w:h="16840"/>
          <w:pgMar w:header="877" w:footer="979" w:top="1100" w:bottom="1160" w:left="980" w:right="980"/>
        </w:sectPr>
      </w:pPr>
    </w:p>
    <w:p>
      <w:pPr>
        <w:spacing w:line="240" w:lineRule="auto" w:before="2"/>
        <w:rPr>
          <w:rFonts w:ascii="宋体" w:hAnsi="宋体" w:cs="宋体" w:eastAsia="宋体" w:hint="default"/>
          <w:sz w:val="24"/>
          <w:szCs w:val="24"/>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5pt;height:34.7pt;mso-position-horizontal-relative:char;mso-position-vertical-relative:line" coordorigin="0,0" coordsize="9579,694">
            <v:group style="position:absolute;left:10;top:14;width:4103;height:665" coordorigin="10,14" coordsize="4103,665">
              <v:shape style="position:absolute;left:10;top:14;width:4103;height:665" coordorigin="10,14" coordsize="4103,665" path="m10,679l4112,679,4112,14,10,14,10,679xe" filled="true" fillcolor="#d2d2d2" stroked="false">
                <v:path arrowok="t"/>
                <v:fill type="solid"/>
              </v:shape>
            </v:group>
            <v:group style="position:absolute;left:10;top:10;width:4103;height:2" coordorigin="10,10" coordsize="4103,2">
              <v:shape style="position:absolute;left:10;top:10;width:4103;height:2" coordorigin="10,10" coordsize="4103,0" path="m10,10l4112,10e" filled="false" stroked="true" strokeweight=".48pt" strokecolor="#000000">
                <v:path arrowok="t"/>
              </v:shape>
            </v:group>
            <v:group style="position:absolute;left:4122;top:10;width:5448;height:2" coordorigin="4122,10" coordsize="5448,2">
              <v:shape style="position:absolute;left:4122;top:10;width:5448;height:2" coordorigin="4122,10" coordsize="5448,0" path="m4122,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4103;height:2" coordorigin="10,684" coordsize="4103,2">
              <v:shape style="position:absolute;left:10;top:684;width:4103;height:2" coordorigin="10,684" coordsize="4103,0" path="m10,684l4112,684e" filled="false" stroked="true" strokeweight=".48pt" strokecolor="#000000">
                <v:path arrowok="t"/>
              </v:shape>
            </v:group>
            <v:group style="position:absolute;left:4117;top:5;width:2;height:684" coordorigin="4117,5" coordsize="2,684">
              <v:shape style="position:absolute;left:4117;top:5;width:2;height:684" coordorigin="4117,5" coordsize="0,684" path="m4117,5l4117,689e" filled="false" stroked="true" strokeweight=".48pt" strokecolor="#000000">
                <v:path arrowok="t"/>
              </v:shape>
            </v:group>
            <v:group style="position:absolute;left:4122;top:684;width:5448;height:2" coordorigin="4122,684" coordsize="5448,2">
              <v:shape style="position:absolute;left:4122;top:684;width:5448;height:2" coordorigin="4122,684" coordsize="5448,0" path="m4122,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4117;top:10;width:5457;height:675" type="#_x0000_t202" filled="false" stroked="false">
                <v:textbox inset="0,0,0,0">
                  <w:txbxContent>
                    <w:p>
                      <w:pPr>
                        <w:spacing w:before="15"/>
                        <w:ind w:left="27" w:right="0" w:firstLine="0"/>
                        <w:jc w:val="left"/>
                        <w:rPr>
                          <w:rFonts w:ascii="宋体" w:hAnsi="宋体" w:cs="宋体" w:eastAsia="宋体" w:hint="default"/>
                          <w:sz w:val="18"/>
                          <w:szCs w:val="18"/>
                        </w:rPr>
                      </w:pPr>
                      <w:r>
                        <w:rPr>
                          <w:rFonts w:ascii="宋体" w:hAnsi="宋体" w:cs="宋体" w:eastAsia="宋体" w:hint="default"/>
                          <w:sz w:val="18"/>
                          <w:szCs w:val="18"/>
                        </w:rPr>
                        <w:t>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3,812,500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p>
                    <w:p>
                      <w:pPr>
                        <w:spacing w:before="64"/>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3,812,500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xbxContent>
                </v:textbox>
                <w10:wrap type="none"/>
              </v:shape>
            </v:group>
          </v:group>
        </w:pict>
      </w:r>
      <w:r>
        <w:rPr>
          <w:rFonts w:ascii="宋体" w:hAnsi="宋体" w:cs="宋体" w:eastAsia="宋体" w:hint="default"/>
          <w:position w:val="-13"/>
          <w:sz w:val="20"/>
          <w:szCs w:val="20"/>
        </w:rPr>
      </w:r>
    </w:p>
    <w:p>
      <w:pPr>
        <w:pStyle w:val="BodyText"/>
        <w:spacing w:line="240" w:lineRule="auto" w:before="47"/>
        <w:ind w:left="154" w:right="0"/>
        <w:jc w:val="left"/>
      </w:pPr>
      <w:r>
        <w:rPr/>
        <w:t>公司股东在报告期内是否进行约定购回交易</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13"/>
          <w:szCs w:val="13"/>
        </w:rPr>
      </w:pPr>
    </w:p>
    <w:p>
      <w:pPr>
        <w:pStyle w:val="BodyText"/>
        <w:spacing w:line="240" w:lineRule="auto"/>
        <w:ind w:left="513" w:right="0"/>
        <w:jc w:val="left"/>
      </w:pPr>
      <w:r>
        <w:rPr/>
        <w:t>公司股东在报告期内未进行约定购回交易。</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53" w:right="0"/>
        <w:jc w:val="left"/>
        <w:rPr>
          <w:b w:val="0"/>
          <w:bCs w:val="0"/>
        </w:rPr>
      </w:pPr>
      <w:bookmarkStart w:name="2、公司控股股东情况" w:id="84"/>
      <w:bookmarkEnd w:id="8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left="0" w:right="161"/>
        <w:jc w:val="right"/>
      </w:pPr>
      <w:r>
        <w:rPr/>
        <w:pict>
          <v:shape style="position:absolute;margin-left:56.459999pt;margin-top:-96.818291pt;width:479.2pt;height:167.9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张学君女士，</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月至今任公司董事。陈向军先生，</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月起任公 司董事长，</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月起任北京华道征信有限公司董事、总经理。李军先生</w:t>
                        </w:r>
                      </w:p>
                      <w:p>
                        <w:pPr>
                          <w:pStyle w:val="TableParagraph"/>
                          <w:spacing w:line="302" w:lineRule="auto" w:before="1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月起任公司董事、总经理，</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月起任深圳票联金融服务有限 公司董事，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月起任公司参股子公司北京华道征信有限公司董事。</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44"/>
        <w:ind w:left="154" w:right="0"/>
        <w:jc w:val="left"/>
      </w:pPr>
      <w:r>
        <w:rPr/>
        <w:t>控股股东报告期内变更</w:t>
      </w:r>
    </w:p>
    <w:p>
      <w:pPr>
        <w:pStyle w:val="BodyText"/>
        <w:spacing w:line="412" w:lineRule="auto" w:before="116"/>
        <w:ind w:left="513" w:right="67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2"/>
          <w:szCs w:val="22"/>
        </w:rPr>
      </w:pPr>
    </w:p>
    <w:p>
      <w:pPr>
        <w:pStyle w:val="Heading3"/>
        <w:spacing w:line="240" w:lineRule="auto"/>
        <w:ind w:left="153" w:right="0"/>
        <w:jc w:val="left"/>
        <w:rPr>
          <w:b w:val="0"/>
          <w:bCs w:val="0"/>
        </w:rPr>
      </w:pPr>
      <w:bookmarkStart w:name="3、公司实际控制人情况" w:id="85"/>
      <w:bookmarkEnd w:id="8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left="0" w:right="162"/>
        <w:jc w:val="right"/>
      </w:pPr>
      <w:r>
        <w:rPr/>
        <w:pict>
          <v:shape style="position:absolute;margin-left:56.459999pt;margin-top:-96.848282pt;width:479.2pt;height:167.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张学君女士，</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月至今任公司董事。陈向军先生，</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月起任公 司董事长，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月起任北京华道征信有限公司董事、总经理。李军先生</w:t>
                        </w:r>
                      </w:p>
                      <w:p>
                        <w:pPr>
                          <w:pStyle w:val="TableParagraph"/>
                          <w:spacing w:line="302" w:lineRule="auto" w:before="13"/>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月起任公司董事、总经理，</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月起任深圳票联金融服务有 限公司董事，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月起任公司参股子公司北京华道征信有限公司董事。</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154" w:right="0"/>
        <w:jc w:val="left"/>
      </w:pPr>
      <w:r>
        <w:rPr/>
        <w:t>实际控制人报告期内变更</w:t>
      </w:r>
    </w:p>
    <w:p>
      <w:pPr>
        <w:pStyle w:val="BodyText"/>
        <w:spacing w:line="412" w:lineRule="auto" w:before="117"/>
        <w:ind w:left="513" w:right="65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w:t>
      </w:r>
    </w:p>
    <w:p>
      <w:pPr>
        <w:spacing w:after="0" w:line="412"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7"/>
          <w:szCs w:val="27"/>
        </w:rPr>
      </w:pPr>
    </w:p>
    <w:p>
      <w:pPr>
        <w:pStyle w:val="BodyText"/>
        <w:spacing w:line="240" w:lineRule="auto" w:before="44"/>
        <w:ind w:right="0"/>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1956" w:lineRule="exact"/>
        <w:ind w:left="2080"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3672232" cy="124205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3672232" cy="1242059"/>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8"/>
        <w:rPr>
          <w:rFonts w:ascii="宋体" w:hAnsi="宋体" w:cs="宋体" w:eastAsia="宋体" w:hint="default"/>
          <w:sz w:val="27"/>
          <w:szCs w:val="27"/>
        </w:rPr>
      </w:pPr>
    </w:p>
    <w:p>
      <w:pPr>
        <w:pStyle w:val="BodyText"/>
        <w:spacing w:line="240" w:lineRule="auto" w:before="44"/>
        <w:ind w:right="0"/>
        <w:jc w:val="left"/>
      </w:pPr>
      <w:r>
        <w:rPr/>
        <w:t>实际控制人通过信托或其他资产管理方式控制公司</w:t>
      </w:r>
    </w:p>
    <w:p>
      <w:pPr>
        <w:spacing w:line="240" w:lineRule="auto" w:before="12"/>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86"/>
      <w:bookmarkEnd w:id="8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前10吊限售条件股东持股数量及限售条件" w:id="87"/>
      <w:bookmarkEnd w:id="87"/>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41,863,500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35,883,000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17,941,500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17,941,500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7,127,617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资产重组股份限售承诺</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深圳弘道天瑞投资有限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7,027,406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资产重组股份限售承诺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6,927,196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资产重组股份限售承诺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任大鹏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蔡超伟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1680" w:right="0"/>
        <w:jc w:val="left"/>
        <w:rPr>
          <w:b w:val="0"/>
          <w:bCs w:val="0"/>
        </w:rPr>
      </w:pPr>
      <w:bookmarkStart w:name="第七节 董事、监事、高级管理人员和员工情况" w:id="88"/>
      <w:bookmarkEnd w:id="88"/>
      <w:r>
        <w:rPr>
          <w:b w:val="0"/>
          <w:bCs w:val="0"/>
        </w:rPr>
      </w:r>
      <w:bookmarkStart w:name="_bookmark6" w:id="89"/>
      <w:bookmarkEnd w:id="89"/>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90"/>
      <w:bookmarkEnd w:id="90"/>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持股情况" w:id="91"/>
      <w:bookmarkEnd w:id="91"/>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10"/>
        <w:gridCol w:w="851"/>
        <w:gridCol w:w="485"/>
        <w:gridCol w:w="508"/>
        <w:gridCol w:w="566"/>
        <w:gridCol w:w="710"/>
        <w:gridCol w:w="708"/>
        <w:gridCol w:w="709"/>
        <w:gridCol w:w="709"/>
        <w:gridCol w:w="709"/>
        <w:gridCol w:w="708"/>
        <w:gridCol w:w="709"/>
        <w:gridCol w:w="708"/>
        <w:gridCol w:w="851"/>
      </w:tblGrid>
      <w:tr>
        <w:trPr>
          <w:trHeight w:val="227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年龄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70" w:right="77"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69" w:right="78"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1" w:right="59" w:hanging="180"/>
              <w:jc w:val="left"/>
              <w:rPr>
                <w:rFonts w:ascii="宋体" w:hAnsi="宋体" w:cs="宋体" w:eastAsia="宋体" w:hint="default"/>
                <w:sz w:val="18"/>
                <w:szCs w:val="18"/>
              </w:rPr>
            </w:pPr>
            <w:r>
              <w:rPr>
                <w:rFonts w:ascii="宋体" w:hAnsi="宋体" w:cs="宋体" w:eastAsia="宋体" w:hint="default"/>
                <w:sz w:val="18"/>
                <w:szCs w:val="18"/>
              </w:rPr>
              <w:t>增减变动 原因</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11,961,0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权益分派</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11,961,0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权益分派</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27,909,0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权益分派</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权益分派</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9,492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权益分 派、减持</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权益分派</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权益分 派、减持</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宋靖雁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朱厚佳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二级市场</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10"/>
        <w:gridCol w:w="851"/>
        <w:gridCol w:w="485"/>
        <w:gridCol w:w="508"/>
        <w:gridCol w:w="566"/>
        <w:gridCol w:w="710"/>
        <w:gridCol w:w="708"/>
        <w:gridCol w:w="709"/>
        <w:gridCol w:w="709"/>
        <w:gridCol w:w="709"/>
        <w:gridCol w:w="708"/>
        <w:gridCol w:w="709"/>
        <w:gridCol w:w="708"/>
        <w:gridCol w:w="850"/>
      </w:tblGrid>
      <w:tr>
        <w:trPr>
          <w:trHeight w:val="362"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买卖</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76,937,9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76,963,7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127,292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153,774,</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476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93"/>
        <w:jc w:val="left"/>
        <w:rPr>
          <w:b w:val="0"/>
          <w:bCs w:val="0"/>
        </w:rPr>
      </w:pPr>
      <w:bookmarkStart w:name="2、持有股票期权情况" w:id="92"/>
      <w:bookmarkEnd w:id="92"/>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3"/>
        <w:jc w:val="left"/>
        <w:rPr>
          <w:b w:val="0"/>
          <w:bCs w:val="0"/>
        </w:rPr>
      </w:pPr>
      <w:bookmarkStart w:name="二、任职情况" w:id="93"/>
      <w:bookmarkEnd w:id="93"/>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3"/>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10"/>
        <w:rPr>
          <w:rFonts w:ascii="宋体" w:hAnsi="宋体" w:cs="宋体" w:eastAsia="宋体" w:hint="default"/>
          <w:sz w:val="13"/>
          <w:szCs w:val="13"/>
        </w:rPr>
      </w:pPr>
    </w:p>
    <w:p>
      <w:pPr>
        <w:pStyle w:val="BodyText"/>
        <w:spacing w:line="240" w:lineRule="auto"/>
        <w:ind w:left="514" w:right="93"/>
        <w:jc w:val="left"/>
      </w:pPr>
      <w:r>
        <w:rPr>
          <w:rFonts w:ascii="Times New Roman" w:hAnsi="Times New Roman" w:cs="Times New Roman" w:eastAsia="Times New Roman" w:hint="default"/>
        </w:rPr>
        <w:t>1</w:t>
      </w:r>
      <w:r>
        <w:rPr/>
        <w:t>．董事</w:t>
      </w:r>
    </w:p>
    <w:p>
      <w:pPr>
        <w:spacing w:line="240" w:lineRule="auto" w:before="11"/>
        <w:rPr>
          <w:rFonts w:ascii="宋体" w:hAnsi="宋体" w:cs="宋体" w:eastAsia="宋体" w:hint="default"/>
          <w:sz w:val="19"/>
          <w:szCs w:val="19"/>
        </w:rPr>
      </w:pPr>
    </w:p>
    <w:p>
      <w:pPr>
        <w:pStyle w:val="BodyText"/>
        <w:spacing w:line="240" w:lineRule="auto"/>
        <w:ind w:left="514" w:right="93"/>
        <w:jc w:val="left"/>
      </w:pPr>
      <w:r>
        <w:rPr/>
        <w:t>公司董事会由</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名董事组成，其中独立董事</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名，具体如下：</w:t>
      </w:r>
    </w:p>
    <w:p>
      <w:pPr>
        <w:spacing w:line="240" w:lineRule="auto" w:before="9"/>
        <w:rPr>
          <w:rFonts w:ascii="宋体" w:hAnsi="宋体" w:cs="宋体" w:eastAsia="宋体" w:hint="default"/>
          <w:sz w:val="19"/>
          <w:szCs w:val="19"/>
        </w:rPr>
      </w:pPr>
    </w:p>
    <w:p>
      <w:pPr>
        <w:pStyle w:val="BodyText"/>
        <w:spacing w:line="451" w:lineRule="auto"/>
        <w:ind w:left="154" w:right="184" w:firstLine="360"/>
        <w:jc w:val="left"/>
      </w:pPr>
      <w:r>
        <w:rPr/>
        <w:t>陈向军先生，公司董事长，中国籍，</w:t>
      </w:r>
      <w:r>
        <w:rPr>
          <w:rFonts w:ascii="Times New Roman" w:hAnsi="Times New Roman" w:cs="Times New Roman" w:eastAsia="Times New Roman" w:hint="default"/>
        </w:rPr>
        <w:t>1964</w:t>
      </w:r>
      <w:r>
        <w:rPr>
          <w:rFonts w:ascii="Times New Roman" w:hAnsi="Times New Roman" w:cs="Times New Roman" w:eastAsia="Times New Roman" w:hint="default"/>
          <w:spacing w:val="-9"/>
        </w:rPr>
        <w:t> </w:t>
      </w:r>
      <w:r>
        <w:rPr/>
        <w:t>年出生，研究生学历。</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月起任公司董事长，</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月起任公司 参股子公司北京华道征信有限公司董事、总经理。</w:t>
      </w:r>
    </w:p>
    <w:p>
      <w:pPr>
        <w:pStyle w:val="BodyText"/>
        <w:spacing w:line="240" w:lineRule="auto" w:before="112"/>
        <w:ind w:left="514" w:right="93"/>
        <w:jc w:val="left"/>
        <w:rPr>
          <w:rFonts w:ascii="Times New Roman" w:hAnsi="Times New Roman" w:cs="Times New Roman" w:eastAsia="Times New Roman" w:hint="default"/>
        </w:rPr>
      </w:pPr>
      <w:r>
        <w:rPr/>
        <w:t>李军先生，公司董事、总经理，中国籍，</w:t>
      </w:r>
      <w:r>
        <w:rPr>
          <w:rFonts w:ascii="Times New Roman" w:hAnsi="Times New Roman" w:cs="Times New Roman" w:eastAsia="Times New Roman" w:hint="default"/>
        </w:rPr>
        <w:t>1970</w:t>
      </w:r>
      <w:r>
        <w:rPr>
          <w:rFonts w:ascii="Times New Roman" w:hAnsi="Times New Roman" w:cs="Times New Roman" w:eastAsia="Times New Roman" w:hint="default"/>
          <w:spacing w:val="-9"/>
        </w:rPr>
        <w:t> </w:t>
      </w:r>
      <w:r>
        <w:rPr/>
        <w:t>年出生，研究生学历。</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月起任公司董事、总经理，</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10</w:t>
      </w:r>
    </w:p>
    <w:p>
      <w:pPr>
        <w:spacing w:line="240" w:lineRule="auto" w:before="2"/>
        <w:rPr>
          <w:rFonts w:ascii="Times New Roman" w:hAnsi="Times New Roman" w:cs="Times New Roman" w:eastAsia="Times New Roman" w:hint="default"/>
          <w:sz w:val="19"/>
          <w:szCs w:val="19"/>
        </w:rPr>
      </w:pPr>
    </w:p>
    <w:p>
      <w:pPr>
        <w:pStyle w:val="BodyText"/>
        <w:spacing w:line="489" w:lineRule="auto"/>
        <w:ind w:left="514" w:right="210" w:hanging="360"/>
        <w:jc w:val="left"/>
      </w:pPr>
      <w:r>
        <w:rPr/>
        <w:t>月起任公司参股子公司深圳票联金融服务有限公司董事，</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月起任公司参股子公司北京华道征信有限公司董事。 张学君女士，公司董事，中国籍，</w:t>
      </w:r>
      <w:r>
        <w:rPr>
          <w:rFonts w:ascii="Times New Roman" w:hAnsi="Times New Roman" w:cs="Times New Roman" w:eastAsia="Times New Roman" w:hint="default"/>
        </w:rPr>
        <w:t>1940</w:t>
      </w:r>
      <w:r>
        <w:rPr>
          <w:rFonts w:ascii="Times New Roman" w:hAnsi="Times New Roman" w:cs="Times New Roman" w:eastAsia="Times New Roman" w:hint="default"/>
          <w:spacing w:val="-9"/>
        </w:rPr>
        <w:t> </w:t>
      </w:r>
      <w:r>
        <w:rPr/>
        <w:t>年出生，大专学历。</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月至今任公司董事。 何晔女士，公司董事，中国籍，</w:t>
      </w:r>
      <w:r>
        <w:rPr>
          <w:rFonts w:ascii="Times New Roman" w:hAnsi="Times New Roman" w:cs="Times New Roman" w:eastAsia="Times New Roman" w:hint="default"/>
        </w:rPr>
        <w:t>1970</w:t>
      </w:r>
      <w:r>
        <w:rPr>
          <w:rFonts w:ascii="Times New Roman" w:hAnsi="Times New Roman" w:cs="Times New Roman" w:eastAsia="Times New Roman" w:hint="default"/>
          <w:spacing w:val="-9"/>
        </w:rPr>
        <w:t> </w:t>
      </w:r>
      <w:r>
        <w:rPr/>
        <w:t>年出生，本科学历。</w:t>
      </w:r>
      <w:r>
        <w:rPr>
          <w:rFonts w:ascii="Times New Roman" w:hAnsi="Times New Roman" w:cs="Times New Roman" w:eastAsia="Times New Roman" w:hint="default"/>
        </w:rPr>
        <w:t>2001</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月起在联合证券有限责任公司（华泰联合证券有限</w:t>
      </w:r>
    </w:p>
    <w:p>
      <w:pPr>
        <w:pStyle w:val="BodyText"/>
        <w:spacing w:line="240" w:lineRule="auto" w:before="11"/>
        <w:ind w:left="154" w:right="93"/>
        <w:jc w:val="left"/>
        <w:rPr>
          <w:rFonts w:ascii="Times New Roman" w:hAnsi="Times New Roman" w:cs="Times New Roman" w:eastAsia="Times New Roman" w:hint="default"/>
        </w:rPr>
      </w:pPr>
      <w:r>
        <w:rPr>
          <w:spacing w:val="-2"/>
        </w:rPr>
        <w:t>责任公司）工作，历任计划财务部职员、基金业务小组组长助理、销售交易部总经理助理、销售交易部副总经理，</w:t>
      </w:r>
      <w:r>
        <w:rPr>
          <w:rFonts w:ascii="Times New Roman" w:hAnsi="Times New Roman" w:cs="Times New Roman" w:eastAsia="Times New Roman" w:hint="default"/>
          <w:spacing w:val="-2"/>
        </w:rPr>
        <w:t>2010</w:t>
      </w:r>
      <w:r>
        <w:rPr>
          <w:rFonts w:ascii="Times New Roman" w:hAnsi="Times New Roman" w:cs="Times New Roman" w:eastAsia="Times New Roman" w:hint="default"/>
        </w:rPr>
        <w:t> </w:t>
      </w:r>
      <w:r>
        <w:rPr/>
        <w:t>年</w:t>
      </w:r>
      <w:r>
        <w:rPr>
          <w:spacing w:val="-23"/>
        </w:rPr>
        <w:t> </w:t>
      </w:r>
      <w:r>
        <w:rPr>
          <w:rFonts w:ascii="Times New Roman" w:hAnsi="Times New Roman" w:cs="Times New Roman" w:eastAsia="Times New Roman" w:hint="default"/>
        </w:rPr>
        <w:t>3</w:t>
      </w:r>
    </w:p>
    <w:p>
      <w:pPr>
        <w:spacing w:line="240" w:lineRule="auto" w:before="2"/>
        <w:rPr>
          <w:rFonts w:ascii="Times New Roman" w:hAnsi="Times New Roman" w:cs="Times New Roman" w:eastAsia="Times New Roman" w:hint="default"/>
          <w:sz w:val="19"/>
          <w:szCs w:val="19"/>
        </w:rPr>
      </w:pPr>
    </w:p>
    <w:p>
      <w:pPr>
        <w:pStyle w:val="BodyText"/>
        <w:spacing w:line="240" w:lineRule="auto"/>
        <w:ind w:left="154" w:right="93"/>
        <w:jc w:val="left"/>
      </w:pPr>
      <w:r>
        <w:rPr/>
        <w:t>月离职。</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月至今任公司董事。</w:t>
      </w:r>
    </w:p>
    <w:p>
      <w:pPr>
        <w:spacing w:line="240" w:lineRule="auto" w:before="9"/>
        <w:rPr>
          <w:rFonts w:ascii="宋体" w:hAnsi="宋体" w:cs="宋体" w:eastAsia="宋体" w:hint="default"/>
          <w:sz w:val="19"/>
          <w:szCs w:val="19"/>
        </w:rPr>
      </w:pPr>
    </w:p>
    <w:p>
      <w:pPr>
        <w:pStyle w:val="BodyText"/>
        <w:spacing w:line="240" w:lineRule="auto"/>
        <w:ind w:left="514" w:right="93"/>
        <w:jc w:val="left"/>
      </w:pPr>
      <w:r>
        <w:rPr/>
        <w:t>郑学定先生，公司独立董事，中国籍，</w:t>
      </w:r>
      <w:r>
        <w:rPr>
          <w:rFonts w:ascii="Times New Roman" w:hAnsi="Times New Roman" w:cs="Times New Roman" w:eastAsia="Times New Roman" w:hint="default"/>
        </w:rPr>
        <w:t>1963</w:t>
      </w:r>
      <w:r>
        <w:rPr>
          <w:rFonts w:ascii="Times New Roman" w:hAnsi="Times New Roman" w:cs="Times New Roman" w:eastAsia="Times New Roman" w:hint="default"/>
          <w:spacing w:val="-14"/>
        </w:rPr>
        <w:t> </w:t>
      </w:r>
      <w:r>
        <w:rPr/>
        <w:t>年出生，研究生学历。</w:t>
      </w:r>
      <w:r>
        <w:rPr>
          <w:rFonts w:ascii="Times New Roman" w:hAnsi="Times New Roman" w:cs="Times New Roman" w:eastAsia="Times New Roman" w:hint="default"/>
        </w:rPr>
        <w:t>1991</w:t>
      </w:r>
      <w:r>
        <w:rPr>
          <w:rFonts w:ascii="Times New Roman" w:hAnsi="Times New Roman" w:cs="Times New Roman" w:eastAsia="Times New Roman" w:hint="default"/>
          <w:spacing w:val="-14"/>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月至</w:t>
      </w:r>
      <w:r>
        <w:rPr>
          <w:spacing w:val="-52"/>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4"/>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月任深圳市注册会计师协</w:t>
      </w:r>
    </w:p>
    <w:p>
      <w:pPr>
        <w:spacing w:line="240" w:lineRule="auto" w:before="9"/>
        <w:rPr>
          <w:rFonts w:ascii="宋体" w:hAnsi="宋体" w:cs="宋体" w:eastAsia="宋体" w:hint="default"/>
          <w:sz w:val="16"/>
          <w:szCs w:val="16"/>
        </w:rPr>
      </w:pPr>
    </w:p>
    <w:p>
      <w:pPr>
        <w:pStyle w:val="BodyText"/>
        <w:spacing w:line="451" w:lineRule="auto"/>
        <w:ind w:left="154" w:right="239"/>
        <w:jc w:val="left"/>
      </w:pPr>
      <w:r>
        <w:rPr/>
        <w:t>会副秘书长、秘书长，</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月至</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月任开元信德会计师事务所合伙人，</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月至今任大华会计师事务所 合伙人。深圳市第五届人民代表大会代表、计划预算委员会委员。</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月至今任公司独立董事。</w:t>
      </w:r>
    </w:p>
    <w:p>
      <w:pPr>
        <w:pStyle w:val="BodyText"/>
        <w:spacing w:line="451" w:lineRule="auto" w:before="83"/>
        <w:ind w:right="180" w:firstLine="360"/>
        <w:jc w:val="left"/>
      </w:pPr>
      <w:r>
        <w:rPr>
          <w:spacing w:val="-3"/>
        </w:rPr>
        <w:t>郭斐先生，公司独立董事，中国籍，</w:t>
      </w:r>
      <w:r>
        <w:rPr>
          <w:rFonts w:ascii="Times New Roman" w:hAnsi="Times New Roman" w:cs="Times New Roman" w:eastAsia="Times New Roman" w:hint="default"/>
          <w:spacing w:val="-3"/>
        </w:rPr>
        <w:t>1966</w:t>
      </w:r>
      <w:r>
        <w:rPr>
          <w:rFonts w:ascii="Times New Roman" w:hAnsi="Times New Roman" w:cs="Times New Roman" w:eastAsia="Times New Roman" w:hint="default"/>
          <w:spacing w:val="-7"/>
        </w:rPr>
        <w:t> </w:t>
      </w:r>
      <w:r>
        <w:rPr>
          <w:spacing w:val="-3"/>
        </w:rPr>
        <w:t>年出生，本科学历。</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月至今任北京市大成</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律师事务所律师、合 伙人。</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月至今任公司独立董事。</w:t>
      </w:r>
    </w:p>
    <w:p>
      <w:pPr>
        <w:pStyle w:val="BodyText"/>
        <w:spacing w:line="451" w:lineRule="auto" w:before="82"/>
        <w:ind w:right="84" w:firstLine="360"/>
        <w:jc w:val="left"/>
      </w:pPr>
      <w:r>
        <w:rPr>
          <w:spacing w:val="-6"/>
        </w:rPr>
        <w:t>何剑先生，公司独立董事，中国籍，</w:t>
      </w:r>
      <w:r>
        <w:rPr>
          <w:rFonts w:ascii="Times New Roman" w:hAnsi="Times New Roman" w:cs="Times New Roman" w:eastAsia="Times New Roman" w:hint="default"/>
          <w:spacing w:val="-6"/>
        </w:rPr>
        <w:t>1969</w:t>
      </w:r>
      <w:r>
        <w:rPr>
          <w:rFonts w:ascii="Times New Roman" w:hAnsi="Times New Roman" w:cs="Times New Roman" w:eastAsia="Times New Roman" w:hint="default"/>
          <w:spacing w:val="-14"/>
        </w:rPr>
        <w:t> </w:t>
      </w:r>
      <w:r>
        <w:rPr>
          <w:spacing w:val="-6"/>
        </w:rPr>
        <w:t>年出生，研究生学历。</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14"/>
        </w:rPr>
        <w:t> </w:t>
      </w:r>
      <w:r>
        <w:rPr/>
        <w:t>年至</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年任江苏久禧实业有限公司董事长，</w:t>
      </w:r>
      <w:r>
        <w:rPr>
          <w:rFonts w:ascii="Times New Roman" w:hAnsi="Times New Roman" w:cs="Times New Roman" w:eastAsia="Times New Roman" w:hint="default"/>
        </w:rPr>
        <w:t>2011 </w:t>
      </w:r>
      <w:r>
        <w:rPr/>
        <w:t>年至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spacing w:val="-3"/>
        </w:rPr>
        <w:t>年任北京久禧康源投资管理有限公司董事长、总经理，</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16"/>
        </w:rPr>
        <w:t> </w:t>
      </w:r>
      <w:r>
        <w:rPr/>
        <w:t>年至今任北京冏鹿网络科技有限公司董事长、总经理。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月至今任公司独立董事。</w:t>
      </w:r>
    </w:p>
    <w:p>
      <w:pPr>
        <w:pStyle w:val="BodyText"/>
        <w:spacing w:line="489" w:lineRule="auto" w:before="83"/>
        <w:ind w:left="514" w:right="4592"/>
        <w:jc w:val="left"/>
      </w:pPr>
      <w:r>
        <w:rPr>
          <w:rFonts w:ascii="Times New Roman" w:hAnsi="Times New Roman" w:cs="Times New Roman" w:eastAsia="Times New Roman" w:hint="default"/>
        </w:rPr>
        <w:t>2</w:t>
      </w:r>
      <w:r>
        <w:rPr/>
        <w:t>．监事 公司监事会由三名监事组成，其中职工监事一人，具体如下：</w:t>
      </w:r>
    </w:p>
    <w:p>
      <w:pPr>
        <w:pStyle w:val="BodyText"/>
        <w:spacing w:line="240" w:lineRule="auto" w:before="83"/>
        <w:ind w:left="514" w:right="93"/>
        <w:jc w:val="left"/>
      </w:pPr>
      <w:r>
        <w:rPr/>
        <w:t>汪婉欣女士，公司监事会主席，中国籍，</w:t>
      </w:r>
      <w:r>
        <w:rPr>
          <w:rFonts w:ascii="Times New Roman" w:hAnsi="Times New Roman" w:cs="Times New Roman" w:eastAsia="Times New Roman" w:hint="default"/>
        </w:rPr>
        <w:t>1975</w:t>
      </w:r>
      <w:r>
        <w:rPr>
          <w:rFonts w:ascii="Times New Roman" w:hAnsi="Times New Roman" w:cs="Times New Roman" w:eastAsia="Times New Roman" w:hint="default"/>
          <w:spacing w:val="-14"/>
        </w:rPr>
        <w:t> </w:t>
      </w:r>
      <w:r>
        <w:rPr/>
        <w:t>年出生，研究生学历。</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月至</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月任北京诺华制药有限公</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t>司业务流程控制副总监，</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月任施耐德电气</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有限公司财务经理，</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月任</w:t>
      </w:r>
    </w:p>
    <w:p>
      <w:pPr>
        <w:spacing w:line="240" w:lineRule="auto" w:before="9"/>
        <w:rPr>
          <w:rFonts w:ascii="宋体" w:hAnsi="宋体" w:cs="宋体" w:eastAsia="宋体" w:hint="default"/>
          <w:sz w:val="16"/>
          <w:szCs w:val="16"/>
        </w:rPr>
      </w:pPr>
    </w:p>
    <w:p>
      <w:pPr>
        <w:pStyle w:val="BodyText"/>
        <w:spacing w:line="240" w:lineRule="auto"/>
        <w:ind w:left="154" w:right="0"/>
        <w:jc w:val="left"/>
        <w:rPr>
          <w:rFonts w:ascii="Times New Roman" w:hAnsi="Times New Roman" w:cs="Times New Roman" w:eastAsia="Times New Roman" w:hint="default"/>
        </w:rPr>
      </w:pPr>
      <w:r>
        <w:rPr/>
        <w:t>辉瑞制药有限公司中国合规经理，</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月至今任瓦里安医疗器械贸易</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有限公司亚太区区域合规经理。</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p>
    <w:p>
      <w:pPr>
        <w:spacing w:line="240" w:lineRule="auto" w:before="2"/>
        <w:rPr>
          <w:rFonts w:ascii="Times New Roman" w:hAnsi="Times New Roman" w:cs="Times New Roman" w:eastAsia="Times New Roman" w:hint="default"/>
          <w:sz w:val="19"/>
          <w:szCs w:val="19"/>
        </w:rPr>
      </w:pPr>
    </w:p>
    <w:p>
      <w:pPr>
        <w:pStyle w:val="BodyText"/>
        <w:spacing w:line="487" w:lineRule="auto"/>
        <w:ind w:left="513" w:right="170" w:hanging="360"/>
        <w:jc w:val="left"/>
      </w:pPr>
      <w:r>
        <w:rPr/>
        <w:t>月至今任本公司监事会主席，</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月起任公司参股子公司深圳票联金融服务有限公司监事。 李玟臻女士，公司监事，中国籍，</w:t>
      </w:r>
      <w:r>
        <w:rPr>
          <w:rFonts w:ascii="Times New Roman" w:hAnsi="Times New Roman" w:cs="Times New Roman" w:eastAsia="Times New Roman" w:hint="default"/>
        </w:rPr>
        <w:t>1982</w:t>
      </w:r>
      <w:r>
        <w:rPr>
          <w:rFonts w:ascii="Times New Roman" w:hAnsi="Times New Roman" w:cs="Times New Roman" w:eastAsia="Times New Roman" w:hint="default"/>
          <w:spacing w:val="-9"/>
        </w:rPr>
        <w:t> </w:t>
      </w:r>
      <w:r>
        <w:rPr/>
        <w:t>年出生，本科学历。</w:t>
      </w:r>
      <w:r>
        <w:rPr>
          <w:rFonts w:ascii="Times New Roman" w:hAnsi="Times New Roman" w:cs="Times New Roman" w:eastAsia="Times New Roman" w:hint="default"/>
        </w:rPr>
        <w:t>2005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月至今在本公司任职，历任市场企划专员、市场</w:t>
      </w:r>
    </w:p>
    <w:p>
      <w:pPr>
        <w:pStyle w:val="BodyText"/>
        <w:spacing w:line="240" w:lineRule="auto" w:before="14"/>
        <w:ind w:left="154" w:right="0"/>
        <w:jc w:val="left"/>
      </w:pPr>
      <w:r>
        <w:rPr/>
        <w:t>部经理、总经理办公室经理。</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日起任公司监事。</w:t>
      </w:r>
    </w:p>
    <w:p>
      <w:pPr>
        <w:spacing w:line="240" w:lineRule="auto" w:before="10"/>
        <w:rPr>
          <w:rFonts w:ascii="宋体" w:hAnsi="宋体" w:cs="宋体" w:eastAsia="宋体" w:hint="default"/>
          <w:sz w:val="19"/>
          <w:szCs w:val="19"/>
        </w:rPr>
      </w:pPr>
    </w:p>
    <w:p>
      <w:pPr>
        <w:pStyle w:val="BodyText"/>
        <w:spacing w:line="451" w:lineRule="auto"/>
        <w:ind w:left="154" w:right="186" w:firstLine="360"/>
        <w:jc w:val="both"/>
      </w:pPr>
      <w:r>
        <w:rPr/>
        <w:t>周峰先生，公司职工代表监事，中国籍，</w:t>
      </w:r>
      <w:r>
        <w:rPr>
          <w:rFonts w:ascii="Times New Roman" w:hAnsi="Times New Roman" w:cs="Times New Roman" w:eastAsia="Times New Roman" w:hint="default"/>
        </w:rPr>
        <w:t>1976</w:t>
      </w:r>
      <w:r>
        <w:rPr>
          <w:rFonts w:ascii="Times New Roman" w:hAnsi="Times New Roman" w:cs="Times New Roman" w:eastAsia="Times New Roman" w:hint="default"/>
          <w:spacing w:val="-9"/>
        </w:rPr>
        <w:t> </w:t>
      </w:r>
      <w:r>
        <w:rPr/>
        <w:t>年出生，本科学历。</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月至今在本公司工作，历任行政人事部经 理、综合管理部经理。</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月至今任公司职工代表监事，</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月起任公司全资子公司深圳市银之杰金融设备有 限公司监事，</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月起任公司全资子公司深圳市银之杰技术开发有限公司监事。</w:t>
      </w:r>
    </w:p>
    <w:p>
      <w:pPr>
        <w:pStyle w:val="BodyText"/>
        <w:spacing w:line="240" w:lineRule="auto" w:before="83"/>
        <w:ind w:left="514" w:right="0"/>
        <w:jc w:val="left"/>
      </w:pPr>
      <w:r>
        <w:rPr>
          <w:rFonts w:ascii="Times New Roman" w:hAnsi="Times New Roman" w:cs="Times New Roman" w:eastAsia="Times New Roman" w:hint="default"/>
        </w:rPr>
        <w:t>3</w:t>
      </w:r>
      <w:r>
        <w:rPr/>
        <w:t>．其他高级管理人员</w:t>
      </w:r>
    </w:p>
    <w:p>
      <w:pPr>
        <w:spacing w:line="240" w:lineRule="auto" w:before="9"/>
        <w:rPr>
          <w:rFonts w:ascii="宋体" w:hAnsi="宋体" w:cs="宋体" w:eastAsia="宋体" w:hint="default"/>
          <w:sz w:val="19"/>
          <w:szCs w:val="19"/>
        </w:rPr>
      </w:pPr>
    </w:p>
    <w:p>
      <w:pPr>
        <w:pStyle w:val="BodyText"/>
        <w:spacing w:line="451" w:lineRule="auto"/>
        <w:ind w:right="152" w:firstLine="360"/>
        <w:jc w:val="both"/>
      </w:pPr>
      <w:r>
        <w:rPr/>
        <w:t>刘奕先生，公司副总经理、董事会秘书，中国籍，</w:t>
      </w:r>
      <w:r>
        <w:rPr>
          <w:rFonts w:ascii="Times New Roman" w:hAnsi="Times New Roman" w:cs="Times New Roman" w:eastAsia="Times New Roman" w:hint="default"/>
        </w:rPr>
        <w:t>1971</w:t>
      </w:r>
      <w:r>
        <w:rPr>
          <w:rFonts w:ascii="Times New Roman" w:hAnsi="Times New Roman" w:cs="Times New Roman" w:eastAsia="Times New Roman" w:hint="default"/>
          <w:spacing w:val="-22"/>
        </w:rPr>
        <w:t> </w:t>
      </w:r>
      <w:r>
        <w:rPr/>
        <w:t>年出生，研究生学历。</w:t>
      </w:r>
      <w:r>
        <w:rPr>
          <w:rFonts w:ascii="Times New Roman" w:hAnsi="Times New Roman" w:cs="Times New Roman" w:eastAsia="Times New Roman" w:hint="default"/>
        </w:rPr>
        <w:t>1998</w:t>
      </w:r>
      <w:r>
        <w:rPr>
          <w:rFonts w:ascii="Times New Roman" w:hAnsi="Times New Roman" w:cs="Times New Roman" w:eastAsia="Times New Roman" w:hint="default"/>
          <w:spacing w:val="-2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月至今在本公司工作，历任总 经理助理、副总经理。</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月至今任公司副总经理、董事会秘书，</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月起任公司参股子公司深圳票联金融服 务有限公司董事、总经理，</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月起任公司控股子公司深圳市科安数字有限公司执行董事。</w:t>
      </w:r>
    </w:p>
    <w:p>
      <w:pPr>
        <w:pStyle w:val="BodyText"/>
        <w:spacing w:line="451" w:lineRule="auto" w:before="83"/>
        <w:ind w:right="187" w:firstLine="360"/>
        <w:jc w:val="both"/>
      </w:pPr>
      <w:r>
        <w:rPr/>
        <w:t>许秋江先生，公司财务总监，中国籍，</w:t>
      </w:r>
      <w:r>
        <w:rPr>
          <w:rFonts w:ascii="Times New Roman" w:hAnsi="Times New Roman" w:cs="Times New Roman" w:eastAsia="Times New Roman" w:hint="default"/>
        </w:rPr>
        <w:t>1973</w:t>
      </w:r>
      <w:r>
        <w:rPr>
          <w:rFonts w:ascii="Times New Roman" w:hAnsi="Times New Roman" w:cs="Times New Roman" w:eastAsia="Times New Roman" w:hint="default"/>
          <w:spacing w:val="-9"/>
        </w:rPr>
        <w:t> </w:t>
      </w:r>
      <w:r>
        <w:rPr/>
        <w:t>年出生，大专学历。</w:t>
      </w:r>
      <w:r>
        <w:rPr>
          <w:rFonts w:ascii="Times New Roman" w:hAnsi="Times New Roman" w:cs="Times New Roman" w:eastAsia="Times New Roman" w:hint="default"/>
        </w:rPr>
        <w:t>2002</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月至今在本公司工作，历任公司财务经理、 财务总监。</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月至今任公司财务总监。</w:t>
      </w:r>
    </w:p>
    <w:p>
      <w:pPr>
        <w:spacing w:line="240" w:lineRule="auto" w:before="6"/>
        <w:rPr>
          <w:rFonts w:ascii="宋体" w:hAnsi="宋体" w:cs="宋体" w:eastAsia="宋体" w:hint="default"/>
          <w:sz w:val="12"/>
          <w:szCs w:val="12"/>
        </w:rPr>
      </w:pPr>
    </w:p>
    <w:p>
      <w:pPr>
        <w:pStyle w:val="BodyText"/>
        <w:spacing w:line="240" w:lineRule="auto"/>
        <w:ind w:left="154" w:right="0"/>
        <w:jc w:val="left"/>
      </w:pPr>
      <w:r>
        <w:rPr/>
        <w:t>在股东单位任职情况</w:t>
      </w:r>
    </w:p>
    <w:p>
      <w:pPr>
        <w:spacing w:line="240" w:lineRule="auto" w:before="12"/>
        <w:rPr>
          <w:rFonts w:ascii="宋体" w:hAnsi="宋体" w:cs="宋体" w:eastAsia="宋体" w:hint="default"/>
          <w:sz w:val="14"/>
          <w:szCs w:val="14"/>
        </w:rPr>
      </w:pPr>
    </w:p>
    <w:p>
      <w:pPr>
        <w:pStyle w:val="BodyText"/>
        <w:spacing w:line="489" w:lineRule="auto"/>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485"/>
        <w:gridCol w:w="1418"/>
        <w:gridCol w:w="1547"/>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3"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北京市大成</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律师事务所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律师、合伙人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北京冏鹿网络科技有限公司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瓦里安医疗器械贸易</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亚太区区域合规 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202"/>
        <w:gridCol w:w="8367"/>
      </w:tblGrid>
      <w:tr>
        <w:trPr>
          <w:trHeight w:val="332" w:hRule="exact"/>
        </w:trPr>
        <w:tc>
          <w:tcPr>
            <w:tcW w:w="1202" w:type="dxa"/>
            <w:tcBorders>
              <w:top w:val="nil" w:sz="6" w:space="0" w:color="auto"/>
              <w:left w:val="nil" w:sz="6" w:space="0" w:color="auto"/>
              <w:bottom w:val="single" w:sz="4" w:space="0" w:color="000000"/>
              <w:right w:val="nil" w:sz="6" w:space="0" w:color="auto"/>
            </w:tcBorders>
          </w:tcPr>
          <w:p>
            <w:pPr/>
          </w:p>
        </w:tc>
        <w:tc>
          <w:tcPr>
            <w:tcW w:w="8367" w:type="dxa"/>
            <w:tcBorders>
              <w:top w:val="nil" w:sz="6" w:space="0" w:color="auto"/>
              <w:left w:val="nil" w:sz="6" w:space="0" w:color="auto"/>
              <w:bottom w:val="single" w:sz="4" w:space="0" w:color="000000"/>
              <w:right w:val="nil" w:sz="6" w:space="0" w:color="auto"/>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r>
        <w:rPr/>
        <w:pict>
          <v:group style="position:absolute;margin-left:55.200001pt;margin-top:-64.424377pt;width:485pt;height:.1pt;mso-position-horizontal-relative:page;mso-position-vertical-relative:paragraph;z-index:-755656" coordorigin="1104,-1288" coordsize="9700,2">
            <v:shape style="position:absolute;left:1104;top:-1288;width:9700;height:2" coordorigin="1104,-1288" coordsize="9700,0" path="m1104,-1288l10804,-1288e" filled="false" stroked="true" strokeweight=".72pt" strokecolor="#000000">
              <v:path arrowok="t"/>
            </v:shape>
            <w10:wrap type="none"/>
          </v:group>
        </w:pict>
      </w:r>
      <w:bookmarkStart w:name="三、董事、监事、高级管理人员报酬情况" w:id="94"/>
      <w:bookmarkEnd w:id="94"/>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1339"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支付，独立董事会务费据实报销。</w:t>
            </w:r>
          </w:p>
        </w:tc>
      </w:tr>
      <w:tr>
        <w:trPr>
          <w:trHeight w:val="71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 况确定。</w:t>
            </w:r>
          </w:p>
        </w:tc>
      </w:tr>
      <w:tr>
        <w:trPr>
          <w:trHeight w:val="715"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公司现有董事</w:t>
            </w:r>
            <w:r>
              <w:rPr>
                <w:rFonts w:ascii="宋体" w:hAnsi="宋体" w:cs="宋体" w:eastAsia="宋体" w:hint="default"/>
                <w:spacing w:val="-90"/>
                <w:sz w:val="18"/>
                <w:szCs w:val="18"/>
              </w:rPr>
              <w:t>、</w:t>
            </w:r>
            <w:r>
              <w:rPr>
                <w:rFonts w:ascii="宋体" w:hAnsi="宋体" w:cs="宋体" w:eastAsia="宋体" w:hint="default"/>
                <w:sz w:val="18"/>
                <w:szCs w:val="18"/>
              </w:rPr>
              <w:t>监事</w:t>
            </w:r>
            <w:r>
              <w:rPr>
                <w:rFonts w:ascii="宋体" w:hAnsi="宋体" w:cs="宋体" w:eastAsia="宋体" w:hint="default"/>
                <w:spacing w:val="-90"/>
                <w:sz w:val="18"/>
                <w:szCs w:val="18"/>
              </w:rPr>
              <w:t>、</w:t>
            </w:r>
            <w:r>
              <w:rPr>
                <w:rFonts w:ascii="宋体" w:hAnsi="宋体" w:cs="宋体" w:eastAsia="宋体" w:hint="default"/>
                <w:sz w:val="18"/>
                <w:szCs w:val="18"/>
              </w:rPr>
              <w:t>高级管理人员共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人</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年实际支付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126.89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pStyle w:val="BodyText"/>
        <w:spacing w:line="240" w:lineRule="auto" w:before="51"/>
        <w:ind w:left="154" w:right="0"/>
        <w:jc w:val="left"/>
      </w:pPr>
      <w:r>
        <w:rPr/>
        <w:t>公司报告期内董事、监事和高级管理人员报酬情况</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宋靖雁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朱厚佳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126.89</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2"/>
        <w:spacing w:line="240" w:lineRule="auto" w:before="26"/>
        <w:ind w:right="93"/>
        <w:jc w:val="left"/>
        <w:rPr>
          <w:b w:val="0"/>
          <w:bCs w:val="0"/>
        </w:rPr>
      </w:pPr>
      <w:bookmarkStart w:name="四、公司董事、监事、高级管理人员变动情况" w:id="95"/>
      <w:bookmarkEnd w:id="95"/>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361" w:type="dxa"/>
        <w:tblLayout w:type="fixed"/>
        <w:tblCellMar>
          <w:top w:w="0" w:type="dxa"/>
          <w:left w:w="0" w:type="dxa"/>
          <w:bottom w:w="0" w:type="dxa"/>
          <w:right w:w="0" w:type="dxa"/>
        </w:tblCellMar>
        <w:tblLook w:val="01E0"/>
      </w:tblPr>
      <w:tblGrid>
        <w:gridCol w:w="1330"/>
        <w:gridCol w:w="1336"/>
        <w:gridCol w:w="1326"/>
        <w:gridCol w:w="1679"/>
        <w:gridCol w:w="354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宋靖雁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朱厚佳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3"/>
        <w:jc w:val="left"/>
        <w:rPr>
          <w:b w:val="0"/>
          <w:bCs w:val="0"/>
        </w:rPr>
      </w:pPr>
      <w:bookmarkStart w:name="五、报告期核心技术团队或关键技术人员变动情况（非董事、监事、高级管理人员）" w:id="96"/>
      <w:bookmarkEnd w:id="9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3" w:firstLine="360"/>
        <w:jc w:val="left"/>
      </w:pPr>
      <w:r>
        <w:rPr>
          <w:spacing w:val="-2"/>
        </w:rPr>
        <w:t>报告期内，公司核心技术人员张保斌因个人原因向公司提出辞职申请，并将其所负责的相关工作已进行了良好交接，其</w:t>
      </w:r>
      <w:r>
        <w:rPr/>
        <w:t> </w:t>
      </w:r>
      <w:r>
        <w:rPr>
          <w:spacing w:val="-4"/>
        </w:rPr>
        <w:t>辞职不会影响公司相关工作的正常进行。报告期内，公司已经加大了中高端人才的引进力度，大力培养优秀研发与技术人员，</w:t>
      </w:r>
      <w:r>
        <w:rPr>
          <w:spacing w:val="-44"/>
        </w:rPr>
        <w:t> </w:t>
      </w:r>
      <w:r>
        <w:rPr>
          <w:spacing w:val="-44"/>
        </w:rPr>
      </w:r>
      <w:r>
        <w:rPr/>
        <w:t>不断扩大公司研发与技术人才储备。</w:t>
      </w:r>
    </w:p>
    <w:p>
      <w:pPr>
        <w:spacing w:line="240" w:lineRule="auto" w:before="5"/>
        <w:rPr>
          <w:rFonts w:ascii="宋体" w:hAnsi="宋体" w:cs="宋体" w:eastAsia="宋体" w:hint="default"/>
          <w:sz w:val="17"/>
          <w:szCs w:val="17"/>
        </w:rPr>
      </w:pPr>
    </w:p>
    <w:p>
      <w:pPr>
        <w:pStyle w:val="Heading2"/>
        <w:spacing w:line="240" w:lineRule="auto"/>
        <w:ind w:right="93"/>
        <w:jc w:val="left"/>
        <w:rPr>
          <w:b w:val="0"/>
          <w:bCs w:val="0"/>
        </w:rPr>
      </w:pPr>
      <w:bookmarkStart w:name="六、公司员工情况" w:id="97"/>
      <w:bookmarkEnd w:id="97"/>
      <w:r>
        <w:rPr>
          <w:b w:val="0"/>
          <w:bCs w:val="0"/>
        </w:rPr>
      </w:r>
      <w:r>
        <w:rPr/>
        <w:t>六、公司员工情况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93"/>
        <w:jc w:val="left"/>
      </w:pPr>
      <w:r>
        <w:rPr/>
        <w:t>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日，公司合并口径员工总数为</w:t>
      </w:r>
      <w:r>
        <w:rPr>
          <w:spacing w:val="-46"/>
        </w:rPr>
        <w:t> </w:t>
      </w:r>
      <w:r>
        <w:rPr>
          <w:rFonts w:ascii="Times New Roman" w:hAnsi="Times New Roman" w:cs="Times New Roman" w:eastAsia="Times New Roman" w:hint="default"/>
        </w:rPr>
        <w:t>797</w:t>
      </w:r>
      <w:r>
        <w:rPr>
          <w:rFonts w:ascii="Times New Roman" w:hAnsi="Times New Roman" w:cs="Times New Roman" w:eastAsia="Times New Roman" w:hint="default"/>
          <w:spacing w:val="-8"/>
        </w:rPr>
        <w:t> </w:t>
      </w:r>
      <w:r>
        <w:rPr/>
        <w:t>人，员工具体构成情况如下：</w:t>
      </w:r>
    </w:p>
    <w:p>
      <w:pPr>
        <w:spacing w:line="240" w:lineRule="auto" w:before="10"/>
        <w:rPr>
          <w:rFonts w:ascii="宋体" w:hAnsi="宋体" w:cs="宋体" w:eastAsia="宋体" w:hint="default"/>
          <w:sz w:val="19"/>
          <w:szCs w:val="19"/>
        </w:rPr>
      </w:pPr>
    </w:p>
    <w:p>
      <w:pPr>
        <w:pStyle w:val="BodyText"/>
        <w:spacing w:line="240" w:lineRule="auto"/>
        <w:ind w:left="513" w:right="93"/>
        <w:jc w:val="left"/>
      </w:pPr>
      <w:r>
        <w:rPr>
          <w:rFonts w:ascii="Times New Roman" w:hAnsi="Times New Roman" w:cs="Times New Roman" w:eastAsia="Times New Roman" w:hint="default"/>
        </w:rPr>
        <w:t>1</w:t>
      </w:r>
      <w:r>
        <w:rPr/>
        <w:t>．专业结构</w:t>
      </w:r>
    </w:p>
    <w:p>
      <w:pPr>
        <w:spacing w:line="240" w:lineRule="auto" w:before="12"/>
        <w:rPr>
          <w:rFonts w:ascii="宋体" w:hAnsi="宋体" w:cs="宋体" w:eastAsia="宋体" w:hint="default"/>
          <w:sz w:val="12"/>
          <w:szCs w:val="12"/>
        </w:rPr>
      </w:pPr>
    </w:p>
    <w:tbl>
      <w:tblPr>
        <w:tblW w:w="0" w:type="auto"/>
        <w:jc w:val="left"/>
        <w:tblInd w:w="826" w:type="dxa"/>
        <w:tblLayout w:type="fixed"/>
        <w:tblCellMar>
          <w:top w:w="0" w:type="dxa"/>
          <w:left w:w="0" w:type="dxa"/>
          <w:bottom w:w="0" w:type="dxa"/>
          <w:right w:w="0" w:type="dxa"/>
        </w:tblCellMar>
        <w:tblLook w:val="01E0"/>
      </w:tblPr>
      <w:tblGrid>
        <w:gridCol w:w="2700"/>
        <w:gridCol w:w="2793"/>
        <w:gridCol w:w="2788"/>
      </w:tblGrid>
      <w:tr>
        <w:trPr>
          <w:trHeight w:val="427" w:hRule="exact"/>
        </w:trPr>
        <w:tc>
          <w:tcPr>
            <w:tcW w:w="27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专业</w:t>
            </w:r>
          </w:p>
        </w:tc>
        <w:tc>
          <w:tcPr>
            <w:tcW w:w="2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207"/>
              <w:jc w:val="right"/>
              <w:rPr>
                <w:rFonts w:ascii="宋体" w:hAnsi="宋体" w:cs="宋体" w:eastAsia="宋体" w:hint="default"/>
                <w:sz w:val="18"/>
                <w:szCs w:val="18"/>
              </w:rPr>
            </w:pPr>
            <w:r>
              <w:rPr>
                <w:rFonts w:ascii="宋体" w:hAnsi="宋体" w:cs="宋体" w:eastAsia="宋体" w:hint="default"/>
                <w:sz w:val="18"/>
                <w:szCs w:val="18"/>
              </w:rPr>
              <w:t>人数</w:t>
            </w:r>
          </w:p>
        </w:tc>
        <w:tc>
          <w:tcPr>
            <w:tcW w:w="27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研发与技术人员</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3"/>
              <w:jc w:val="right"/>
              <w:rPr>
                <w:rFonts w:ascii="Times New Roman" w:hAnsi="Times New Roman" w:cs="Times New Roman" w:eastAsia="Times New Roman" w:hint="default"/>
                <w:sz w:val="18"/>
                <w:szCs w:val="18"/>
              </w:rPr>
            </w:pPr>
            <w:r>
              <w:rPr>
                <w:rFonts w:ascii="Times New Roman"/>
                <w:sz w:val="18"/>
              </w:rPr>
              <w:t>506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63.49%</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3"/>
              <w:jc w:val="right"/>
              <w:rPr>
                <w:rFonts w:ascii="Times New Roman" w:hAnsi="Times New Roman" w:cs="Times New Roman" w:eastAsia="Times New Roman" w:hint="default"/>
                <w:sz w:val="18"/>
                <w:szCs w:val="18"/>
              </w:rPr>
            </w:pPr>
            <w:r>
              <w:rPr>
                <w:rFonts w:ascii="Times New Roman"/>
                <w:sz w:val="18"/>
              </w:rPr>
              <w:t>172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21.58%</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3"/>
              <w:jc w:val="right"/>
              <w:rPr>
                <w:rFonts w:ascii="Times New Roman" w:hAnsi="Times New Roman" w:cs="Times New Roman" w:eastAsia="Times New Roman" w:hint="default"/>
                <w:sz w:val="18"/>
                <w:szCs w:val="18"/>
              </w:rPr>
            </w:pPr>
            <w:r>
              <w:rPr>
                <w:rFonts w:ascii="Times New Roman"/>
                <w:sz w:val="18"/>
              </w:rPr>
              <w:t>119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14.93%</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253"/>
              <w:jc w:val="right"/>
              <w:rPr>
                <w:rFonts w:ascii="Times New Roman" w:hAnsi="Times New Roman" w:cs="Times New Roman" w:eastAsia="Times New Roman" w:hint="default"/>
                <w:sz w:val="18"/>
                <w:szCs w:val="18"/>
              </w:rPr>
            </w:pPr>
            <w:r>
              <w:rPr>
                <w:rFonts w:ascii="Times New Roman"/>
                <w:sz w:val="18"/>
              </w:rPr>
              <w:t>797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9"/>
        <w:ind w:left="514" w:right="93"/>
        <w:jc w:val="left"/>
      </w:pPr>
      <w:r>
        <w:rPr>
          <w:rFonts w:ascii="Times New Roman" w:hAnsi="Times New Roman" w:cs="Times New Roman" w:eastAsia="Times New Roman" w:hint="default"/>
        </w:rPr>
        <w:t>2</w:t>
      </w:r>
      <w:r>
        <w:rPr/>
        <w:t>．学历结构</w:t>
      </w:r>
    </w:p>
    <w:p>
      <w:pPr>
        <w:spacing w:line="240" w:lineRule="auto" w:before="12"/>
        <w:rPr>
          <w:rFonts w:ascii="宋体" w:hAnsi="宋体" w:cs="宋体" w:eastAsia="宋体" w:hint="default"/>
          <w:sz w:val="12"/>
          <w:szCs w:val="12"/>
        </w:rPr>
      </w:pPr>
    </w:p>
    <w:tbl>
      <w:tblPr>
        <w:tblW w:w="0" w:type="auto"/>
        <w:jc w:val="left"/>
        <w:tblInd w:w="826" w:type="dxa"/>
        <w:tblLayout w:type="fixed"/>
        <w:tblCellMar>
          <w:top w:w="0" w:type="dxa"/>
          <w:left w:w="0" w:type="dxa"/>
          <w:bottom w:w="0" w:type="dxa"/>
          <w:right w:w="0" w:type="dxa"/>
        </w:tblCellMar>
        <w:tblLook w:val="01E0"/>
      </w:tblPr>
      <w:tblGrid>
        <w:gridCol w:w="2700"/>
        <w:gridCol w:w="2793"/>
        <w:gridCol w:w="2788"/>
      </w:tblGrid>
      <w:tr>
        <w:trPr>
          <w:trHeight w:val="427" w:hRule="exact"/>
        </w:trPr>
        <w:tc>
          <w:tcPr>
            <w:tcW w:w="27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891" w:right="0"/>
              <w:jc w:val="left"/>
              <w:rPr>
                <w:rFonts w:ascii="宋体" w:hAnsi="宋体" w:cs="宋体" w:eastAsia="宋体" w:hint="default"/>
                <w:sz w:val="18"/>
                <w:szCs w:val="18"/>
              </w:rPr>
            </w:pPr>
            <w:r>
              <w:rPr>
                <w:rFonts w:ascii="宋体" w:hAnsi="宋体" w:cs="宋体" w:eastAsia="宋体" w:hint="default"/>
                <w:sz w:val="18"/>
                <w:szCs w:val="18"/>
              </w:rPr>
              <w:t>受教育程度</w:t>
            </w:r>
          </w:p>
        </w:tc>
        <w:tc>
          <w:tcPr>
            <w:tcW w:w="2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208"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7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98" w:right="0"/>
              <w:jc w:val="left"/>
              <w:rPr>
                <w:rFonts w:ascii="Times New Roman" w:hAnsi="Times New Roman" w:cs="Times New Roman" w:eastAsia="Times New Roman" w:hint="default"/>
                <w:sz w:val="18"/>
                <w:szCs w:val="18"/>
              </w:rPr>
            </w:pPr>
            <w:r>
              <w:rPr>
                <w:rFonts w:ascii="Times New Roman"/>
                <w:sz w:val="18"/>
              </w:rPr>
              <w:t>26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3.26%</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54" w:right="0"/>
              <w:jc w:val="left"/>
              <w:rPr>
                <w:rFonts w:ascii="Times New Roman" w:hAnsi="Times New Roman" w:cs="Times New Roman" w:eastAsia="Times New Roman" w:hint="default"/>
                <w:sz w:val="18"/>
                <w:szCs w:val="18"/>
              </w:rPr>
            </w:pPr>
            <w:r>
              <w:rPr>
                <w:rFonts w:ascii="Times New Roman"/>
                <w:sz w:val="18"/>
              </w:rPr>
              <w:t>427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53.58%</w:t>
            </w:r>
          </w:p>
        </w:tc>
      </w:tr>
      <w:tr>
        <w:trPr>
          <w:trHeight w:val="426"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54" w:right="0"/>
              <w:jc w:val="left"/>
              <w:rPr>
                <w:rFonts w:ascii="Times New Roman" w:hAnsi="Times New Roman" w:cs="Times New Roman" w:eastAsia="Times New Roman" w:hint="default"/>
                <w:sz w:val="18"/>
                <w:szCs w:val="18"/>
              </w:rPr>
            </w:pPr>
            <w:r>
              <w:rPr>
                <w:rFonts w:ascii="Times New Roman"/>
                <w:sz w:val="18"/>
              </w:rPr>
              <w:t>261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32.75%</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98" w:right="0"/>
              <w:jc w:val="left"/>
              <w:rPr>
                <w:rFonts w:ascii="Times New Roman" w:hAnsi="Times New Roman" w:cs="Times New Roman" w:eastAsia="Times New Roman" w:hint="default"/>
                <w:sz w:val="18"/>
                <w:szCs w:val="18"/>
              </w:rPr>
            </w:pPr>
            <w:r>
              <w:rPr>
                <w:rFonts w:ascii="Times New Roman"/>
                <w:sz w:val="18"/>
              </w:rPr>
              <w:t>83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10.41%</w:t>
            </w:r>
          </w:p>
        </w:tc>
      </w:tr>
      <w:tr>
        <w:trPr>
          <w:trHeight w:val="429"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54" w:right="0"/>
              <w:jc w:val="left"/>
              <w:rPr>
                <w:rFonts w:ascii="Times New Roman" w:hAnsi="Times New Roman" w:cs="Times New Roman" w:eastAsia="Times New Roman" w:hint="default"/>
                <w:sz w:val="18"/>
                <w:szCs w:val="18"/>
              </w:rPr>
            </w:pPr>
            <w:r>
              <w:rPr>
                <w:rFonts w:ascii="Times New Roman"/>
                <w:sz w:val="18"/>
              </w:rPr>
              <w:t>797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9"/>
        <w:ind w:left="514" w:right="93"/>
        <w:jc w:val="left"/>
      </w:pPr>
      <w:r>
        <w:rPr>
          <w:rFonts w:ascii="Times New Roman" w:hAnsi="Times New Roman" w:cs="Times New Roman" w:eastAsia="Times New Roman" w:hint="default"/>
        </w:rPr>
        <w:t>3</w:t>
      </w:r>
      <w:r>
        <w:rPr/>
        <w:t>．年龄结构</w:t>
      </w:r>
    </w:p>
    <w:p>
      <w:pPr>
        <w:spacing w:line="240" w:lineRule="auto" w:before="12"/>
        <w:rPr>
          <w:rFonts w:ascii="宋体" w:hAnsi="宋体" w:cs="宋体" w:eastAsia="宋体" w:hint="default"/>
          <w:sz w:val="12"/>
          <w:szCs w:val="12"/>
        </w:rPr>
      </w:pPr>
    </w:p>
    <w:tbl>
      <w:tblPr>
        <w:tblW w:w="0" w:type="auto"/>
        <w:jc w:val="left"/>
        <w:tblInd w:w="826" w:type="dxa"/>
        <w:tblLayout w:type="fixed"/>
        <w:tblCellMar>
          <w:top w:w="0" w:type="dxa"/>
          <w:left w:w="0" w:type="dxa"/>
          <w:bottom w:w="0" w:type="dxa"/>
          <w:right w:w="0" w:type="dxa"/>
        </w:tblCellMar>
        <w:tblLook w:val="01E0"/>
      </w:tblPr>
      <w:tblGrid>
        <w:gridCol w:w="2700"/>
        <w:gridCol w:w="2793"/>
        <w:gridCol w:w="2788"/>
      </w:tblGrid>
      <w:tr>
        <w:trPr>
          <w:trHeight w:val="427" w:hRule="exact"/>
        </w:trPr>
        <w:tc>
          <w:tcPr>
            <w:tcW w:w="27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年龄区间</w:t>
            </w:r>
          </w:p>
        </w:tc>
        <w:tc>
          <w:tcPr>
            <w:tcW w:w="2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7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577" w:right="0"/>
              <w:jc w:val="left"/>
              <w:rPr>
                <w:rFonts w:ascii="宋体" w:hAnsi="宋体" w:cs="宋体" w:eastAsia="宋体" w:hint="default"/>
                <w:sz w:val="18"/>
                <w:szCs w:val="18"/>
              </w:rPr>
            </w:pPr>
            <w:r>
              <w:rPr>
                <w:rFonts w:ascii="宋体" w:hAnsi="宋体" w:cs="宋体" w:eastAsia="宋体" w:hint="default"/>
                <w:sz w:val="18"/>
                <w:szCs w:val="18"/>
              </w:rPr>
              <w:t>占员工总人数的比例</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826" w:type="dxa"/>
        <w:tblLayout w:type="fixed"/>
        <w:tblCellMar>
          <w:top w:w="0" w:type="dxa"/>
          <w:left w:w="0" w:type="dxa"/>
          <w:bottom w:w="0" w:type="dxa"/>
          <w:right w:w="0" w:type="dxa"/>
        </w:tblCellMar>
        <w:tblLook w:val="01E0"/>
      </w:tblPr>
      <w:tblGrid>
        <w:gridCol w:w="2700"/>
        <w:gridCol w:w="2793"/>
        <w:gridCol w:w="2788"/>
      </w:tblGrid>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岁以上</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98" w:right="0"/>
              <w:jc w:val="left"/>
              <w:rPr>
                <w:rFonts w:ascii="Times New Roman" w:hAnsi="Times New Roman" w:cs="Times New Roman" w:eastAsia="Times New Roman" w:hint="default"/>
                <w:sz w:val="18"/>
                <w:szCs w:val="18"/>
              </w:rPr>
            </w:pPr>
            <w:r>
              <w:rPr>
                <w:rFonts w:ascii="Times New Roman"/>
                <w:sz w:val="18"/>
              </w:rPr>
              <w:t>37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4.64%</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w:t>
            </w:r>
            <w:r>
              <w:rPr>
                <w:rFonts w:ascii="Times New Roman" w:hAnsi="Times New Roman" w:cs="Times New Roman" w:eastAsia="Times New Roman" w:hint="default"/>
                <w:sz w:val="18"/>
                <w:szCs w:val="18"/>
              </w:rPr>
              <w:t>-40</w:t>
            </w:r>
            <w:r>
              <w:rPr>
                <w:rFonts w:ascii="宋体" w:hAnsi="宋体" w:cs="宋体" w:eastAsia="宋体" w:hint="default"/>
                <w:sz w:val="18"/>
                <w:szCs w:val="18"/>
              </w:rPr>
              <w:t>岁</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54" w:right="0"/>
              <w:jc w:val="left"/>
              <w:rPr>
                <w:rFonts w:ascii="Times New Roman" w:hAnsi="Times New Roman" w:cs="Times New Roman" w:eastAsia="Times New Roman" w:hint="default"/>
                <w:sz w:val="18"/>
                <w:szCs w:val="18"/>
              </w:rPr>
            </w:pPr>
            <w:r>
              <w:rPr>
                <w:rFonts w:ascii="Times New Roman"/>
                <w:sz w:val="18"/>
              </w:rPr>
              <w:t>250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31.37%</w:t>
            </w:r>
          </w:p>
        </w:tc>
      </w:tr>
      <w:tr>
        <w:trPr>
          <w:trHeight w:val="426"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岁</w:t>
            </w:r>
            <w:r>
              <w:rPr>
                <w:rFonts w:ascii="Times New Roman" w:hAnsi="Times New Roman" w:cs="Times New Roman" w:eastAsia="Times New Roman" w:hint="default"/>
                <w:sz w:val="18"/>
                <w:szCs w:val="18"/>
              </w:rPr>
              <w:t>-30</w:t>
            </w:r>
            <w:r>
              <w:rPr>
                <w:rFonts w:ascii="宋体" w:hAnsi="宋体" w:cs="宋体" w:eastAsia="宋体" w:hint="default"/>
                <w:sz w:val="18"/>
                <w:szCs w:val="18"/>
              </w:rPr>
              <w:t>岁</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254" w:right="0"/>
              <w:jc w:val="left"/>
              <w:rPr>
                <w:rFonts w:ascii="Times New Roman" w:hAnsi="Times New Roman" w:cs="Times New Roman" w:eastAsia="Times New Roman" w:hint="default"/>
                <w:sz w:val="18"/>
                <w:szCs w:val="18"/>
              </w:rPr>
            </w:pPr>
            <w:r>
              <w:rPr>
                <w:rFonts w:ascii="Times New Roman"/>
                <w:sz w:val="18"/>
              </w:rPr>
              <w:t>509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63.86%</w:t>
            </w:r>
          </w:p>
        </w:tc>
      </w:tr>
      <w:tr>
        <w:trPr>
          <w:trHeight w:val="428"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岁以下</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0.13%</w:t>
            </w:r>
          </w:p>
        </w:tc>
      </w:tr>
      <w:tr>
        <w:trPr>
          <w:trHeight w:val="428"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54" w:right="0"/>
              <w:jc w:val="left"/>
              <w:rPr>
                <w:rFonts w:ascii="Times New Roman" w:hAnsi="Times New Roman" w:cs="Times New Roman" w:eastAsia="Times New Roman" w:hint="default"/>
                <w:sz w:val="18"/>
                <w:szCs w:val="18"/>
              </w:rPr>
            </w:pPr>
            <w:r>
              <w:rPr>
                <w:rFonts w:ascii="Times New Roman"/>
                <w:sz w:val="18"/>
              </w:rPr>
              <w:t>797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8"/>
        <w:rPr>
          <w:rFonts w:ascii="宋体" w:hAnsi="宋体" w:cs="宋体" w:eastAsia="宋体" w:hint="default"/>
          <w:sz w:val="12"/>
          <w:szCs w:val="12"/>
        </w:rPr>
      </w:pPr>
    </w:p>
    <w:p>
      <w:pPr>
        <w:pStyle w:val="BodyText"/>
        <w:spacing w:line="240" w:lineRule="auto" w:before="44"/>
        <w:ind w:left="514" w:right="0"/>
        <w:jc w:val="left"/>
      </w:pPr>
      <w:r>
        <w:rPr>
          <w:rFonts w:ascii="Times New Roman" w:hAnsi="Times New Roman" w:cs="Times New Roman" w:eastAsia="Times New Roman" w:hint="default"/>
        </w:rPr>
        <w:t>4</w:t>
      </w:r>
      <w:r>
        <w:rPr/>
        <w:t>．截止报告期末，公司没有需要承担费用的离退休职工。</w:t>
      </w:r>
    </w:p>
    <w:p>
      <w:pPr>
        <w:spacing w:after="0" w:line="240"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495" w:right="533"/>
        <w:jc w:val="center"/>
        <w:rPr>
          <w:b w:val="0"/>
          <w:bCs w:val="0"/>
        </w:rPr>
      </w:pPr>
      <w:bookmarkStart w:name="第八节 公司治理" w:id="98"/>
      <w:bookmarkEnd w:id="98"/>
      <w:r>
        <w:rPr>
          <w:b w:val="0"/>
          <w:bCs w:val="0"/>
        </w:rPr>
      </w:r>
      <w:bookmarkStart w:name="_bookmark7" w:id="99"/>
      <w:bookmarkEnd w:id="99"/>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3"/>
        <w:jc w:val="left"/>
        <w:rPr>
          <w:b w:val="0"/>
          <w:bCs w:val="0"/>
        </w:rPr>
      </w:pPr>
      <w:bookmarkStart w:name="一、公司治理的基本状况" w:id="100"/>
      <w:bookmarkEnd w:id="100"/>
      <w:r>
        <w:rPr>
          <w:b w:val="0"/>
          <w:bCs w:val="0"/>
        </w:rPr>
      </w:r>
      <w:r>
        <w:rPr/>
        <w:t>一、公司治理的基本状况</w:t>
      </w:r>
      <w:r>
        <w:rPr>
          <w:b w:val="0"/>
          <w:bCs w:val="0"/>
        </w:rPr>
      </w:r>
    </w:p>
    <w:p>
      <w:pPr>
        <w:spacing w:line="240" w:lineRule="auto" w:before="8"/>
        <w:rPr>
          <w:rFonts w:ascii="宋体" w:hAnsi="宋体" w:cs="宋体" w:eastAsia="宋体" w:hint="default"/>
          <w:b/>
          <w:bCs/>
          <w:sz w:val="32"/>
          <w:szCs w:val="32"/>
        </w:rPr>
      </w:pPr>
    </w:p>
    <w:p>
      <w:pPr>
        <w:pStyle w:val="BodyText"/>
        <w:spacing w:line="487" w:lineRule="auto"/>
        <w:ind w:left="514" w:right="92"/>
        <w:jc w:val="left"/>
      </w:pPr>
      <w:r>
        <w:rPr>
          <w:rFonts w:ascii="Times New Roman" w:hAnsi="Times New Roman" w:cs="Times New Roman" w:eastAsia="Times New Roman" w:hint="default"/>
        </w:rPr>
        <w:t>1</w:t>
      </w:r>
      <w:r>
        <w:rPr/>
        <w:t>．关于股东与股东大会 公司严格按照《上市公司股东大会规则》、《公司章程》、《股东大会议事规则》等规定和要求召集、召开股东大会，</w:t>
      </w:r>
    </w:p>
    <w:p>
      <w:pPr>
        <w:pStyle w:val="BodyText"/>
        <w:spacing w:line="240" w:lineRule="auto" w:before="48"/>
        <w:ind w:left="154" w:right="93"/>
        <w:jc w:val="left"/>
      </w:pPr>
      <w:r>
        <w:rPr/>
        <w:t>平等对待所有股东，并尽可能为股东参加股东大会提供便利，使其充分行使股东权利。</w:t>
      </w:r>
    </w:p>
    <w:p>
      <w:pPr>
        <w:spacing w:line="240" w:lineRule="auto" w:before="10"/>
        <w:rPr>
          <w:rFonts w:ascii="宋体" w:hAnsi="宋体" w:cs="宋体" w:eastAsia="宋体" w:hint="default"/>
          <w:sz w:val="20"/>
          <w:szCs w:val="20"/>
        </w:rPr>
      </w:pPr>
    </w:p>
    <w:p>
      <w:pPr>
        <w:pStyle w:val="BodyText"/>
        <w:spacing w:line="489" w:lineRule="auto"/>
        <w:ind w:left="514" w:right="93"/>
        <w:jc w:val="left"/>
      </w:pPr>
      <w:r>
        <w:rPr>
          <w:rFonts w:ascii="Times New Roman" w:hAnsi="Times New Roman" w:cs="Times New Roman" w:eastAsia="Times New Roman" w:hint="default"/>
        </w:rPr>
        <w:t>2</w:t>
      </w:r>
      <w:r>
        <w:rPr/>
        <w:t>．关于公司与控股股东 </w:t>
      </w:r>
      <w:r>
        <w:rPr>
          <w:spacing w:val="-2"/>
        </w:rPr>
        <w:t>公司控股股东严格规范自己的行为，没有超越股东大会直接或间接干预公司的决策和经营活动。公司拥有独立完整的业</w:t>
      </w:r>
    </w:p>
    <w:p>
      <w:pPr>
        <w:pStyle w:val="BodyText"/>
        <w:spacing w:line="240" w:lineRule="auto" w:before="46"/>
        <w:ind w:left="154" w:right="93"/>
        <w:jc w:val="left"/>
      </w:pPr>
      <w:r>
        <w:rPr/>
        <w:t>务和自主经营能力，在业务、人员、资产、机构、财务上独立于控股股东，公司董事会、监事会和内部机构独立运作。</w:t>
      </w:r>
    </w:p>
    <w:p>
      <w:pPr>
        <w:spacing w:line="240" w:lineRule="auto" w:before="10"/>
        <w:rPr>
          <w:rFonts w:ascii="宋体" w:hAnsi="宋体" w:cs="宋体" w:eastAsia="宋体" w:hint="default"/>
          <w:sz w:val="20"/>
          <w:szCs w:val="20"/>
        </w:rPr>
      </w:pPr>
    </w:p>
    <w:p>
      <w:pPr>
        <w:pStyle w:val="BodyText"/>
        <w:spacing w:line="240" w:lineRule="auto"/>
        <w:ind w:left="513" w:right="93"/>
        <w:jc w:val="left"/>
      </w:pPr>
      <w:r>
        <w:rPr>
          <w:rFonts w:ascii="Times New Roman" w:hAnsi="Times New Roman" w:cs="Times New Roman" w:eastAsia="Times New Roman" w:hint="default"/>
        </w:rPr>
        <w:t>3</w:t>
      </w:r>
      <w:r>
        <w:rPr/>
        <w:t>．关于董事和董事会</w:t>
      </w:r>
    </w:p>
    <w:p>
      <w:pPr>
        <w:spacing w:line="240" w:lineRule="auto" w:before="9"/>
        <w:rPr>
          <w:rFonts w:ascii="宋体" w:hAnsi="宋体" w:cs="宋体" w:eastAsia="宋体" w:hint="default"/>
          <w:sz w:val="19"/>
          <w:szCs w:val="19"/>
        </w:rPr>
      </w:pPr>
    </w:p>
    <w:p>
      <w:pPr>
        <w:pStyle w:val="BodyText"/>
        <w:spacing w:line="465" w:lineRule="auto"/>
        <w:ind w:left="154" w:right="93" w:firstLine="360"/>
        <w:jc w:val="left"/>
      </w:pPr>
      <w:r>
        <w:rPr/>
        <w:t>公司董事会设董事</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名，其中独立董事</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名，董事会的人数及人员构成符合法律、法规和《公司章程》的要求。公司 </w:t>
      </w:r>
      <w:r>
        <w:rPr>
          <w:spacing w:val="-2"/>
        </w:rPr>
        <w:t>董事能够依据《董事会议事规则》、《独立董事制度》、《深圳证券交易所创业板上市公司规范运作指引》等开展工作，出</w:t>
      </w:r>
      <w:r>
        <w:rPr>
          <w:spacing w:val="-68"/>
        </w:rPr>
        <w:t> </w:t>
      </w:r>
      <w:r>
        <w:rPr>
          <w:spacing w:val="-68"/>
        </w:rPr>
      </w:r>
      <w:r>
        <w:rPr/>
        <w:t>席董事会和股东大会，勤勉尽责地履行职责和义务，同时积极参加相关培训，熟悉相关法律法规。</w:t>
      </w:r>
    </w:p>
    <w:p>
      <w:pPr>
        <w:pStyle w:val="BodyText"/>
        <w:spacing w:line="240" w:lineRule="auto" w:before="104"/>
        <w:ind w:left="513" w:right="93"/>
        <w:jc w:val="left"/>
      </w:pPr>
      <w:r>
        <w:rPr>
          <w:rFonts w:ascii="Times New Roman" w:hAnsi="Times New Roman" w:cs="Times New Roman" w:eastAsia="Times New Roman" w:hint="default"/>
        </w:rPr>
        <w:t>4</w:t>
      </w:r>
      <w:r>
        <w:rPr/>
        <w:t>．关于监事和监事会</w:t>
      </w:r>
    </w:p>
    <w:p>
      <w:pPr>
        <w:spacing w:line="240" w:lineRule="auto" w:before="9"/>
        <w:rPr>
          <w:rFonts w:ascii="宋体" w:hAnsi="宋体" w:cs="宋体" w:eastAsia="宋体" w:hint="default"/>
          <w:sz w:val="19"/>
          <w:szCs w:val="19"/>
        </w:rPr>
      </w:pPr>
    </w:p>
    <w:p>
      <w:pPr>
        <w:pStyle w:val="BodyText"/>
        <w:spacing w:line="465" w:lineRule="auto"/>
        <w:ind w:left="154" w:right="190" w:firstLine="360"/>
        <w:jc w:val="both"/>
      </w:pPr>
      <w:r>
        <w:rPr/>
        <w:t>公司监事会设监事</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名，其中职工监事</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名，监事会的人数和构成符合法律、法规的要求。公司监事能够按照《监事会 </w:t>
      </w:r>
      <w:r>
        <w:rPr>
          <w:spacing w:val="-2"/>
        </w:rPr>
        <w:t>议事规则》的要求，认真履行自己的职责，对公司重大事项、关联交易、财务状况以及董事、高管人员履行职责的合法合规</w:t>
      </w:r>
      <w:r>
        <w:rPr>
          <w:spacing w:val="-68"/>
        </w:rPr>
        <w:t> </w:t>
      </w:r>
      <w:r>
        <w:rPr>
          <w:spacing w:val="-68"/>
        </w:rPr>
      </w:r>
      <w:r>
        <w:rPr/>
        <w:t>性进行监督。</w:t>
      </w:r>
    </w:p>
    <w:p>
      <w:pPr>
        <w:pStyle w:val="BodyText"/>
        <w:spacing w:line="487" w:lineRule="auto" w:before="103"/>
        <w:ind w:left="513" w:right="93"/>
        <w:jc w:val="left"/>
      </w:pPr>
      <w:r>
        <w:rPr>
          <w:rFonts w:ascii="Times New Roman" w:hAnsi="Times New Roman" w:cs="Times New Roman" w:eastAsia="Times New Roman" w:hint="default"/>
        </w:rPr>
        <w:t>5</w:t>
      </w:r>
      <w:r>
        <w:rPr/>
        <w:t>．关于绩效评价与激励约束机制 </w:t>
      </w:r>
      <w:r>
        <w:rPr>
          <w:spacing w:val="-4"/>
        </w:rPr>
        <w:t>公司正逐步建立和完善公正、透明的董事、监事和经理人员的绩效评价标准和激励约束机制，高层管理人员的聘任公开、</w:t>
      </w:r>
    </w:p>
    <w:p>
      <w:pPr>
        <w:pStyle w:val="BodyText"/>
        <w:spacing w:line="240" w:lineRule="auto" w:before="48"/>
        <w:ind w:right="93"/>
        <w:jc w:val="left"/>
      </w:pPr>
      <w:r>
        <w:rPr/>
        <w:t>透明，符合法律法规的规定。</w:t>
      </w:r>
    </w:p>
    <w:p>
      <w:pPr>
        <w:spacing w:line="240" w:lineRule="auto" w:before="12"/>
        <w:rPr>
          <w:rFonts w:ascii="宋体" w:hAnsi="宋体" w:cs="宋体" w:eastAsia="宋体" w:hint="default"/>
          <w:sz w:val="20"/>
          <w:szCs w:val="20"/>
        </w:rPr>
      </w:pPr>
    </w:p>
    <w:p>
      <w:pPr>
        <w:pStyle w:val="BodyText"/>
        <w:spacing w:line="487" w:lineRule="auto"/>
        <w:ind w:left="514" w:right="93"/>
        <w:jc w:val="left"/>
      </w:pPr>
      <w:r>
        <w:rPr>
          <w:rFonts w:ascii="Times New Roman" w:hAnsi="Times New Roman" w:cs="Times New Roman" w:eastAsia="Times New Roman" w:hint="default"/>
        </w:rPr>
        <w:t>6</w:t>
      </w:r>
      <w:r>
        <w:rPr/>
        <w:t>．关于信息披露与透明度 </w:t>
      </w:r>
      <w:r>
        <w:rPr>
          <w:spacing w:val="-2"/>
        </w:rPr>
        <w:t>公司严格按照有关法律法规以及《信息披露制度》、《投资者关系管理制度》等的要求，真实、准确、及时、公平、完</w:t>
      </w:r>
    </w:p>
    <w:p>
      <w:pPr>
        <w:pStyle w:val="BodyText"/>
        <w:spacing w:line="465" w:lineRule="auto" w:before="47"/>
        <w:ind w:right="93"/>
        <w:jc w:val="left"/>
      </w:pPr>
      <w:r>
        <w:rPr>
          <w:spacing w:val="-4"/>
        </w:rPr>
        <w:t>整地披露有关信息；并指定公司董事会秘书负责信息披露工作，协调公司与投资者的关系，接待股东来访，回答投资者咨询；</w:t>
      </w:r>
      <w:r>
        <w:rPr>
          <w:spacing w:val="-46"/>
        </w:rPr>
        <w:t> </w:t>
      </w:r>
      <w:r>
        <w:rPr>
          <w:spacing w:val="-46"/>
        </w:rPr>
      </w:r>
      <w:r>
        <w:rPr/>
        <w:t>并指定《证券时报》和巨潮资讯网（</w:t>
      </w:r>
      <w:hyperlink r:id="rId12">
        <w:r>
          <w:rPr>
            <w:rFonts w:ascii="Times New Roman" w:hAnsi="Times New Roman" w:cs="Times New Roman" w:eastAsia="Times New Roman" w:hint="default"/>
          </w:rPr>
          <w:t>www.cninfo.com.cn</w:t>
        </w:r>
      </w:hyperlink>
      <w:r>
        <w:rPr/>
        <w:t>）为公司信息披露的指定报纸和网站，确保公司所有股东能够以平</w:t>
      </w:r>
      <w:r>
        <w:rPr>
          <w:w w:val="99"/>
        </w:rPr>
        <w:t> </w:t>
      </w:r>
      <w:r>
        <w:rPr/>
        <w:t>等的机会获得信息。</w:t>
      </w:r>
    </w:p>
    <w:p>
      <w:pPr>
        <w:pStyle w:val="BodyText"/>
        <w:spacing w:line="489" w:lineRule="auto" w:before="103"/>
        <w:ind w:left="514" w:right="93"/>
        <w:jc w:val="left"/>
      </w:pPr>
      <w:r>
        <w:rPr>
          <w:rFonts w:ascii="Times New Roman" w:hAnsi="Times New Roman" w:cs="Times New Roman" w:eastAsia="Times New Roman" w:hint="default"/>
        </w:rPr>
        <w:t>7</w:t>
      </w:r>
      <w:r>
        <w:rPr/>
        <w:t>．关于相关利益者 </w:t>
      </w:r>
      <w:r>
        <w:rPr>
          <w:spacing w:val="-2"/>
        </w:rPr>
        <w:t>公司充分尊重和维护相关利益者的合法权益，实现社会、股东、公司、员工等各方面利益的协调平衡，诚信对待供应商</w:t>
      </w:r>
    </w:p>
    <w:p>
      <w:pPr>
        <w:spacing w:after="0" w:line="489"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和客户，坚持与相关利益者互利共赢的原则，共同推动公司持续、稳健发展。</w:t>
      </w:r>
    </w:p>
    <w:p>
      <w:pPr>
        <w:spacing w:line="240" w:lineRule="auto" w:before="11"/>
        <w:rPr>
          <w:rFonts w:ascii="宋体" w:hAnsi="宋体" w:cs="宋体" w:eastAsia="宋体" w:hint="default"/>
          <w:sz w:val="26"/>
          <w:szCs w:val="26"/>
        </w:rPr>
      </w:pPr>
    </w:p>
    <w:p>
      <w:pPr>
        <w:pStyle w:val="BodyText"/>
        <w:spacing w:line="240" w:lineRule="auto"/>
        <w:ind w:right="0"/>
        <w:jc w:val="left"/>
      </w:pPr>
      <w:r>
        <w:rPr/>
        <w:t>公司治理与《公司法》和中国证监会相关规定的要求是否存在差异</w:t>
      </w:r>
    </w:p>
    <w:p>
      <w:pPr>
        <w:spacing w:line="240" w:lineRule="auto" w:before="12"/>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报告期内召开的年度股东大会和临时股东大会的有关情况" w:id="101"/>
      <w:bookmarkEnd w:id="101"/>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年度股东大会情况" w:id="102"/>
      <w:bookmarkEnd w:id="10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本报告期临时股东大会情况" w:id="103"/>
      <w:bookmarkEnd w:id="10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董事会召开情况" w:id="104"/>
      <w:bookmarkEnd w:id="104"/>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第二届董事会第二十二次会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第二届董事会第二十三次会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第二届董事会第二十四次会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审议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年第一季度报告全 文，董事会决议未单独披露</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3"/>
        <w:jc w:val="left"/>
        <w:rPr>
          <w:b w:val="0"/>
          <w:bCs w:val="0"/>
        </w:rPr>
      </w:pPr>
      <w:bookmarkStart w:name="四、年度报告重大差错责任追究制度的建立与执行情况" w:id="105"/>
      <w:bookmarkEnd w:id="105"/>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32"/>
          <w:szCs w:val="32"/>
        </w:rPr>
      </w:pPr>
    </w:p>
    <w:p>
      <w:pPr>
        <w:pStyle w:val="BodyText"/>
        <w:spacing w:line="470" w:lineRule="auto"/>
        <w:ind w:right="93" w:firstLine="360"/>
        <w:jc w:val="left"/>
      </w:pPr>
      <w:r>
        <w:rPr/>
        <w:t>报告期内，公司严格按照《公司法》、《上市公司信息披露管理办法》、《深圳证券交易所创业板股票上市交易规则》 等相关法律法规的规定，规范运作。经</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日公司第一届董事会第十一次会议审议通过了《年报信息披露重大差 </w:t>
      </w:r>
      <w:r>
        <w:rPr>
          <w:spacing w:val="-2"/>
        </w:rPr>
        <w:t>错责任追究制度》。该制度的建立，完善了公司内部控制，加大了对年报信息披露责任人的问责力度，提高年报信息披露的</w:t>
      </w:r>
      <w:r>
        <w:rPr>
          <w:spacing w:val="-66"/>
        </w:rPr>
        <w:t> </w:t>
      </w:r>
      <w:r>
        <w:rPr>
          <w:spacing w:val="-66"/>
        </w:rPr>
      </w:r>
      <w:r>
        <w:rPr/>
        <w:t>质量和透明度，增强年报信息披露的真实性、准确性、完整性和及时性。</w:t>
      </w:r>
      <w:r>
        <w:rPr>
          <w:spacing w:val="-17"/>
        </w:rPr>
        <w:t> </w:t>
      </w:r>
      <w:r>
        <w:rPr/>
        <w:t>截至报告期末，公司未发生重大会计差错更正、</w:t>
      </w:r>
      <w:r>
        <w:rPr/>
        <w:t> 重大遗漏信息补充以及业绩预告修正的情形。</w:t>
      </w:r>
    </w:p>
    <w:p>
      <w:pPr>
        <w:spacing w:line="240" w:lineRule="auto" w:before="10"/>
        <w:rPr>
          <w:rFonts w:ascii="宋体" w:hAnsi="宋体" w:cs="宋体" w:eastAsia="宋体" w:hint="default"/>
          <w:sz w:val="17"/>
          <w:szCs w:val="17"/>
        </w:rPr>
      </w:pPr>
    </w:p>
    <w:p>
      <w:pPr>
        <w:pStyle w:val="Heading2"/>
        <w:spacing w:line="240" w:lineRule="auto"/>
        <w:ind w:left="154" w:right="93"/>
        <w:jc w:val="left"/>
        <w:rPr>
          <w:b w:val="0"/>
          <w:bCs w:val="0"/>
        </w:rPr>
      </w:pPr>
      <w:bookmarkStart w:name="五、 公司是否存在治理非规范情况说明" w:id="106"/>
      <w:bookmarkEnd w:id="106"/>
      <w:r>
        <w:rPr>
          <w:b w:val="0"/>
          <w:bCs w:val="0"/>
        </w:rPr>
      </w:r>
      <w:r>
        <w:rPr/>
        <w:t>五、</w:t>
      </w:r>
      <w:r>
        <w:rPr>
          <w:spacing w:val="-15"/>
        </w:rPr>
        <w:t> </w:t>
      </w:r>
      <w:r>
        <w:rPr/>
        <w:t>公司是否存在治理非规范情况说明</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89" w:firstLine="360"/>
        <w:jc w:val="both"/>
      </w:pPr>
      <w:r>
        <w:rPr>
          <w:spacing w:val="-2"/>
        </w:rPr>
        <w:t>报告期内，公司大股东、实际控制人严格遵守《深圳证券交易所创业板股票上市规则》、《深圳证券交易所创业板上市</w:t>
      </w:r>
      <w:r>
        <w:rPr/>
        <w:t> </w:t>
      </w:r>
      <w:r>
        <w:rPr>
          <w:spacing w:val="-2"/>
        </w:rPr>
        <w:t>公司规范运作指引》等相关法律法规的规定，不存在干预公司研发、经营、管理等治理非规范情况，公司亦不存在向大股东</w:t>
      </w:r>
      <w:r>
        <w:rPr>
          <w:spacing w:val="-66"/>
        </w:rPr>
        <w:t> </w:t>
      </w:r>
      <w:r>
        <w:rPr>
          <w:spacing w:val="-66"/>
        </w:rPr>
      </w:r>
      <w:r>
        <w:rPr/>
        <w:t>提供未公开信息或存在其他治理非规范情况。</w:t>
      </w:r>
    </w:p>
    <w:p>
      <w:pPr>
        <w:spacing w:line="240" w:lineRule="auto" w:before="4"/>
        <w:rPr>
          <w:rFonts w:ascii="宋体" w:hAnsi="宋体" w:cs="宋体" w:eastAsia="宋体" w:hint="default"/>
          <w:sz w:val="17"/>
          <w:szCs w:val="17"/>
        </w:rPr>
      </w:pPr>
    </w:p>
    <w:p>
      <w:pPr>
        <w:pStyle w:val="Heading2"/>
        <w:spacing w:line="240" w:lineRule="auto"/>
        <w:ind w:right="93"/>
        <w:jc w:val="left"/>
        <w:rPr>
          <w:b w:val="0"/>
          <w:bCs w:val="0"/>
        </w:rPr>
      </w:pPr>
      <w:bookmarkStart w:name="六、监事会工作情况" w:id="107"/>
      <w:bookmarkEnd w:id="107"/>
      <w:r>
        <w:rPr>
          <w:b w:val="0"/>
          <w:bCs w:val="0"/>
        </w:rPr>
      </w:r>
      <w:r>
        <w:rPr/>
        <w:t>六、监事会工作情况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3"/>
        <w:jc w:val="left"/>
      </w:pPr>
      <w:r>
        <w:rPr/>
        <w:t>监事会在报告期内的监督活动是否发现公司存在风险</w:t>
      </w:r>
    </w:p>
    <w:p>
      <w:pPr>
        <w:pStyle w:val="BodyText"/>
        <w:spacing w:line="240" w:lineRule="auto" w:before="117"/>
        <w:ind w:left="154" w:right="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13"/>
          <w:szCs w:val="13"/>
        </w:rPr>
      </w:pPr>
    </w:p>
    <w:p>
      <w:pPr>
        <w:pStyle w:val="BodyText"/>
        <w:spacing w:line="240" w:lineRule="auto"/>
        <w:ind w:left="513" w:right="93"/>
        <w:jc w:val="left"/>
      </w:pPr>
      <w:r>
        <w:rPr/>
        <w:t>公司监事会对报告期内的监督事项无异议。</w:t>
      </w:r>
    </w:p>
    <w:p>
      <w:pPr>
        <w:spacing w:after="0" w:line="240"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495" w:right="533"/>
        <w:jc w:val="center"/>
        <w:rPr>
          <w:b w:val="0"/>
          <w:bCs w:val="0"/>
        </w:rPr>
      </w:pPr>
      <w:bookmarkStart w:name="第九节 财务报告" w:id="108"/>
      <w:bookmarkEnd w:id="108"/>
      <w:r>
        <w:rPr>
          <w:b w:val="0"/>
          <w:bCs w:val="0"/>
        </w:rPr>
      </w:r>
      <w:bookmarkStart w:name="_bookmark8" w:id="109"/>
      <w:bookmarkEnd w:id="109"/>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3"/>
        <w:jc w:val="left"/>
        <w:rPr>
          <w:b w:val="0"/>
          <w:bCs w:val="0"/>
        </w:rPr>
      </w:pPr>
      <w:bookmarkStart w:name="一、审计报告" w:id="110"/>
      <w:bookmarkEnd w:id="11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48020005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梅月欣、蒙世权</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pStyle w:val="BodyText"/>
        <w:spacing w:line="240" w:lineRule="auto" w:before="44"/>
        <w:ind w:left="495" w:right="531"/>
        <w:jc w:val="center"/>
      </w:pPr>
      <w:r>
        <w:rPr/>
        <w:t>审计报告正文</w:t>
      </w:r>
    </w:p>
    <w:p>
      <w:pPr>
        <w:spacing w:line="240" w:lineRule="auto" w:before="8"/>
        <w:rPr>
          <w:rFonts w:ascii="宋体" w:hAnsi="宋体" w:cs="宋体" w:eastAsia="宋体" w:hint="default"/>
          <w:sz w:val="17"/>
          <w:szCs w:val="17"/>
        </w:rPr>
      </w:pPr>
    </w:p>
    <w:p>
      <w:pPr>
        <w:pStyle w:val="BodyText"/>
        <w:spacing w:line="240" w:lineRule="auto" w:before="44"/>
        <w:ind w:right="93"/>
        <w:jc w:val="left"/>
      </w:pPr>
      <w:r>
        <w:rPr/>
        <w:t>深圳市银之杰科技股份有限公司：</w:t>
      </w:r>
    </w:p>
    <w:p>
      <w:pPr>
        <w:spacing w:line="240" w:lineRule="auto" w:before="0"/>
        <w:rPr>
          <w:rFonts w:ascii="宋体" w:hAnsi="宋体" w:cs="宋体" w:eastAsia="宋体" w:hint="default"/>
          <w:sz w:val="15"/>
          <w:szCs w:val="15"/>
        </w:rPr>
      </w:pPr>
    </w:p>
    <w:p>
      <w:pPr>
        <w:pStyle w:val="BodyText"/>
        <w:spacing w:line="309" w:lineRule="auto"/>
        <w:ind w:right="190" w:firstLine="360"/>
        <w:jc w:val="both"/>
      </w:pPr>
      <w:r>
        <w:rPr>
          <w:spacing w:val="-2"/>
        </w:rPr>
        <w:t>我们审计了后附的深圳市银之杰科技股份有限公司（以下简称</w:t>
      </w:r>
      <w:r>
        <w:rPr>
          <w:rFonts w:ascii="Times New Roman" w:hAnsi="Times New Roman" w:cs="Times New Roman" w:eastAsia="Times New Roman" w:hint="default"/>
          <w:spacing w:val="-2"/>
        </w:rPr>
        <w:t>“</w:t>
      </w:r>
      <w:r>
        <w:rPr>
          <w:spacing w:val="-2"/>
        </w:rPr>
        <w:t>银之杰公司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w:t>
      </w:r>
      <w:r>
        <w:rPr/>
        <w:t> </w:t>
      </w:r>
      <w:r>
        <w:rPr>
          <w:spacing w:val="-2"/>
        </w:rPr>
        <w:t>公司的资产负债表，</w:t>
      </w:r>
      <w:r>
        <w:rPr>
          <w:rFonts w:ascii="宋体" w:hAnsi="宋体" w:cs="宋体" w:eastAsia="宋体" w:hint="default"/>
          <w:spacing w:val="-2"/>
        </w:rPr>
        <w:t>2014</w:t>
      </w:r>
      <w:r>
        <w:rPr>
          <w:spacing w:val="-2"/>
        </w:rPr>
        <w:t>年度合并及公司的利润表、合并及公司的现金流量表和合并及公司的股东权益变动表以及财务报表</w:t>
      </w:r>
      <w:r>
        <w:rPr>
          <w:spacing w:val="-60"/>
        </w:rPr>
        <w:t> </w:t>
      </w:r>
      <w:r>
        <w:rPr>
          <w:spacing w:val="-60"/>
        </w:rPr>
      </w:r>
      <w:r>
        <w:rPr/>
        <w:t>附注。</w:t>
      </w:r>
    </w:p>
    <w:p>
      <w:pPr>
        <w:pStyle w:val="BodyText"/>
        <w:spacing w:line="432" w:lineRule="exact" w:before="9"/>
        <w:ind w:left="514" w:right="182"/>
        <w:jc w:val="left"/>
      </w:pPr>
      <w:r>
        <w:rPr/>
        <w:t>一、管理层对财务报表的责任 编制和公允列报财务报表是银之杰公司管理层的责任。这种责任包括：（</w:t>
      </w:r>
      <w:r>
        <w:rPr>
          <w:rFonts w:ascii="Times New Roman" w:hAnsi="Times New Roman" w:cs="Times New Roman" w:eastAsia="Times New Roman" w:hint="default"/>
        </w:rPr>
        <w:t>1</w:t>
      </w:r>
      <w:r>
        <w:rPr/>
        <w:t>）按照企业会计准则的规定编制财务报表，</w:t>
      </w:r>
    </w:p>
    <w:p>
      <w:pPr>
        <w:pStyle w:val="BodyText"/>
        <w:spacing w:line="240" w:lineRule="auto" w:before="15"/>
        <w:ind w:right="93"/>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432" w:lineRule="exact" w:before="47"/>
        <w:ind w:left="513" w:right="93"/>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15"/>
        <w:ind w:right="93"/>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39"/>
        <w:ind w:right="9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439" w:lineRule="auto" w:before="139"/>
        <w:ind w:left="513" w:right="3153"/>
        <w:jc w:val="left"/>
      </w:pPr>
      <w:r>
        <w:rPr/>
        <w:t>我们相信，我们获取的审计证据是充分、适当的，为发表审计意见提供了基础。 三、审计意见</w:t>
      </w:r>
    </w:p>
    <w:p>
      <w:pPr>
        <w:pStyle w:val="BodyText"/>
        <w:spacing w:line="300" w:lineRule="auto" w:before="47"/>
        <w:ind w:right="93" w:firstLine="360"/>
        <w:jc w:val="left"/>
      </w:pPr>
      <w:r>
        <w:rPr>
          <w:spacing w:val="-2"/>
        </w:rPr>
        <w:t>我们认为，上述财务报表在所有重大方面按照企业会计准则的规定编制，公允反映了银之杰公司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w:t>
      </w:r>
      <w:r>
        <w:rPr/>
        <w:t> 公司的财务状况以及</w:t>
      </w:r>
      <w:r>
        <w:rPr>
          <w:rFonts w:ascii="Times New Roman" w:hAnsi="Times New Roman" w:cs="Times New Roman" w:eastAsia="Times New Roman" w:hint="default"/>
        </w:rPr>
        <w:t>2014</w:t>
      </w:r>
      <w:r>
        <w:rPr/>
        <w:t>年度合并及公司的经营成果和现金流量。</w:t>
      </w:r>
    </w:p>
    <w:p>
      <w:pPr>
        <w:pStyle w:val="BodyText"/>
        <w:tabs>
          <w:tab w:pos="5486" w:val="left" w:leader="none"/>
          <w:tab w:pos="7179" w:val="left" w:leader="none"/>
          <w:tab w:pos="7239" w:val="left" w:leader="none"/>
        </w:tabs>
        <w:spacing w:line="441" w:lineRule="auto" w:before="133"/>
        <w:ind w:left="5457" w:right="2204" w:hanging="5304"/>
        <w:jc w:val="left"/>
      </w:pPr>
      <w:r>
        <w:rPr/>
        <w:t>瑞华会计师事务所（特殊普通合伙）</w:t>
        <w:tab/>
        <w:tab/>
        <w:t> </w:t>
      </w:r>
      <w:r>
        <w:rPr>
          <w:spacing w:val="-1"/>
        </w:rPr>
        <w:t>中国注册会计师</w:t>
        <w:tab/>
        <w:t>梅月欣</w:t>
      </w:r>
      <w:r>
        <w:rPr/>
        <w:t> </w:t>
      </w:r>
      <w:r>
        <w:rPr>
          <w:spacing w:val="-1"/>
        </w:rPr>
        <w:t>中国注册会计师</w:t>
        <w:tab/>
        <w:tab/>
      </w:r>
      <w:r>
        <w:rPr/>
        <w:t>蒙世权</w:t>
      </w:r>
    </w:p>
    <w:p>
      <w:pPr>
        <w:pStyle w:val="BodyText"/>
        <w:spacing w:line="240" w:lineRule="auto" w:before="44"/>
        <w:ind w:left="0" w:right="190"/>
        <w:jc w:val="right"/>
      </w:pPr>
      <w:r>
        <w:rPr/>
        <w:t>二〇一四年四月八日</w:t>
      </w:r>
    </w:p>
    <w:p>
      <w:pPr>
        <w:pStyle w:val="BodyText"/>
        <w:spacing w:line="240" w:lineRule="auto" w:before="76"/>
        <w:ind w:left="0" w:right="190"/>
        <w:jc w:val="right"/>
      </w:pPr>
      <w:r>
        <w:rPr>
          <w:spacing w:val="-1"/>
        </w:rPr>
        <w:t>中国</w:t>
      </w:r>
      <w:r>
        <w:rPr>
          <w:rFonts w:ascii="Times New Roman" w:hAnsi="Times New Roman" w:cs="Times New Roman" w:eastAsia="Times New Roman" w:hint="default"/>
          <w:spacing w:val="-1"/>
        </w:rPr>
        <w:t>•</w:t>
      </w:r>
      <w:r>
        <w:rPr>
          <w:spacing w:val="-1"/>
        </w:rPr>
        <w:t>北京</w:t>
      </w:r>
    </w:p>
    <w:p>
      <w:pPr>
        <w:spacing w:after="0" w:line="240" w:lineRule="auto"/>
        <w:jc w:val="righ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bookmarkStart w:name="二、财务报表" w:id="111"/>
      <w:bookmarkEnd w:id="111"/>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12"/>
      <w:bookmarkEnd w:id="11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980"/>
        </w:sectPr>
      </w:pPr>
    </w:p>
    <w:p>
      <w:pPr>
        <w:pStyle w:val="BodyText"/>
        <w:spacing w:line="240" w:lineRule="auto" w:before="44"/>
        <w:ind w:right="-19"/>
        <w:jc w:val="left"/>
      </w:pPr>
      <w:r>
        <w:rPr/>
        <w:t>编制单位：深圳市银之杰科技股份有限公司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880" w:bottom="280" w:left="980" w:right="980"/>
          <w:cols w:num="3" w:equalWidth="0">
            <w:col w:w="3575" w:space="50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345,044,566.58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295,732,521.77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174,536,753.13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91,468,105.74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45,987,536.86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8,076,300.69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1,417,892.67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951,133.33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24,160,789.36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8,357,709.70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33,558,835.37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13,340,520.30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7,200,221.70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333,715.65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632,214,595.67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418,260,007.18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880" w:bottom="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26,098,078.05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24,897,990.65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41,705,249.67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42,863,094.15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8,361,898.95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6,009,551.99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735,926.00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78,624,424.05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27,246,464.15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14,473,634.61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12,676,949.14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152,676,360.35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3,430,967.57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1,543,294.26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4,439,134.26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1,615,024.83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330,990,673.51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116,852,369.17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963,205,269.18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535,112,376.35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37,078,571.65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7,033,233.21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62,958,365.40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1,833,368.53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12,762,341.33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4,670,292.47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6,647,762.03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1,337,260.31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121,300,908.94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13,049,322.53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5,923,157.70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5,923,157.70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127,224,066.64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13,049,322.53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262,722,219.00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467,211,676.96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318,949,500.21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17,844,077.81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16,638,005.05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85,559,647.91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65,145,548.56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832,517,621.68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522,063,053.82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3,463,580.86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835,981,202.54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522,063,053.82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963,205,269.18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535,112,376.35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249"/>
        <w:jc w:val="right"/>
      </w:pPr>
      <w:r>
        <w:rPr/>
        <w:t>法定代表人：陈向军</w:t>
        <w:tab/>
        <w:t>主管会计工作负责人：许秋江</w:t>
        <w:tab/>
        <w:t>会计机构负责人：张春雷</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13"/>
      <w:bookmarkEnd w:id="11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247,367,812.17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290,804,381.54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108,494,892.47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91,468,105.74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4,094,736.97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5,660,146.27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1,417,892.67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951,133.33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6,509,634.75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8,031,311.65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8,641,285.71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8,401,514.51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434,899.73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333,715.65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387,269,154.47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405,650,308.69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334,098,054.42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28,897,990.65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41,705,249.67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42,863,094.15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4,857,303.73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5,181,036.60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735,926.00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36,813,791.34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27,237,546.01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14,473,634.61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12,676,949.14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1,062,267.21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1,300,758.99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2,969,932.58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1,446,803.52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436,716,159.56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119,604,179.06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823,985,314.03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525,254,487.75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2,574,080.83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2,783,829.51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3,142,233.62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3,743,666.86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6,015,944.43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1,326,059.60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11,764,295.42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7,862,092.51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11,764,295.42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7,862,092.51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262,722,219.00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467,211,676.96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318,949,500.21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15,757,362.28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14,551,289.52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67,349,760.37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62,561,605.51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812,221,018.61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517,392,395.24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823,985,314.03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525,254,487.75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14"/>
      <w:bookmarkEnd w:id="11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192,124,040.97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110,074,729.26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192,124,040.97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110,074,729.26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164,462,720.57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101,594,824.79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95,320,004.40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51,116,498.03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41.419983pt;width:157.7pt;height:19.650pt;mso-position-horizontal-relative:page;mso-position-vertical-relative:page;z-index:-755608" coordorigin="4245,10828" coordsize="3154,393">
            <v:shape style="position:absolute;left:4245;top:10828;width:3154;height:393" coordorigin="4245,10828" coordsize="3154,393" path="m4245,11221l7399,11221,7399,10828,4245,10828,4245,1122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1,156,927.27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1,057,438.01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24,069,964.04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22,718,310.81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48,432,734.48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34,676,402.39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-6,518,251.80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-10,509,771.74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2,001,342.18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2,535,947.29</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-1,249,748.22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-2,009.35</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-1,249,912.60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-2,009.35</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26,411,572.18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8,477,895.12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4,403,139.34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6,057,707.82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11,703.70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1,466.96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11,703.70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1,455.68</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30,803,007.82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14,534,135.98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2,595,219.05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87,413.08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28,207,788.77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14,446,722.90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27,686,672.11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14,446,722.90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521,116.66</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28,207,788.77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14,446,722.90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27,686,672.11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14,446,722.90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521,116.66</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0.0600</w:t>
            </w:r>
          </w:p>
        </w:tc>
      </w:tr>
    </w:tbl>
    <w:p>
      <w:pPr>
        <w:pStyle w:val="BodyText"/>
        <w:tabs>
          <w:tab w:pos="3574" w:val="left" w:leader="none"/>
          <w:tab w:pos="7715" w:val="left" w:leader="none"/>
        </w:tabs>
        <w:spacing w:line="624" w:lineRule="auto" w:before="51"/>
        <w:ind w:right="249"/>
        <w:jc w:val="left"/>
      </w:pPr>
      <w:r>
        <w:rPr/>
        <w:t>本期发生同一控制下企业合并的，被合并方在合并前实现的净利润为：元，上期被合并方实现的净利润为：元。 法定代表人：陈向军</w:t>
        <w:tab/>
        <w:t>主管会计工作负责人：许秋江</w:t>
        <w:tab/>
        <w:t>会计机构负责人：张春雷</w:t>
      </w:r>
    </w:p>
    <w:p>
      <w:pPr>
        <w:pStyle w:val="Heading3"/>
        <w:spacing w:line="240" w:lineRule="auto" w:before="63"/>
        <w:ind w:left="153" w:right="0"/>
        <w:jc w:val="left"/>
        <w:rPr>
          <w:b w:val="0"/>
          <w:bCs w:val="0"/>
        </w:rPr>
      </w:pPr>
      <w:bookmarkStart w:name="4、母公司利润表" w:id="115"/>
      <w:bookmarkEnd w:id="11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110,361,942.25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115,583,331.77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68,919,776.86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68,093,162.25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781,877.48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771,220.05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19,252,061.19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22,718,310.81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36,137,389.02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31,343,353.55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-6,461,533.66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-10,458,358.42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2,362,425.13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2,538,165.94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18,250,087.40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6,497,990.65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-1,249,912.60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-2,009.35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7,620,033.63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7,075,468.24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2,920,487.98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4,286,071.95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10,537,598.56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11,360,073.23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-1,523,129.06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-75,280.04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12,060,727.62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11,435,353.27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12,060,727.62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11,435,353.27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16"/>
      <w:bookmarkEnd w:id="11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176,786,686.98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93,021,605.09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4,377,287.37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4,548,697.05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19,055,849.68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15,506,594.76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200,219,824.03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113,076,896.90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66,578,511.97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27,677,448.46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37,813,039.38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32,885,072.75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14,315,503.06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13,176,808.59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49,643,226.24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43,473,445.53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168,350,280.65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117,212,775.33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31,869,543.38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-4,135,878.43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56,147,967.49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88,955,531.87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21,591,550.89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20,235,370.62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5,810,354.23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30,651,905.12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77,135,370.62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58,303,626.75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-77,131,210.62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6,304,200.00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6,304,200.00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6,031,950.00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14,400,002.65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2,518,775.92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13,219.35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8,850,725.92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14,413,222.00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-8,840,725.92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-8,109,022.00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-20,399.40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81,312,044.81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-89,376,111.05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263,732,521.77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353,108,632.82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345,044,566.58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263,732,521.77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17"/>
      <w:bookmarkEnd w:id="11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99,023,562.84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93,021,605.09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2,548,477.98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2,774,873.13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12,591,162.77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15,422,229.52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114,163,203.59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111,218,707.74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48,673,453.94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39,630,882.50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29,279,656.32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28,951,841.95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9,709,221.89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8,862,576.88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37,270,850.48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41,786,539.92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124,933,182.63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119,231,841.25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-10,769,979.04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-8,013,133.51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41,507,400.00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14,504,160.00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21,375,940.83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20,168,955.38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5,803,773.58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33,629,714.41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77,068,955.38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7,877,685.59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-62,564,795.38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6,304,200.00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6,304,200.00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14,400,002.65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2,518,775.92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13,219.35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8,544,275.92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14,413,222.00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-8,544,275.92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-8,109,022.00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-11,436,569.37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-78,686,950.89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258,804,381.54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337,491,332.43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247,367,812.17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258,804,381.54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18"/>
      <w:bookmarkEnd w:id="11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318,949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,500.21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16,638,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005.05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65,145,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548.56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522,063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,053.82</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318,949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,500.21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16,638,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005.05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65,145,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548.56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522,063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,053.82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141,39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2,219.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148,262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,176.75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72.76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20,414,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099.35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3,463,5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80.86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313,918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,148.72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27,686,</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672.11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521,116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788.77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269,592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,176.75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2,942,4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291,776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,859.95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270,225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,297.80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2,942,4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294,249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,981.00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1,841,6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78.95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1,841,6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78.95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-2,474,8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-4,314,8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72.76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-7,272,5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-6,066,5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72.76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-6,066,5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-6,066,5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121,33</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-121,33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262,72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2,219.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467,211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,676.96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077.81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85,559,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647.91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3,463,5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80.86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835,981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,202.54</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313,975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,300.21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761.35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66,977,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069.36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515,712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,130.92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313,975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,300.21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761.35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66,977,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069.36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515,712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,130.92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1,330,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4,974,2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1,878,2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-1,831,5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6,350,9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43.70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9" w:right="0"/>
              <w:jc w:val="left"/>
              <w:rPr>
                <w:rFonts w:ascii="Times New Roman" w:hAnsi="Times New Roman" w:cs="Times New Roman" w:eastAsia="Times New Roman" w:hint="default"/>
                <w:sz w:val="18"/>
                <w:szCs w:val="18"/>
              </w:rPr>
            </w:pPr>
            <w:r>
              <w:rPr>
                <w:rFonts w:ascii="Times New Roman"/>
                <w:sz w:val="18"/>
              </w:rPr>
              <w:t>20.80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22.90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14,446,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722.90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14,446,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722.90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1,330,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4,974,2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6,304,2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1,330,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4,974,2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6,304,2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1,878,2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-16,278,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243.70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1,878,2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-1,878,2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43.70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318,949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,500.21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16,638,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65,145,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548.56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522,063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,053.82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19"/>
      <w:bookmarkEnd w:id="11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318,949,5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00.21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14,551,28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62,561,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605.51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517,392,3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95.24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318,949,5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00.21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14,551,28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62,561,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605.51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517,392,3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95.24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141,392,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148,262,1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1,206,072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4,788,1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54.86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294,828,6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23.37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727.62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12,060,72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7.62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20,062,2</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269,592,1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288,834,3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95.75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21,082,2</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270,225,2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291,307,5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16.80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1,841,678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1,841,678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-2,474,80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-4,314,80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-7,272,5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72.76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-6,066,50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72.76</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-6,066,5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-6,066,50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8" w:right="0"/>
              <w:jc w:val="left"/>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262,722,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467,211,6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15,757,36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67,349,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760.37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812,221,0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18.61</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313,975,3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00.21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13,407,75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4.19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66,669,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787.57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514,052,8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41.97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313,975,3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00.21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13,407,75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4.19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66,669,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787.57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514,052,8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41.97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1,330,00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4,974,200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1,143,535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-4,108,1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82.06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3,339,553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11,435,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353.27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11,435,35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3.27</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1,330,00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4,974,200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6,304,200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1,330,00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6,304,200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1,143,535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-15,543,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535.33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1,143,535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-1,143,5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35.33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121,330,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318,949,5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14,551,28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62,561,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605.51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517,392,3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95.24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20"/>
      <w:bookmarkEnd w:id="120"/>
      <w:r>
        <w:rPr>
          <w:b w:val="0"/>
          <w:bCs w:val="0"/>
        </w:rPr>
      </w:r>
      <w:r>
        <w:rPr/>
        <w:t>三、公司基本情况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5993"/>
        <w:jc w:val="left"/>
      </w:pPr>
      <w:r>
        <w:rPr>
          <w:rFonts w:ascii="Times New Roman" w:hAnsi="Times New Roman" w:cs="Times New Roman" w:eastAsia="Times New Roman" w:hint="default"/>
        </w:rPr>
        <w:t>1</w:t>
      </w:r>
      <w:r>
        <w:rPr/>
        <w:t>、公司概况 公司名称：深圳市银之杰科技股份有限公司</w:t>
      </w:r>
    </w:p>
    <w:p>
      <w:pPr>
        <w:pStyle w:val="BodyText"/>
        <w:spacing w:line="240" w:lineRule="auto" w:before="74"/>
        <w:ind w:left="513" w:right="0"/>
        <w:jc w:val="left"/>
        <w:rPr>
          <w:rFonts w:ascii="Times New Roman" w:hAnsi="Times New Roman" w:cs="Times New Roman" w:eastAsia="Times New Roman" w:hint="default"/>
        </w:rPr>
      </w:pPr>
      <w:r>
        <w:rPr/>
        <w:t>注册地址：深圳市福田区车公庙天安数码城天祥大厦</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5B2</w:t>
      </w:r>
    </w:p>
    <w:p>
      <w:pPr>
        <w:spacing w:after="0" w:line="240" w:lineRule="auto"/>
        <w:jc w:val="left"/>
        <w:rPr>
          <w:rFonts w:ascii="Times New Roman" w:hAnsi="Times New Roman" w:cs="Times New Roman" w:eastAsia="Times New Roman" w:hint="default"/>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451" w:lineRule="auto" w:before="44"/>
        <w:ind w:left="513" w:right="5943"/>
        <w:jc w:val="left"/>
      </w:pPr>
      <w:r>
        <w:rPr/>
        <w:t>注册资本：人民币</w:t>
      </w:r>
      <w:r>
        <w:rPr>
          <w:rFonts w:ascii="Times New Roman" w:hAnsi="Times New Roman" w:cs="Times New Roman" w:eastAsia="Times New Roman" w:hint="default"/>
        </w:rPr>
        <w:t>26272.2219</w:t>
      </w:r>
      <w:r>
        <w:rPr/>
        <w:t>万元 企业法人营业执照注册号：</w:t>
      </w:r>
      <w:r>
        <w:rPr>
          <w:rFonts w:ascii="Times New Roman" w:hAnsi="Times New Roman" w:cs="Times New Roman" w:eastAsia="Times New Roman" w:hint="default"/>
        </w:rPr>
        <w:t>440301102955880 </w:t>
      </w:r>
      <w:r>
        <w:rPr/>
        <w:t>法定代表人：陈向军</w:t>
      </w:r>
    </w:p>
    <w:p>
      <w:pPr>
        <w:pStyle w:val="BodyText"/>
        <w:spacing w:line="240" w:lineRule="auto" w:before="74"/>
        <w:ind w:left="513" w:right="93"/>
        <w:jc w:val="left"/>
      </w:pPr>
      <w:r>
        <w:rPr/>
        <w:t>经营期限：永续经营</w:t>
      </w:r>
    </w:p>
    <w:p>
      <w:pPr>
        <w:spacing w:line="240" w:lineRule="auto" w:before="10"/>
        <w:rPr>
          <w:rFonts w:ascii="宋体" w:hAnsi="宋体" w:cs="宋体" w:eastAsia="宋体" w:hint="default"/>
          <w:sz w:val="17"/>
          <w:szCs w:val="17"/>
        </w:rPr>
      </w:pPr>
    </w:p>
    <w:p>
      <w:pPr>
        <w:pStyle w:val="BodyText"/>
        <w:spacing w:line="451" w:lineRule="auto"/>
        <w:ind w:left="514" w:right="93"/>
        <w:jc w:val="left"/>
      </w:pPr>
      <w:r>
        <w:rPr>
          <w:rFonts w:ascii="Times New Roman" w:hAnsi="Times New Roman" w:cs="Times New Roman" w:eastAsia="Times New Roman" w:hint="default"/>
        </w:rPr>
        <w:t>2</w:t>
      </w:r>
      <w:r>
        <w:rPr/>
        <w:t>、经营范围及主营业务 </w:t>
      </w:r>
      <w:r>
        <w:rPr>
          <w:spacing w:val="-2"/>
        </w:rPr>
        <w:t>公司经营范围为：计算机软硬件、计算机外围设备、金融专用设备、金融机具的技术开发、销售、技术服务；网络技术</w:t>
      </w:r>
    </w:p>
    <w:p>
      <w:pPr>
        <w:pStyle w:val="BodyText"/>
        <w:spacing w:line="477" w:lineRule="auto" w:before="74"/>
        <w:ind w:left="154" w:right="187"/>
        <w:jc w:val="left"/>
      </w:pPr>
      <w:r>
        <w:rPr>
          <w:spacing w:val="-5"/>
        </w:rPr>
        <w:t>的开发、技术服务；信息技术研发、技术咨询及技术转让；计算机系统集成；兴办实业（具体项目另行申报），国内贸易（不</w:t>
      </w:r>
      <w:r>
        <w:rPr>
          <w:spacing w:val="-78"/>
        </w:rPr>
        <w:t> </w:t>
      </w:r>
      <w:r>
        <w:rPr>
          <w:spacing w:val="-78"/>
        </w:rPr>
      </w:r>
      <w:r>
        <w:rPr/>
        <w:t>含专营、专控、专卖商品），经营进出口业务。</w:t>
      </w:r>
    </w:p>
    <w:p>
      <w:pPr>
        <w:pStyle w:val="BodyText"/>
        <w:spacing w:line="477" w:lineRule="auto" w:before="54"/>
        <w:ind w:left="154" w:right="93" w:firstLine="360"/>
        <w:jc w:val="left"/>
      </w:pPr>
      <w:r>
        <w:rPr>
          <w:spacing w:val="-2"/>
        </w:rPr>
        <w:t>公司的主营业务：为银行等金融机构提供软件产品、软件开发、金融专用设备和技术服务；投资发展支票自助结算金融</w:t>
      </w:r>
      <w:r>
        <w:rPr/>
        <w:t> 服务和企业移动支付业务；提供移动商务服务和大数据运营服务；投资发展企业征信和个人征信服务业务。</w:t>
      </w:r>
    </w:p>
    <w:p>
      <w:pPr>
        <w:pStyle w:val="BodyText"/>
        <w:spacing w:line="451" w:lineRule="auto" w:before="54"/>
        <w:ind w:left="514" w:right="93"/>
        <w:jc w:val="left"/>
      </w:pPr>
      <w:r>
        <w:rPr>
          <w:rFonts w:ascii="Times New Roman" w:hAnsi="Times New Roman" w:cs="Times New Roman" w:eastAsia="Times New Roman" w:hint="default"/>
        </w:rPr>
        <w:t>3</w:t>
      </w:r>
      <w:r>
        <w:rPr/>
        <w:t>、公司历史沿革及设立情况 </w:t>
      </w:r>
      <w:r>
        <w:rPr>
          <w:spacing w:val="-2"/>
        </w:rPr>
        <w:t>公司前身为深圳市银之杰科技有限公司（以下简称</w:t>
      </w:r>
      <w:r>
        <w:rPr>
          <w:rFonts w:ascii="Times New Roman" w:hAnsi="Times New Roman" w:cs="Times New Roman" w:eastAsia="Times New Roman" w:hint="default"/>
          <w:spacing w:val="-2"/>
        </w:rPr>
        <w:t>“</w:t>
      </w:r>
      <w:r>
        <w:rPr>
          <w:spacing w:val="-2"/>
        </w:rPr>
        <w:t>银之杰有限</w:t>
      </w:r>
      <w:r>
        <w:rPr>
          <w:rFonts w:ascii="Times New Roman" w:hAnsi="Times New Roman" w:cs="Times New Roman" w:eastAsia="Times New Roman" w:hint="default"/>
          <w:spacing w:val="-2"/>
        </w:rPr>
        <w:t>”</w:t>
      </w:r>
      <w:r>
        <w:rPr>
          <w:spacing w:val="-2"/>
        </w:rPr>
        <w:t>），银之杰有限成立于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日，系张学君、何</w:t>
      </w:r>
    </w:p>
    <w:p>
      <w:pPr>
        <w:pStyle w:val="BodyText"/>
        <w:spacing w:line="451" w:lineRule="auto" w:before="43"/>
        <w:ind w:right="192"/>
        <w:jc w:val="both"/>
      </w:pPr>
      <w:r>
        <w:rPr>
          <w:spacing w:val="-2"/>
        </w:rPr>
        <w:t>晔、李军、陈向军四人出资设立的有限责任公司，四人分别以货币资金</w:t>
      </w:r>
      <w:r>
        <w:rPr>
          <w:rFonts w:ascii="Times New Roman" w:hAnsi="Times New Roman" w:cs="Times New Roman" w:eastAsia="Times New Roman" w:hint="default"/>
          <w:spacing w:val="-2"/>
        </w:rPr>
        <w:t>50</w:t>
      </w:r>
      <w:r>
        <w:rPr>
          <w:spacing w:val="-2"/>
        </w:rPr>
        <w:t>万元、</w:t>
      </w:r>
      <w:r>
        <w:rPr>
          <w:rFonts w:ascii="Times New Roman" w:hAnsi="Times New Roman" w:cs="Times New Roman" w:eastAsia="Times New Roman" w:hint="default"/>
          <w:spacing w:val="-2"/>
        </w:rPr>
        <w:t>30</w:t>
      </w:r>
      <w:r>
        <w:rPr>
          <w:spacing w:val="-2"/>
        </w:rPr>
        <w:t>万元、</w:t>
      </w:r>
      <w:r>
        <w:rPr>
          <w:rFonts w:ascii="Times New Roman" w:hAnsi="Times New Roman" w:cs="Times New Roman" w:eastAsia="Times New Roman" w:hint="default"/>
          <w:spacing w:val="-2"/>
        </w:rPr>
        <w:t>10</w:t>
      </w:r>
      <w:r>
        <w:rPr>
          <w:spacing w:val="-2"/>
        </w:rPr>
        <w:t>万元、</w:t>
      </w:r>
      <w:r>
        <w:rPr>
          <w:rFonts w:ascii="Times New Roman" w:hAnsi="Times New Roman" w:cs="Times New Roman" w:eastAsia="Times New Roman" w:hint="default"/>
          <w:spacing w:val="-2"/>
        </w:rPr>
        <w:t>10</w:t>
      </w:r>
      <w:r>
        <w:rPr>
          <w:spacing w:val="-2"/>
        </w:rPr>
        <w:t>万元出资。深圳中法会</w:t>
      </w:r>
      <w:r>
        <w:rPr>
          <w:spacing w:val="-61"/>
        </w:rPr>
        <w:t> </w:t>
      </w:r>
      <w:r>
        <w:rPr>
          <w:spacing w:val="-61"/>
        </w:rPr>
      </w:r>
      <w:r>
        <w:rPr/>
        <w:t>计师事务所对上述出资进行了验证，并于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日出具的深中法验字（</w:t>
      </w:r>
      <w:r>
        <w:rPr>
          <w:rFonts w:ascii="Times New Roman" w:hAnsi="Times New Roman" w:cs="Times New Roman" w:eastAsia="Times New Roman" w:hint="default"/>
        </w:rPr>
        <w:t>1998</w:t>
      </w:r>
      <w:r>
        <w:rPr/>
        <w:t>）第</w:t>
      </w:r>
      <w:r>
        <w:rPr>
          <w:rFonts w:ascii="Times New Roman" w:hAnsi="Times New Roman" w:cs="Times New Roman" w:eastAsia="Times New Roman" w:hint="default"/>
        </w:rPr>
        <w:t>073</w:t>
      </w:r>
      <w:r>
        <w:rPr/>
        <w:t>号验资报告。</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 银之杰有限领取了深圳市工商行政管理局颁发的注册号为</w:t>
      </w:r>
      <w:r>
        <w:rPr>
          <w:rFonts w:ascii="Times New Roman" w:hAnsi="Times New Roman" w:cs="Times New Roman" w:eastAsia="Times New Roman" w:hint="default"/>
        </w:rPr>
        <w:t>4403012009512</w:t>
      </w:r>
      <w:r>
        <w:rPr/>
        <w:t>的企业法人营业执照，注册资本</w:t>
      </w:r>
      <w:r>
        <w:rPr>
          <w:rFonts w:ascii="Times New Roman" w:hAnsi="Times New Roman" w:cs="Times New Roman" w:eastAsia="Times New Roman" w:hint="default"/>
        </w:rPr>
        <w:t>100</w:t>
      </w:r>
      <w:r>
        <w:rPr/>
        <w:t>万元。</w:t>
      </w:r>
    </w:p>
    <w:p>
      <w:pPr>
        <w:pStyle w:val="BodyText"/>
        <w:spacing w:line="451" w:lineRule="auto" w:before="44"/>
        <w:ind w:right="93" w:firstLine="360"/>
        <w:jc w:val="left"/>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日，银之杰有限股东会通过了增加公司注册资本至人民币</w:t>
      </w:r>
      <w:r>
        <w:rPr>
          <w:rFonts w:ascii="Times New Roman" w:hAnsi="Times New Roman" w:cs="Times New Roman" w:eastAsia="Times New Roman" w:hint="default"/>
          <w:spacing w:val="-2"/>
        </w:rPr>
        <w:t>500</w:t>
      </w:r>
      <w:r>
        <w:rPr>
          <w:spacing w:val="-2"/>
        </w:rPr>
        <w:t>万元的决议，其中新增注册资本由张学君、何</w:t>
      </w:r>
      <w:r>
        <w:rPr/>
        <w:t> </w:t>
      </w:r>
      <w:r>
        <w:rPr>
          <w:spacing w:val="-3"/>
        </w:rPr>
        <w:t>晔、李军、陈向军分别以货币资金</w:t>
      </w:r>
      <w:r>
        <w:rPr>
          <w:rFonts w:ascii="Times New Roman" w:hAnsi="Times New Roman" w:cs="Times New Roman" w:eastAsia="Times New Roman" w:hint="default"/>
          <w:spacing w:val="-3"/>
        </w:rPr>
        <w:t>200</w:t>
      </w:r>
      <w:r>
        <w:rPr>
          <w:spacing w:val="-3"/>
        </w:rPr>
        <w:t>万元、</w:t>
      </w:r>
      <w:r>
        <w:rPr>
          <w:rFonts w:ascii="Times New Roman" w:hAnsi="Times New Roman" w:cs="Times New Roman" w:eastAsia="Times New Roman" w:hint="default"/>
          <w:spacing w:val="-3"/>
        </w:rPr>
        <w:t>120</w:t>
      </w:r>
      <w:r>
        <w:rPr>
          <w:spacing w:val="-3"/>
        </w:rPr>
        <w:t>万元、</w:t>
      </w:r>
      <w:r>
        <w:rPr>
          <w:rFonts w:ascii="Times New Roman" w:hAnsi="Times New Roman" w:cs="Times New Roman" w:eastAsia="Times New Roman" w:hint="default"/>
          <w:spacing w:val="-3"/>
        </w:rPr>
        <w:t>40</w:t>
      </w:r>
      <w:r>
        <w:rPr>
          <w:spacing w:val="-3"/>
        </w:rPr>
        <w:t>万元、</w:t>
      </w:r>
      <w:r>
        <w:rPr>
          <w:rFonts w:ascii="Times New Roman" w:hAnsi="Times New Roman" w:cs="Times New Roman" w:eastAsia="Times New Roman" w:hint="default"/>
          <w:spacing w:val="-3"/>
        </w:rPr>
        <w:t>40</w:t>
      </w:r>
      <w:r>
        <w:rPr>
          <w:spacing w:val="-3"/>
        </w:rPr>
        <w:t>万元出资。深圳中法会计师事务所对上述出资进行了验证，</w:t>
      </w:r>
      <w:r>
        <w:rPr>
          <w:spacing w:val="-84"/>
        </w:rPr>
        <w:t> </w:t>
      </w:r>
      <w:r>
        <w:rPr>
          <w:spacing w:val="-84"/>
        </w:rPr>
      </w:r>
      <w:r>
        <w:rPr/>
        <w:t>并于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日出具深中法验字</w:t>
      </w:r>
      <w:r>
        <w:rPr>
          <w:rFonts w:ascii="Times New Roman" w:hAnsi="Times New Roman" w:cs="Times New Roman" w:eastAsia="Times New Roman" w:hint="default"/>
        </w:rPr>
        <w:t>[2004]1509</w:t>
      </w:r>
      <w:r>
        <w:rPr/>
        <w:t>号验资报告。银之杰有限于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日办理了工商变更登记，领取了深圳市 工商行政管理局核发的注册号为</w:t>
      </w:r>
      <w:r>
        <w:rPr>
          <w:rFonts w:ascii="Times New Roman" w:hAnsi="Times New Roman" w:cs="Times New Roman" w:eastAsia="Times New Roman" w:hint="default"/>
        </w:rPr>
        <w:t>4403012009512</w:t>
      </w:r>
      <w:r>
        <w:rPr/>
        <w:t>的企业法人营业执照，注册资本为</w:t>
      </w:r>
      <w:r>
        <w:rPr>
          <w:rFonts w:ascii="Times New Roman" w:hAnsi="Times New Roman" w:cs="Times New Roman" w:eastAsia="Times New Roman" w:hint="default"/>
        </w:rPr>
        <w:t>500</w:t>
      </w:r>
      <w:r>
        <w:rPr/>
        <w:t>万元。</w:t>
      </w:r>
    </w:p>
    <w:p>
      <w:pPr>
        <w:pStyle w:val="BodyText"/>
        <w:spacing w:line="451" w:lineRule="auto" w:before="43"/>
        <w:ind w:right="180" w:firstLine="360"/>
        <w:jc w:val="left"/>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15</w:t>
      </w:r>
      <w:r>
        <w:rPr>
          <w:spacing w:val="-1"/>
        </w:rPr>
        <w:t>日，银之杰有限股东会审议通过了股权转让的议案，张学君分别以人民币</w:t>
      </w:r>
      <w:r>
        <w:rPr>
          <w:rFonts w:ascii="Times New Roman" w:hAnsi="Times New Roman" w:cs="Times New Roman" w:eastAsia="Times New Roman" w:hint="default"/>
          <w:spacing w:val="-1"/>
        </w:rPr>
        <w:t>25</w:t>
      </w:r>
      <w:r>
        <w:rPr>
          <w:spacing w:val="-1"/>
        </w:rPr>
        <w:t>万元转让</w:t>
      </w:r>
      <w:r>
        <w:rPr>
          <w:rFonts w:ascii="Times New Roman" w:hAnsi="Times New Roman" w:cs="Times New Roman" w:eastAsia="Times New Roman" w:hint="default"/>
          <w:spacing w:val="-1"/>
        </w:rPr>
        <w:t>5%</w:t>
      </w:r>
      <w:r>
        <w:rPr>
          <w:spacing w:val="-1"/>
        </w:rPr>
        <w:t>的股权给李军，以</w:t>
      </w:r>
      <w:r>
        <w:rPr/>
        <w:t> 人民币</w:t>
      </w:r>
      <w:r>
        <w:rPr>
          <w:rFonts w:ascii="Times New Roman" w:hAnsi="Times New Roman" w:cs="Times New Roman" w:eastAsia="Times New Roman" w:hint="default"/>
        </w:rPr>
        <w:t>25</w:t>
      </w:r>
      <w:r>
        <w:rPr/>
        <w:t>万元转让</w:t>
      </w:r>
      <w:r>
        <w:rPr>
          <w:rFonts w:ascii="Times New Roman" w:hAnsi="Times New Roman" w:cs="Times New Roman" w:eastAsia="Times New Roman" w:hint="default"/>
        </w:rPr>
        <w:t>5%</w:t>
      </w:r>
      <w:r>
        <w:rPr/>
        <w:t>的股权给陈向军，以人民币</w:t>
      </w:r>
      <w:r>
        <w:rPr>
          <w:rFonts w:ascii="Times New Roman" w:hAnsi="Times New Roman" w:cs="Times New Roman" w:eastAsia="Times New Roman" w:hint="default"/>
        </w:rPr>
        <w:t>25</w:t>
      </w:r>
      <w:r>
        <w:rPr/>
        <w:t>万元转让</w:t>
      </w:r>
      <w:r>
        <w:rPr>
          <w:rFonts w:ascii="Times New Roman" w:hAnsi="Times New Roman" w:cs="Times New Roman" w:eastAsia="Times New Roman" w:hint="default"/>
        </w:rPr>
        <w:t>5%</w:t>
      </w:r>
      <w:r>
        <w:rPr/>
        <w:t>的股权给汪旻，其他股东放弃优先购买权。</w:t>
      </w:r>
    </w:p>
    <w:p>
      <w:pPr>
        <w:pStyle w:val="BodyText"/>
        <w:spacing w:line="451" w:lineRule="auto" w:before="43"/>
        <w:ind w:right="93" w:firstLine="360"/>
        <w:jc w:val="left"/>
      </w:pP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日，银之杰有限股东会通过决议，将注册资本从</w:t>
      </w:r>
      <w:r>
        <w:rPr>
          <w:rFonts w:ascii="Times New Roman" w:hAnsi="Times New Roman" w:cs="Times New Roman" w:eastAsia="Times New Roman" w:hint="default"/>
          <w:spacing w:val="-2"/>
        </w:rPr>
        <w:t>500</w:t>
      </w:r>
      <w:r>
        <w:rPr>
          <w:spacing w:val="-2"/>
        </w:rPr>
        <w:t>万元增至</w:t>
      </w:r>
      <w:r>
        <w:rPr>
          <w:rFonts w:ascii="Times New Roman" w:hAnsi="Times New Roman" w:cs="Times New Roman" w:eastAsia="Times New Roman" w:hint="default"/>
          <w:spacing w:val="-2"/>
        </w:rPr>
        <w:t>564.334</w:t>
      </w:r>
      <w:r>
        <w:rPr>
          <w:spacing w:val="-2"/>
        </w:rPr>
        <w:t>万元，新增注册资本</w:t>
      </w:r>
      <w:r>
        <w:rPr>
          <w:rFonts w:ascii="Times New Roman" w:hAnsi="Times New Roman" w:cs="Times New Roman" w:eastAsia="Times New Roman" w:hint="default"/>
          <w:spacing w:val="-2"/>
        </w:rPr>
        <w:t>64.334</w:t>
      </w:r>
      <w:r>
        <w:rPr>
          <w:spacing w:val="-2"/>
        </w:rPr>
        <w:t>万元由唐劲</w:t>
      </w:r>
      <w:r>
        <w:rPr/>
        <w:t> </w:t>
      </w:r>
      <w:r>
        <w:rPr>
          <w:spacing w:val="-1"/>
        </w:rPr>
        <w:t>星等</w:t>
      </w:r>
      <w:r>
        <w:rPr>
          <w:rFonts w:ascii="Times New Roman" w:hAnsi="Times New Roman" w:cs="Times New Roman" w:eastAsia="Times New Roman" w:hint="default"/>
          <w:spacing w:val="-1"/>
        </w:rPr>
        <w:t>40</w:t>
      </w:r>
      <w:r>
        <w:rPr>
          <w:spacing w:val="-1"/>
        </w:rPr>
        <w:t>名自然人以货币资金</w:t>
      </w:r>
      <w:r>
        <w:rPr>
          <w:rFonts w:ascii="Times New Roman" w:hAnsi="Times New Roman" w:cs="Times New Roman" w:eastAsia="Times New Roman" w:hint="default"/>
          <w:spacing w:val="-1"/>
        </w:rPr>
        <w:t>666.90</w:t>
      </w:r>
      <w:r>
        <w:rPr>
          <w:spacing w:val="-1"/>
        </w:rPr>
        <w:t>万元认缴，出资总额超过新增注册资本的部分计入银之杰有限资本公积。深圳市鹏城会计</w:t>
      </w:r>
      <w:r>
        <w:rPr>
          <w:spacing w:val="-70"/>
        </w:rPr>
        <w:t> </w:t>
      </w:r>
      <w:r>
        <w:rPr>
          <w:spacing w:val="-70"/>
        </w:rPr>
      </w:r>
      <w:r>
        <w:rPr>
          <w:spacing w:val="-2"/>
        </w:rPr>
        <w:t>师事务所有限公司对本次增资进行了验证，并于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日出具了深鹏所验字</w:t>
      </w:r>
      <w:r>
        <w:rPr>
          <w:rFonts w:ascii="Times New Roman" w:hAnsi="Times New Roman" w:cs="Times New Roman" w:eastAsia="Times New Roman" w:hint="default"/>
          <w:spacing w:val="-2"/>
        </w:rPr>
        <w:t>[2007]131</w:t>
      </w:r>
      <w:r>
        <w:rPr>
          <w:spacing w:val="-2"/>
        </w:rPr>
        <w:t>号验资报告。银之杰有限于</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日办理了前述股权转让及增资的工商变更登记手续，领取了深圳市工商行政管理局核发的注册号为 </w:t>
      </w:r>
      <w:r>
        <w:rPr>
          <w:rFonts w:ascii="Times New Roman" w:hAnsi="Times New Roman" w:cs="Times New Roman" w:eastAsia="Times New Roman" w:hint="default"/>
        </w:rPr>
        <w:t>440301102955880</w:t>
      </w:r>
      <w:r>
        <w:rPr/>
        <w:t>的企业法人营业执照，注册资本为</w:t>
      </w:r>
      <w:r>
        <w:rPr>
          <w:rFonts w:ascii="Times New Roman" w:hAnsi="Times New Roman" w:cs="Times New Roman" w:eastAsia="Times New Roman" w:hint="default"/>
        </w:rPr>
        <w:t>564.334</w:t>
      </w:r>
      <w:r>
        <w:rPr/>
        <w:t>万元。</w:t>
      </w:r>
    </w:p>
    <w:p>
      <w:pPr>
        <w:pStyle w:val="BodyText"/>
        <w:spacing w:line="240" w:lineRule="auto" w:before="43"/>
        <w:ind w:left="513" w:right="93"/>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日，银之杰有限股东会通过决议，以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日经审计的净资产</w:t>
      </w:r>
      <w:r>
        <w:rPr>
          <w:rFonts w:ascii="Times New Roman" w:hAnsi="Times New Roman" w:cs="Times New Roman" w:eastAsia="Times New Roman" w:hint="default"/>
        </w:rPr>
        <w:t>45,024,560.25</w:t>
      </w:r>
      <w:r>
        <w:rPr/>
        <w:t>元为基础，将其中的</w:t>
      </w:r>
    </w:p>
    <w:p>
      <w:pPr>
        <w:spacing w:line="240" w:lineRule="auto" w:before="10"/>
        <w:rPr>
          <w:rFonts w:ascii="宋体" w:hAnsi="宋体" w:cs="宋体" w:eastAsia="宋体" w:hint="default"/>
          <w:sz w:val="16"/>
          <w:szCs w:val="16"/>
        </w:rPr>
      </w:pPr>
    </w:p>
    <w:p>
      <w:pPr>
        <w:pStyle w:val="BodyText"/>
        <w:spacing w:line="463" w:lineRule="auto"/>
        <w:ind w:right="93"/>
        <w:jc w:val="left"/>
      </w:pPr>
      <w:r>
        <w:rPr>
          <w:rFonts w:ascii="Times New Roman" w:hAnsi="Times New Roman" w:cs="Times New Roman" w:eastAsia="Times New Roman" w:hint="default"/>
        </w:rPr>
        <w:t>45,000,000</w:t>
      </w:r>
      <w:r>
        <w:rPr/>
        <w:t>元按照</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rFonts w:ascii="Times New Roman" w:hAnsi="Times New Roman" w:cs="Times New Roman" w:eastAsia="Times New Roman" w:hint="default"/>
        </w:rPr>
        <w:t>1</w:t>
      </w:r>
      <w:r>
        <w:rPr/>
        <w:t>的比例折为</w:t>
      </w:r>
      <w:r>
        <w:rPr>
          <w:rFonts w:ascii="Times New Roman" w:hAnsi="Times New Roman" w:cs="Times New Roman" w:eastAsia="Times New Roman" w:hint="default"/>
        </w:rPr>
        <w:t>4,500</w:t>
      </w:r>
      <w:r>
        <w:rPr/>
        <w:t>万股，每股面值人民币</w:t>
      </w:r>
      <w:r>
        <w:rPr>
          <w:rFonts w:ascii="Times New Roman" w:hAnsi="Times New Roman" w:cs="Times New Roman" w:eastAsia="Times New Roman" w:hint="default"/>
        </w:rPr>
        <w:t>1</w:t>
      </w:r>
      <w:r>
        <w:rPr/>
        <w:t>元，余额</w:t>
      </w:r>
      <w:r>
        <w:rPr>
          <w:rFonts w:ascii="Times New Roman" w:hAnsi="Times New Roman" w:cs="Times New Roman" w:eastAsia="Times New Roman" w:hint="default"/>
        </w:rPr>
        <w:t>24,560.25</w:t>
      </w:r>
      <w:r>
        <w:rPr/>
        <w:t>元计入资本公积，整体变更为深圳市银之杰 </w:t>
      </w:r>
      <w:r>
        <w:rPr>
          <w:spacing w:val="-4"/>
        </w:rPr>
        <w:t>科技股份有限公司，各发起人按原出资比例持有股份公司的股份。深圳市鹏城会计师事务所有限公司对本次出资进行了验证，</w:t>
      </w:r>
      <w:r>
        <w:rPr>
          <w:spacing w:val="-44"/>
        </w:rPr>
        <w:t> </w:t>
      </w:r>
      <w:r>
        <w:rPr>
          <w:spacing w:val="-44"/>
        </w:rPr>
      </w:r>
      <w:r>
        <w:rPr/>
        <w:t>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日出具了深鹏所验字</w:t>
      </w:r>
      <w:r>
        <w:rPr>
          <w:rFonts w:ascii="Times New Roman" w:hAnsi="Times New Roman" w:cs="Times New Roman" w:eastAsia="Times New Roman" w:hint="default"/>
        </w:rPr>
        <w:t>[2007]191</w:t>
      </w:r>
      <w:r>
        <w:rPr/>
        <w:t>号验资报告。</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19"/>
        </w:rPr>
        <w:t> </w:t>
      </w:r>
      <w:r>
        <w:rPr/>
        <w:t>日，经深圳市工商行政管理局核准，公司完成</w:t>
      </w:r>
    </w:p>
    <w:p>
      <w:pPr>
        <w:spacing w:after="0" w:line="463"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93"/>
        <w:jc w:val="left"/>
      </w:pPr>
      <w:r>
        <w:rPr/>
        <w:t>整体变更登记，领取了注册号为</w:t>
      </w:r>
      <w:r>
        <w:rPr>
          <w:rFonts w:ascii="Times New Roman" w:hAnsi="Times New Roman" w:cs="Times New Roman" w:eastAsia="Times New Roman" w:hint="default"/>
        </w:rPr>
        <w:t>440301102955880</w:t>
      </w:r>
      <w:r>
        <w:rPr/>
        <w:t>的企业法人营业执照，注册资本为</w:t>
      </w:r>
      <w:r>
        <w:rPr>
          <w:rFonts w:ascii="Times New Roman" w:hAnsi="Times New Roman" w:cs="Times New Roman" w:eastAsia="Times New Roman" w:hint="default"/>
        </w:rPr>
        <w:t>4,500</w:t>
      </w:r>
      <w:r>
        <w:rPr/>
        <w:t>万元。</w:t>
      </w:r>
    </w:p>
    <w:p>
      <w:pPr>
        <w:spacing w:line="240" w:lineRule="auto" w:before="9"/>
        <w:rPr>
          <w:rFonts w:ascii="宋体" w:hAnsi="宋体" w:cs="宋体" w:eastAsia="宋体" w:hint="default"/>
          <w:sz w:val="16"/>
          <w:szCs w:val="16"/>
        </w:rPr>
      </w:pPr>
    </w:p>
    <w:p>
      <w:pPr>
        <w:pStyle w:val="BodyText"/>
        <w:spacing w:line="451" w:lineRule="auto"/>
        <w:ind w:right="183" w:firstLine="36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日，公司第一届董事会第七次会议审议通过了《关于公司申请发行股票并上市的议案》，该议案经</w:t>
      </w:r>
      <w:r>
        <w:rPr>
          <w:rFonts w:ascii="Times New Roman" w:hAnsi="Times New Roman" w:cs="Times New Roman" w:eastAsia="Times New Roman" w:hint="default"/>
        </w:rPr>
        <w:t>2009</w:t>
      </w:r>
      <w:r>
        <w:rPr/>
        <w:t>年 第二次临时股东大会审议通过。</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[2010]548</w:t>
      </w:r>
      <w:r>
        <w:rPr/>
        <w:t>号</w:t>
      </w:r>
      <w:r>
        <w:rPr>
          <w:rFonts w:ascii="Times New Roman" w:hAnsi="Times New Roman" w:cs="Times New Roman" w:eastAsia="Times New Roman" w:hint="default"/>
        </w:rPr>
        <w:t>”</w:t>
      </w:r>
      <w:r>
        <w:rPr/>
        <w:t>文核准，核准公司向社 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1500</w:t>
      </w:r>
      <w:r>
        <w:rPr/>
        <w:t>万股，每股面值</w:t>
      </w:r>
      <w:r>
        <w:rPr>
          <w:rFonts w:ascii="Times New Roman" w:hAnsi="Times New Roman" w:cs="Times New Roman" w:eastAsia="Times New Roman" w:hint="default"/>
        </w:rPr>
        <w:t>1.00</w:t>
      </w:r>
      <w:r>
        <w:rPr/>
        <w:t>元，发行价格为</w:t>
      </w:r>
      <w:r>
        <w:rPr>
          <w:rFonts w:ascii="Times New Roman" w:hAnsi="Times New Roman" w:cs="Times New Roman" w:eastAsia="Times New Roman" w:hint="default"/>
        </w:rPr>
        <w:t>28.00</w:t>
      </w:r>
      <w:r>
        <w:rPr/>
        <w:t>元</w:t>
      </w:r>
      <w:r>
        <w:rPr>
          <w:rFonts w:ascii="Times New Roman" w:hAnsi="Times New Roman" w:cs="Times New Roman" w:eastAsia="Times New Roman" w:hint="default"/>
        </w:rPr>
        <w:t>/</w:t>
      </w:r>
      <w:r>
        <w:rPr/>
        <w:t>股，发行后公司股本为</w:t>
      </w:r>
      <w:r>
        <w:rPr>
          <w:rFonts w:ascii="Times New Roman" w:hAnsi="Times New Roman" w:cs="Times New Roman" w:eastAsia="Times New Roman" w:hint="default"/>
        </w:rPr>
        <w:t>6,000</w:t>
      </w:r>
      <w:r>
        <w:rPr/>
        <w:t>万股。</w:t>
      </w:r>
    </w:p>
    <w:p>
      <w:pPr>
        <w:pStyle w:val="BodyText"/>
        <w:spacing w:line="451" w:lineRule="auto" w:before="43"/>
        <w:ind w:right="93" w:firstLine="360"/>
        <w:jc w:val="left"/>
      </w:pPr>
      <w:r>
        <w:rPr>
          <w:spacing w:val="-1"/>
        </w:rPr>
        <w:t>公司本次发行募集资金总额为</w:t>
      </w:r>
      <w:r>
        <w:rPr>
          <w:rFonts w:ascii="Times New Roman" w:hAnsi="Times New Roman" w:cs="Times New Roman" w:eastAsia="Times New Roman" w:hint="default"/>
          <w:spacing w:val="-1"/>
        </w:rPr>
        <w:t>420,000,000.00</w:t>
      </w:r>
      <w:r>
        <w:rPr>
          <w:spacing w:val="-1"/>
        </w:rPr>
        <w:t>元，扣除发行费用</w:t>
      </w:r>
      <w:r>
        <w:rPr>
          <w:rFonts w:ascii="Times New Roman" w:hAnsi="Times New Roman" w:cs="Times New Roman" w:eastAsia="Times New Roman" w:hint="default"/>
          <w:spacing w:val="-1"/>
        </w:rPr>
        <w:t>31,049,260.04</w:t>
      </w:r>
      <w:r>
        <w:rPr>
          <w:spacing w:val="-1"/>
        </w:rPr>
        <w:t>元，实际募集资金净额为</w:t>
      </w:r>
      <w:r>
        <w:rPr>
          <w:rFonts w:ascii="Times New Roman" w:hAnsi="Times New Roman" w:cs="Times New Roman" w:eastAsia="Times New Roman" w:hint="default"/>
          <w:spacing w:val="-1"/>
        </w:rPr>
        <w:t>388,950,739.96</w:t>
      </w:r>
      <w:r>
        <w:rPr>
          <w:spacing w:val="-1"/>
        </w:rPr>
        <w:t>元。</w:t>
      </w:r>
      <w:r>
        <w:rPr>
          <w:spacing w:val="-2"/>
        </w:rPr>
        <w:t> </w:t>
      </w:r>
      <w:r>
        <w:rPr/>
        <w:t>深圳市鹏城会计师事务有限公司已于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日对公司本次发行募集资金到位情况进行了审验，并出具了深鹏所验字 </w:t>
      </w:r>
      <w:r>
        <w:rPr>
          <w:rFonts w:ascii="Times New Roman" w:hAnsi="Times New Roman" w:cs="Times New Roman" w:eastAsia="Times New Roman" w:hint="default"/>
          <w:spacing w:val="-7"/>
          <w:w w:val="100"/>
        </w:rPr>
        <w:t>[2010]</w:t>
      </w:r>
      <w:r>
        <w:rPr>
          <w:spacing w:val="-7"/>
          <w:w w:val="100"/>
        </w:rPr>
        <w:t>第</w:t>
      </w:r>
      <w:r>
        <w:rPr>
          <w:rFonts w:ascii="Times New Roman" w:hAnsi="Times New Roman" w:cs="Times New Roman" w:eastAsia="Times New Roman" w:hint="default"/>
          <w:spacing w:val="-7"/>
          <w:w w:val="100"/>
        </w:rPr>
        <w:t>184</w:t>
      </w:r>
      <w:r>
        <w:rPr>
          <w:spacing w:val="-7"/>
          <w:w w:val="100"/>
        </w:rPr>
        <w:t>号《验资报告》。公司股票于</w:t>
      </w:r>
      <w:r>
        <w:rPr>
          <w:rFonts w:ascii="Times New Roman" w:hAnsi="Times New Roman" w:cs="Times New Roman" w:eastAsia="Times New Roman" w:hint="default"/>
          <w:spacing w:val="-7"/>
          <w:w w:val="100"/>
        </w:rPr>
        <w:t>2010</w:t>
      </w:r>
      <w:r>
        <w:rPr>
          <w:spacing w:val="-7"/>
          <w:w w:val="100"/>
        </w:rPr>
        <w:t>年</w:t>
      </w:r>
      <w:r>
        <w:rPr>
          <w:rFonts w:ascii="Times New Roman" w:hAnsi="Times New Roman" w:cs="Times New Roman" w:eastAsia="Times New Roman" w:hint="default"/>
          <w:spacing w:val="-7"/>
          <w:w w:val="100"/>
        </w:rPr>
        <w:t>5</w:t>
      </w:r>
      <w:r>
        <w:rPr>
          <w:spacing w:val="-7"/>
          <w:w w:val="100"/>
        </w:rPr>
        <w:t>月</w:t>
      </w:r>
      <w:r>
        <w:rPr>
          <w:rFonts w:ascii="Times New Roman" w:hAnsi="Times New Roman" w:cs="Times New Roman" w:eastAsia="Times New Roman" w:hint="default"/>
          <w:spacing w:val="-7"/>
          <w:w w:val="100"/>
        </w:rPr>
        <w:t>26</w:t>
      </w:r>
      <w:r>
        <w:rPr>
          <w:spacing w:val="-7"/>
          <w:w w:val="100"/>
        </w:rPr>
        <w:t>日在深圳证券交易所创业板上市，股票简称</w:t>
      </w:r>
      <w:r>
        <w:rPr>
          <w:rFonts w:ascii="Times New Roman" w:hAnsi="Times New Roman" w:cs="Times New Roman" w:eastAsia="Times New Roman" w:hint="default"/>
          <w:spacing w:val="-7"/>
          <w:w w:val="100"/>
        </w:rPr>
        <w:t>“</w:t>
      </w:r>
      <w:r>
        <w:rPr>
          <w:spacing w:val="-7"/>
          <w:w w:val="100"/>
        </w:rPr>
        <w:t>银之杰</w:t>
      </w:r>
      <w:r>
        <w:rPr>
          <w:rFonts w:ascii="Times New Roman" w:hAnsi="Times New Roman" w:cs="Times New Roman" w:eastAsia="Times New Roman" w:hint="default"/>
          <w:spacing w:val="-7"/>
          <w:w w:val="100"/>
        </w:rPr>
        <w:t>”</w:t>
      </w:r>
      <w:r>
        <w:rPr>
          <w:spacing w:val="-7"/>
          <w:w w:val="100"/>
        </w:rPr>
        <w:t>，股票代码</w:t>
      </w:r>
      <w:r>
        <w:rPr>
          <w:rFonts w:ascii="Times New Roman" w:hAnsi="Times New Roman" w:cs="Times New Roman" w:eastAsia="Times New Roman" w:hint="default"/>
          <w:spacing w:val="-7"/>
          <w:w w:val="100"/>
        </w:rPr>
        <w:t>“300085”</w:t>
      </w:r>
      <w:r>
        <w:rPr>
          <w:spacing w:val="-7"/>
          <w:w w:val="100"/>
        </w:rPr>
        <w:t>。</w:t>
      </w:r>
    </w:p>
    <w:p>
      <w:pPr>
        <w:pStyle w:val="BodyText"/>
        <w:spacing w:line="451" w:lineRule="auto" w:before="43"/>
        <w:ind w:right="91" w:firstLine="360"/>
        <w:jc w:val="left"/>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日，公司</w:t>
      </w:r>
      <w:r>
        <w:rPr>
          <w:rFonts w:ascii="Times New Roman" w:hAnsi="Times New Roman" w:cs="Times New Roman" w:eastAsia="Times New Roman" w:hint="default"/>
          <w:spacing w:val="-1"/>
        </w:rPr>
        <w:t>2010</w:t>
      </w:r>
      <w:r>
        <w:rPr>
          <w:spacing w:val="-1"/>
        </w:rPr>
        <w:t>年年度股东大会通过决议，以</w:t>
      </w:r>
      <w:r>
        <w:rPr>
          <w:rFonts w:ascii="Times New Roman" w:hAnsi="Times New Roman" w:cs="Times New Roman" w:eastAsia="Times New Roman" w:hint="default"/>
          <w:spacing w:val="-1"/>
        </w:rPr>
        <w:t>2010</w:t>
      </w:r>
      <w:r>
        <w:rPr>
          <w:spacing w:val="-1"/>
        </w:rPr>
        <w:t>年末总股本</w:t>
      </w:r>
      <w:r>
        <w:rPr>
          <w:rFonts w:ascii="Times New Roman" w:hAnsi="Times New Roman" w:cs="Times New Roman" w:eastAsia="Times New Roman" w:hint="default"/>
          <w:spacing w:val="-1"/>
        </w:rPr>
        <w:t>60,000,000</w:t>
      </w:r>
      <w:r>
        <w:rPr>
          <w:rFonts w:ascii="Times New Roman" w:hAnsi="Times New Roman" w:cs="Times New Roman" w:eastAsia="Times New Roman" w:hint="default"/>
          <w:spacing w:val="38"/>
        </w:rPr>
        <w:t> </w:t>
      </w:r>
      <w:r>
        <w:rPr>
          <w:spacing w:val="-2"/>
        </w:rPr>
        <w:t>股为基数，以资本公积金转增股本，</w:t>
      </w:r>
      <w:r>
        <w:rPr/>
        <w:t>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6000</w:t>
      </w:r>
      <w:r>
        <w:rPr/>
        <w:t>万股，转增后公司总股本为</w:t>
      </w:r>
      <w:r>
        <w:rPr>
          <w:rFonts w:ascii="Times New Roman" w:hAnsi="Times New Roman" w:cs="Times New Roman" w:eastAsia="Times New Roman" w:hint="default"/>
        </w:rPr>
        <w:t>120,000,000</w:t>
      </w:r>
      <w:r>
        <w:rPr/>
        <w:t>股，资本公积为</w:t>
      </w:r>
      <w:r>
        <w:rPr>
          <w:rFonts w:ascii="Times New Roman" w:hAnsi="Times New Roman" w:cs="Times New Roman" w:eastAsia="Times New Roman" w:hint="default"/>
        </w:rPr>
        <w:t>313,975,300.21</w:t>
      </w:r>
      <w:r>
        <w:rPr/>
        <w:t>元，并于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日经深圳市鹏城会计师事务有限公司出具了深鹏所验字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0213</w:t>
      </w:r>
      <w:r>
        <w:rPr/>
        <w:t>号《验资报告》。</w:t>
      </w:r>
    </w:p>
    <w:p>
      <w:pPr>
        <w:pStyle w:val="BodyText"/>
        <w:spacing w:line="451" w:lineRule="auto" w:before="43"/>
        <w:ind w:right="93" w:firstLine="36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日，公司</w:t>
      </w:r>
      <w:r>
        <w:rPr>
          <w:rFonts w:ascii="Times New Roman" w:hAnsi="Times New Roman" w:cs="Times New Roman" w:eastAsia="Times New Roman" w:hint="default"/>
          <w:spacing w:val="-2"/>
        </w:rPr>
        <w:t>2013</w:t>
      </w:r>
      <w:r>
        <w:rPr>
          <w:spacing w:val="-2"/>
        </w:rPr>
        <w:t>年第一次临时股东大会审议通过了《股票期权与限制性股票激励计划（修订案）及其摘要》，</w:t>
      </w:r>
      <w:r>
        <w:rPr/>
        <w:t> 公司以</w:t>
      </w:r>
      <w:r>
        <w:rPr>
          <w:rFonts w:ascii="Times New Roman" w:hAnsi="Times New Roman" w:cs="Times New Roman" w:eastAsia="Times New Roman" w:hint="default"/>
        </w:rPr>
        <w:t>4.74</w:t>
      </w:r>
      <w:r>
        <w:rPr/>
        <w:t>元</w:t>
      </w:r>
      <w:r>
        <w:rPr>
          <w:rFonts w:ascii="Times New Roman" w:hAnsi="Times New Roman" w:cs="Times New Roman" w:eastAsia="Times New Roman" w:hint="default"/>
        </w:rPr>
        <w:t>/</w:t>
      </w:r>
      <w:r>
        <w:rPr/>
        <w:t>股的价格授予</w:t>
      </w:r>
      <w:r>
        <w:rPr>
          <w:rFonts w:ascii="Times New Roman" w:hAnsi="Times New Roman" w:cs="Times New Roman" w:eastAsia="Times New Roman" w:hint="default"/>
        </w:rPr>
        <w:t>25</w:t>
      </w:r>
      <w:r>
        <w:rPr/>
        <w:t>位激励对象</w:t>
      </w:r>
      <w:r>
        <w:rPr>
          <w:rFonts w:ascii="Times New Roman" w:hAnsi="Times New Roman" w:cs="Times New Roman" w:eastAsia="Times New Roman" w:hint="default"/>
        </w:rPr>
        <w:t>133</w:t>
      </w:r>
      <w:r>
        <w:rPr/>
        <w:t>万股限制性股票。截至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日止，公司已收到</w:t>
      </w:r>
      <w:r>
        <w:rPr>
          <w:rFonts w:ascii="Times New Roman" w:hAnsi="Times New Roman" w:cs="Times New Roman" w:eastAsia="Times New Roman" w:hint="default"/>
        </w:rPr>
        <w:t>25</w:t>
      </w:r>
      <w:r>
        <w:rPr/>
        <w:t>位激励对象认购</w:t>
      </w:r>
      <w:r>
        <w:rPr>
          <w:rFonts w:ascii="Times New Roman" w:hAnsi="Times New Roman" w:cs="Times New Roman" w:eastAsia="Times New Roman" w:hint="default"/>
        </w:rPr>
        <w:t>133</w:t>
      </w:r>
      <w:r>
        <w:rPr/>
        <w:t>万 </w:t>
      </w:r>
      <w:r>
        <w:rPr>
          <w:spacing w:val="-3"/>
        </w:rPr>
        <w:t>股限制性股票缴纳的货币资金出资款</w:t>
      </w:r>
      <w:r>
        <w:rPr>
          <w:rFonts w:ascii="Times New Roman" w:hAnsi="Times New Roman" w:cs="Times New Roman" w:eastAsia="Times New Roman" w:hint="default"/>
          <w:spacing w:val="-3"/>
        </w:rPr>
        <w:t>630.42</w:t>
      </w:r>
      <w:r>
        <w:rPr>
          <w:spacing w:val="-3"/>
        </w:rPr>
        <w:t>万元，其中股本</w:t>
      </w:r>
      <w:r>
        <w:rPr>
          <w:rFonts w:ascii="Times New Roman" w:hAnsi="Times New Roman" w:cs="Times New Roman" w:eastAsia="Times New Roman" w:hint="default"/>
          <w:spacing w:val="-3"/>
        </w:rPr>
        <w:t>133</w:t>
      </w:r>
      <w:r>
        <w:rPr>
          <w:spacing w:val="-3"/>
        </w:rPr>
        <w:t>万元，资本公积</w:t>
      </w:r>
      <w:r>
        <w:rPr>
          <w:rFonts w:ascii="Times New Roman" w:hAnsi="Times New Roman" w:cs="Times New Roman" w:eastAsia="Times New Roman" w:hint="default"/>
          <w:spacing w:val="-3"/>
        </w:rPr>
        <w:t>497.42</w:t>
      </w:r>
      <w:r>
        <w:rPr>
          <w:spacing w:val="-3"/>
        </w:rPr>
        <w:t>万元，本次限制性股票授予登记完成后，</w:t>
      </w:r>
      <w:r>
        <w:rPr>
          <w:spacing w:val="-77"/>
        </w:rPr>
        <w:t> </w:t>
      </w:r>
      <w:r>
        <w:rPr>
          <w:spacing w:val="-77"/>
        </w:rPr>
      </w:r>
      <w:r>
        <w:rPr>
          <w:spacing w:val="-2"/>
        </w:rPr>
        <w:t>公司注册资本变更为</w:t>
      </w:r>
      <w:r>
        <w:rPr>
          <w:rFonts w:ascii="Times New Roman" w:hAnsi="Times New Roman" w:cs="Times New Roman" w:eastAsia="Times New Roman" w:hint="default"/>
          <w:spacing w:val="-2"/>
        </w:rPr>
        <w:t>12,133</w:t>
      </w:r>
      <w:r>
        <w:rPr>
          <w:spacing w:val="-2"/>
        </w:rPr>
        <w:t>万元，并于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日经瑞华会计师事务所（特殊普通合伙）出具瑞华验字</w:t>
      </w:r>
      <w:r>
        <w:rPr>
          <w:rFonts w:ascii="Times New Roman" w:hAnsi="Times New Roman" w:cs="Times New Roman" w:eastAsia="Times New Roman" w:hint="default"/>
          <w:spacing w:val="-2"/>
        </w:rPr>
        <w:t>[2013]</w:t>
      </w:r>
      <w:r>
        <w:rPr>
          <w:spacing w:val="-2"/>
        </w:rPr>
        <w:t>第</w:t>
      </w:r>
      <w:r>
        <w:rPr>
          <w:rFonts w:ascii="Times New Roman" w:hAnsi="Times New Roman" w:cs="Times New Roman" w:eastAsia="Times New Roman" w:hint="default"/>
          <w:spacing w:val="-2"/>
        </w:rPr>
        <w:t>816C0002</w:t>
      </w:r>
      <w:r>
        <w:rPr>
          <w:rFonts w:ascii="Times New Roman" w:hAnsi="Times New Roman" w:cs="Times New Roman" w:eastAsia="Times New Roman" w:hint="default"/>
          <w:spacing w:val="-12"/>
        </w:rPr>
        <w:t> </w:t>
      </w:r>
      <w:r>
        <w:rPr/>
        <w:t>号《验资报告》。</w:t>
      </w:r>
    </w:p>
    <w:p>
      <w:pPr>
        <w:pStyle w:val="BodyText"/>
        <w:spacing w:line="451" w:lineRule="auto" w:before="74"/>
        <w:ind w:right="190"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日，公司</w:t>
      </w:r>
      <w:r>
        <w:rPr>
          <w:rFonts w:ascii="Times New Roman" w:hAnsi="Times New Roman" w:cs="Times New Roman" w:eastAsia="Times New Roman" w:hint="default"/>
          <w:spacing w:val="-1"/>
        </w:rPr>
        <w:t>2013</w:t>
      </w:r>
      <w:r>
        <w:rPr>
          <w:spacing w:val="-1"/>
        </w:rPr>
        <w:t>年度股东大会通过决议，以</w:t>
      </w:r>
      <w:r>
        <w:rPr>
          <w:rFonts w:ascii="Times New Roman" w:hAnsi="Times New Roman" w:cs="Times New Roman" w:eastAsia="Times New Roman" w:hint="default"/>
          <w:spacing w:val="-1"/>
        </w:rPr>
        <w:t>2013</w:t>
      </w:r>
      <w:r>
        <w:rPr>
          <w:spacing w:val="-1"/>
        </w:rPr>
        <w:t>年末总股本</w:t>
      </w:r>
      <w:r>
        <w:rPr>
          <w:rFonts w:ascii="Times New Roman" w:hAnsi="Times New Roman" w:cs="Times New Roman" w:eastAsia="Times New Roman" w:hint="default"/>
          <w:spacing w:val="-1"/>
        </w:rPr>
        <w:t>12,133</w:t>
      </w:r>
      <w:r>
        <w:rPr>
          <w:spacing w:val="-1"/>
        </w:rPr>
        <w:t>万股为基数，以资本公积金转增股本，每</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
        </w:rPr>
        <w:t> </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12,133</w:t>
      </w:r>
      <w:r>
        <w:rPr/>
        <w:t>万股，转增后公司总股本为</w:t>
      </w:r>
      <w:r>
        <w:rPr>
          <w:rFonts w:ascii="Times New Roman" w:hAnsi="Times New Roman" w:cs="Times New Roman" w:eastAsia="Times New Roman" w:hint="default"/>
        </w:rPr>
        <w:t>24,266</w:t>
      </w:r>
      <w:r>
        <w:rPr/>
        <w:t>万股，资本公积为</w:t>
      </w:r>
      <w:r>
        <w:rPr>
          <w:rFonts w:ascii="Times New Roman" w:hAnsi="Times New Roman" w:cs="Times New Roman" w:eastAsia="Times New Roman" w:hint="default"/>
        </w:rPr>
        <w:t>313,975,300.21</w:t>
      </w:r>
      <w:r>
        <w:rPr/>
        <w:t>元，并于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日经 瑞华会计师事务所（特殊普通合伙）出具瑞华验字</w:t>
      </w:r>
      <w:r>
        <w:rPr>
          <w:rFonts w:ascii="Times New Roman" w:hAnsi="Times New Roman" w:cs="Times New Roman" w:eastAsia="Times New Roman" w:hint="default"/>
        </w:rPr>
        <w:t>[2014]48020005</w:t>
      </w:r>
      <w:r>
        <w:rPr/>
        <w:t>号《验资报告》。</w:t>
      </w:r>
    </w:p>
    <w:p>
      <w:pPr>
        <w:pStyle w:val="BodyText"/>
        <w:spacing w:line="451" w:lineRule="auto" w:before="43"/>
        <w:ind w:left="154" w:right="214" w:firstLine="360"/>
        <w:jc w:val="both"/>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28</w:t>
      </w:r>
      <w:r>
        <w:rPr/>
        <w:t>日，第三届董事会第五次会议决议回购注销尚未解锁限制性股票</w:t>
      </w:r>
      <w:r>
        <w:rPr>
          <w:rFonts w:ascii="Times New Roman" w:hAnsi="Times New Roman" w:cs="Times New Roman" w:eastAsia="Times New Roman" w:hint="default"/>
        </w:rPr>
        <w:t>102</w:t>
      </w:r>
      <w:r>
        <w:rPr>
          <w:rFonts w:ascii="Times New Roman" w:hAnsi="Times New Roman" w:cs="Times New Roman" w:eastAsia="Times New Roman" w:hint="default"/>
          <w:spacing w:val="-10"/>
        </w:rPr>
        <w:t> </w:t>
      </w:r>
      <w:r>
        <w:rPr/>
        <w:t>万股。回购注销完成后，公司股份 总数变更为</w:t>
      </w:r>
      <w:r>
        <w:rPr>
          <w:rFonts w:ascii="Times New Roman" w:hAnsi="Times New Roman" w:cs="Times New Roman" w:eastAsia="Times New Roman" w:hint="default"/>
        </w:rPr>
        <w:t>24,164</w:t>
      </w:r>
      <w:r>
        <w:rPr/>
        <w:t>万股，并于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日经瑞华会计师事务所（特殊普通合伙）出具瑞华验字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48020012</w:t>
      </w:r>
      <w:r>
        <w:rPr/>
        <w:t>号《验 资报告》。</w:t>
      </w:r>
    </w:p>
    <w:p>
      <w:pPr>
        <w:pStyle w:val="BodyText"/>
        <w:spacing w:line="451" w:lineRule="auto" w:before="74"/>
        <w:ind w:right="9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日，经</w:t>
      </w:r>
      <w:r>
        <w:rPr>
          <w:rFonts w:ascii="Times New Roman" w:hAnsi="Times New Roman" w:cs="Times New Roman" w:eastAsia="Times New Roman" w:hint="default"/>
        </w:rPr>
        <w:t>2014</w:t>
      </w:r>
      <w:r>
        <w:rPr/>
        <w:t>年第一次临时股东大会审议通过，并经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日中国证券监督管理委员会</w:t>
      </w:r>
      <w:r>
        <w:rPr>
          <w:rFonts w:ascii="Times New Roman" w:hAnsi="Times New Roman" w:cs="Times New Roman" w:eastAsia="Times New Roman" w:hint="default"/>
        </w:rPr>
        <w:t>“</w:t>
      </w:r>
      <w:r>
        <w:rPr/>
        <w:t>证监许可 </w:t>
      </w:r>
      <w:r>
        <w:rPr>
          <w:rFonts w:ascii="Times New Roman" w:hAnsi="Times New Roman" w:cs="Times New Roman" w:eastAsia="Times New Roman" w:hint="default"/>
        </w:rPr>
        <w:t>[2014]1112</w:t>
      </w:r>
      <w:r>
        <w:rPr/>
        <w:t>号</w:t>
      </w:r>
      <w:r>
        <w:rPr>
          <w:rFonts w:ascii="Times New Roman" w:hAnsi="Times New Roman" w:cs="Times New Roman" w:eastAsia="Times New Roman" w:hint="default"/>
        </w:rPr>
        <w:t>”</w:t>
      </w:r>
      <w:r>
        <w:rPr/>
        <w:t>文核准向冯军、李岩及深圳弘道天瑞投资有限责任公司合计发行 </w:t>
      </w:r>
      <w:r>
        <w:rPr>
          <w:rFonts w:ascii="Times New Roman" w:hAnsi="Times New Roman" w:cs="Times New Roman" w:eastAsia="Times New Roman" w:hint="default"/>
        </w:rPr>
        <w:t>2108.2219</w:t>
      </w:r>
      <w:r>
        <w:rPr>
          <w:rFonts w:ascii="Times New Roman" w:hAnsi="Times New Roman" w:cs="Times New Roman" w:eastAsia="Times New Roman" w:hint="default"/>
          <w:spacing w:val="7"/>
        </w:rPr>
        <w:t> </w:t>
      </w:r>
      <w:r>
        <w:rPr/>
        <w:t>万股股票。增发完成后，公司股 </w:t>
      </w:r>
      <w:r>
        <w:rPr>
          <w:spacing w:val="-1"/>
        </w:rPr>
        <w:t>份总数增至</w:t>
      </w:r>
      <w:r>
        <w:rPr>
          <w:rFonts w:ascii="Times New Roman" w:hAnsi="Times New Roman" w:cs="Times New Roman" w:eastAsia="Times New Roman" w:hint="default"/>
          <w:spacing w:val="-1"/>
        </w:rPr>
        <w:t>26,272.2219</w:t>
      </w:r>
      <w:r>
        <w:rPr>
          <w:spacing w:val="-1"/>
        </w:rPr>
        <w:t>万股，并于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日经瑞华会计师事务所（特殊普通合伙）出具瑞华验字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48020013</w:t>
      </w:r>
      <w:r>
        <w:rPr>
          <w:spacing w:val="-1"/>
        </w:rPr>
        <w:t>号</w:t>
      </w:r>
    </w:p>
    <w:p>
      <w:pPr>
        <w:pStyle w:val="BodyText"/>
        <w:spacing w:line="240" w:lineRule="auto" w:before="43"/>
        <w:ind w:right="93"/>
        <w:jc w:val="left"/>
      </w:pPr>
      <w:r>
        <w:rPr/>
        <w:t>《验资报告》。</w:t>
      </w:r>
    </w:p>
    <w:p>
      <w:pPr>
        <w:spacing w:line="240" w:lineRule="auto" w:before="10"/>
        <w:rPr>
          <w:rFonts w:ascii="宋体" w:hAnsi="宋体" w:cs="宋体" w:eastAsia="宋体" w:hint="default"/>
          <w:sz w:val="17"/>
          <w:szCs w:val="17"/>
        </w:rPr>
      </w:pPr>
    </w:p>
    <w:p>
      <w:pPr>
        <w:pStyle w:val="BodyText"/>
        <w:spacing w:line="451" w:lineRule="auto"/>
        <w:ind w:left="514" w:right="1532"/>
        <w:jc w:val="left"/>
      </w:pPr>
      <w:r>
        <w:rPr>
          <w:rFonts w:ascii="Times New Roman" w:hAnsi="Times New Roman" w:cs="Times New Roman" w:eastAsia="Times New Roman" w:hint="default"/>
        </w:rPr>
        <w:t>4</w:t>
      </w:r>
      <w:r>
        <w:rPr/>
        <w:t>、财务报表及财务报表附注的批准报出者及批准报出日 本公司财务报表及财务报表附注业经于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日经公司第三届董事会第十次会议审议批准报出。</w:t>
      </w:r>
    </w:p>
    <w:p>
      <w:pPr>
        <w:spacing w:line="556" w:lineRule="auto" w:before="122"/>
        <w:ind w:left="513" w:right="93" w:hanging="360"/>
        <w:jc w:val="left"/>
        <w:rPr>
          <w:rFonts w:ascii="宋体" w:hAnsi="宋体" w:cs="宋体" w:eastAsia="宋体" w:hint="default"/>
          <w:sz w:val="18"/>
          <w:szCs w:val="18"/>
        </w:rPr>
      </w:pPr>
      <w:r>
        <w:rPr>
          <w:rFonts w:ascii="宋体" w:hAnsi="宋体" w:cs="宋体" w:eastAsia="宋体" w:hint="default"/>
          <w:b/>
          <w:bCs/>
          <w:sz w:val="18"/>
          <w:szCs w:val="18"/>
        </w:rPr>
        <w:t>合并财务报表范围及变化情况</w:t>
      </w:r>
      <w:r>
        <w:rPr>
          <w:rFonts w:ascii="宋体" w:hAnsi="宋体" w:cs="宋体" w:eastAsia="宋体" w:hint="default"/>
          <w:b/>
          <w:bCs/>
          <w:w w:val="99"/>
          <w:sz w:val="18"/>
          <w:szCs w:val="18"/>
        </w:rPr>
        <w:t> </w:t>
      </w:r>
      <w:r>
        <w:rPr>
          <w:rFonts w:ascii="宋体" w:hAnsi="宋体" w:cs="宋体" w:eastAsia="宋体" w:hint="default"/>
          <w:spacing w:val="-2"/>
          <w:sz w:val="18"/>
          <w:szCs w:val="18"/>
        </w:rPr>
        <w:t>本报告期，公司纳入合并范围的子公司共有</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家，其中本期新增</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家公司，分别为北京亿美软通科技有限公司和深圳市科</w:t>
      </w:r>
    </w:p>
    <w:p>
      <w:pPr>
        <w:spacing w:after="0" w:line="556" w:lineRule="auto"/>
        <w:jc w:val="left"/>
        <w:rPr>
          <w:rFonts w:ascii="宋体" w:hAnsi="宋体" w:cs="宋体" w:eastAsia="宋体" w:hint="default"/>
          <w:sz w:val="18"/>
          <w:szCs w:val="18"/>
        </w:rPr>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93"/>
        <w:jc w:val="left"/>
      </w:pPr>
      <w:r>
        <w:rPr/>
        <w:t>安数字有限公司，具体情况见本财务报表附注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Heading2"/>
        <w:spacing w:line="240" w:lineRule="auto" w:before="158"/>
        <w:ind w:right="93"/>
        <w:jc w:val="left"/>
        <w:rPr>
          <w:b w:val="0"/>
          <w:bCs w:val="0"/>
        </w:rPr>
      </w:pPr>
      <w:bookmarkStart w:name="四、财务报表的编制基础" w:id="121"/>
      <w:bookmarkEnd w:id="121"/>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3"/>
        <w:jc w:val="left"/>
        <w:rPr>
          <w:b w:val="0"/>
          <w:bCs w:val="0"/>
        </w:rPr>
      </w:pPr>
      <w:bookmarkStart w:name="1、编制基础" w:id="122"/>
      <w:bookmarkEnd w:id="12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190" w:firstLine="360"/>
        <w:jc w:val="both"/>
      </w:pPr>
      <w:r>
        <w:rPr/>
        <w:t>本公司申报财务报表以持续经营假设为基础，根据实际发生的交易和事项，按照财政部于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 </w:t>
      </w:r>
      <w:r>
        <w:rPr>
          <w:spacing w:val="-2"/>
        </w:rPr>
        <w:t>会计准则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项具体会计准则、其后颁布的企业会计准则应用指南、企业会计准则解释及其他相关规定（以</w:t>
      </w:r>
      <w:r>
        <w:rPr>
          <w:spacing w:val="-65"/>
        </w:rPr>
        <w:t> </w:t>
      </w:r>
      <w:r>
        <w:rPr>
          <w:spacing w:val="-65"/>
        </w:rPr>
      </w:r>
      <w:r>
        <w:rPr>
          <w:spacing w:val="-2"/>
        </w:rPr>
        <w:t>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w:t>
      </w:r>
      <w:r>
        <w:rPr>
          <w:spacing w:val="-43"/>
        </w:rPr>
        <w:t> </w:t>
      </w:r>
      <w:r>
        <w:rPr/>
        <w:t>般规定》（</w:t>
      </w:r>
      <w:r>
        <w:rPr>
          <w:rFonts w:ascii="Times New Roman" w:hAnsi="Times New Roman" w:cs="Times New Roman" w:eastAsia="Times New Roman" w:hint="default"/>
        </w:rPr>
        <w:t>2010</w:t>
      </w:r>
      <w:r>
        <w:rPr/>
        <w:t>年修订）的披露规定编制。</w:t>
      </w:r>
    </w:p>
    <w:p>
      <w:pPr>
        <w:pStyle w:val="BodyText"/>
        <w:spacing w:line="477" w:lineRule="auto" w:before="43"/>
        <w:ind w:right="193" w:firstLine="360"/>
        <w:jc w:val="both"/>
      </w:pPr>
      <w:r>
        <w:rPr>
          <w:spacing w:val="-2"/>
        </w:rPr>
        <w:t>根据企业会计准则的相关规定，本公司会计核算以权责发生制为基础。除某些金融工具和投资性房地产外，本财务报表</w:t>
      </w:r>
      <w:r>
        <w:rPr/>
        <w:t> </w:t>
      </w:r>
      <w:r>
        <w:rPr>
          <w:spacing w:val="-2"/>
        </w:rPr>
        <w:t>均以历史成本为计量基础。持有待售的非流动资产，按公允价值减去预计费用后的金额，以及符合持有待售条件时的原账面</w:t>
      </w:r>
      <w:r>
        <w:rPr>
          <w:spacing w:val="-66"/>
        </w:rPr>
        <w:t> </w:t>
      </w:r>
      <w:r>
        <w:rPr>
          <w:spacing w:val="-66"/>
        </w:rPr>
      </w:r>
      <w:r>
        <w:rPr/>
        <w:t>价值，取两者孰低计价。资产如果发生减值，则按照相关规定计提相应的减值准备。</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2、持续经营" w:id="123"/>
      <w:bookmarkEnd w:id="12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93"/>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pStyle w:val="Heading2"/>
        <w:spacing w:line="240" w:lineRule="auto" w:before="158"/>
        <w:ind w:right="93"/>
        <w:jc w:val="left"/>
        <w:rPr>
          <w:b w:val="0"/>
          <w:bCs w:val="0"/>
        </w:rPr>
      </w:pPr>
      <w:bookmarkStart w:name="五、重要会计政策及会计估计" w:id="124"/>
      <w:bookmarkEnd w:id="124"/>
      <w:r>
        <w:rPr>
          <w:b w:val="0"/>
          <w:bCs w:val="0"/>
        </w:rPr>
      </w:r>
      <w:r>
        <w:rPr/>
        <w:t>五、重要会计政策及会计估计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452"/>
        <w:jc w:val="left"/>
      </w:pPr>
      <w:r>
        <w:rPr/>
        <w:t>具体会计政策和会计估计提示： 本公司重要会计政策及会计估计，是依据财政部发布的企业会计准则的有关规定，结合本公司生产经营特点制定。</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1、遵循企业会计准则的声明" w:id="125"/>
      <w:bookmarkEnd w:id="12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19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2014</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6"/>
        <w:rPr>
          <w:rFonts w:ascii="宋体" w:hAnsi="宋体" w:cs="宋体" w:eastAsia="宋体" w:hint="default"/>
          <w:sz w:val="18"/>
          <w:szCs w:val="18"/>
        </w:rPr>
      </w:pPr>
    </w:p>
    <w:p>
      <w:pPr>
        <w:pStyle w:val="Heading3"/>
        <w:spacing w:line="240" w:lineRule="auto"/>
        <w:ind w:left="153" w:right="93"/>
        <w:jc w:val="left"/>
        <w:rPr>
          <w:b w:val="0"/>
          <w:bCs w:val="0"/>
        </w:rPr>
      </w:pPr>
      <w:bookmarkStart w:name="2、会计期间" w:id="126"/>
      <w:bookmarkEnd w:id="12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09"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0"/>
        <w:rPr>
          <w:rFonts w:ascii="宋体" w:hAnsi="宋体" w:cs="宋体" w:eastAsia="宋体" w:hint="default"/>
          <w:sz w:val="16"/>
          <w:szCs w:val="16"/>
        </w:rPr>
      </w:pPr>
    </w:p>
    <w:p>
      <w:pPr>
        <w:pStyle w:val="Heading3"/>
        <w:spacing w:line="240" w:lineRule="auto"/>
        <w:ind w:left="153" w:right="93"/>
        <w:jc w:val="left"/>
        <w:rPr>
          <w:b w:val="0"/>
          <w:bCs w:val="0"/>
        </w:rPr>
      </w:pPr>
      <w:bookmarkStart w:name="3、营业周期" w:id="127"/>
      <w:bookmarkEnd w:id="12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93"/>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p>
    <w:p>
      <w:pPr>
        <w:spacing w:after="0" w:line="240"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93"/>
        <w:jc w:val="left"/>
      </w:pPr>
      <w:r>
        <w:rPr/>
        <w:t>期，并以其作为资产和负债的流动性划分标准。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53" w:right="93"/>
        <w:jc w:val="left"/>
        <w:rPr>
          <w:b w:val="0"/>
          <w:bCs w:val="0"/>
        </w:rPr>
      </w:pPr>
      <w:bookmarkStart w:name="4、记账本位币" w:id="128"/>
      <w:bookmarkEnd w:id="12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93"/>
        <w:jc w:val="left"/>
      </w:pPr>
      <w:r>
        <w:rPr/>
        <w:t>本公司采用人民币为记账本位币。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53" w:right="93"/>
        <w:jc w:val="left"/>
        <w:rPr>
          <w:b w:val="0"/>
          <w:bCs w:val="0"/>
        </w:rPr>
      </w:pPr>
      <w:bookmarkStart w:name="5、同一控制下和非同一控制下企业合并的会计处理方法" w:id="129"/>
      <w:bookmarkEnd w:id="12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451" w:lineRule="auto" w:before="54"/>
        <w:ind w:left="514" w:right="93"/>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477" w:lineRule="auto" w:before="74"/>
        <w:ind w:left="154" w:right="93"/>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240" w:lineRule="auto" w:before="54"/>
        <w:ind w:left="514" w:right="93"/>
        <w:jc w:val="left"/>
      </w:pPr>
      <w:r>
        <w:rPr/>
        <w:t>合并方取得的资产和负债均按合并日在被合并方的账面价值计量</w:t>
      </w:r>
      <w:r>
        <w:rPr>
          <w:spacing w:val="-82"/>
        </w:rPr>
        <w:t>。</w:t>
      </w:r>
      <w:r>
        <w:rPr/>
        <w:t>合并方取得的净资产账面价值与支付的合并对价账面</w:t>
      </w:r>
    </w:p>
    <w:p>
      <w:pPr>
        <w:spacing w:line="240" w:lineRule="auto" w:before="10"/>
        <w:rPr>
          <w:rFonts w:ascii="宋体" w:hAnsi="宋体" w:cs="宋体" w:eastAsia="宋体" w:hint="default"/>
          <w:sz w:val="17"/>
          <w:szCs w:val="17"/>
        </w:rPr>
      </w:pPr>
    </w:p>
    <w:p>
      <w:pPr>
        <w:pStyle w:val="BodyText"/>
        <w:spacing w:line="398" w:lineRule="auto"/>
        <w:ind w:left="154" w:right="92"/>
        <w:jc w:val="left"/>
      </w:pPr>
      <w:r>
        <w:rPr/>
        <w:t>价值（或发行股份面值总额）的差额，调整资本公积（股本溢价）；资本公积（股本溢价）不足以冲减的，调整留存收益。 合并方为进行企业合并发生的各项直接费用，于发生时计入当期损益。</w:t>
      </w:r>
    </w:p>
    <w:p>
      <w:pPr>
        <w:pStyle w:val="BodyText"/>
        <w:spacing w:line="451" w:lineRule="auto" w:before="36"/>
        <w:ind w:left="514" w:right="93"/>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477" w:lineRule="auto" w:before="74"/>
        <w:ind w:left="154" w:right="93"/>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472" w:lineRule="auto" w:before="54"/>
        <w:ind w:left="154" w:right="19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451" w:lineRule="auto" w:before="58"/>
        <w:ind w:right="192"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p>
    <w:p>
      <w:pPr>
        <w:spacing w:after="0" w:line="451" w:lineRule="auto"/>
        <w:jc w:val="both"/>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93"/>
        <w:jc w:val="left"/>
      </w:pP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240" w:lineRule="auto" w:before="54"/>
        <w:ind w:left="514" w:right="93"/>
        <w:jc w:val="left"/>
      </w:pPr>
      <w:r>
        <w:rPr/>
        <w:t>通过多次交换交易分步实现的非同一控制下企业合并，根据《财政部关于印发企业会计准则解释第</w:t>
      </w:r>
      <w:r>
        <w:rPr>
          <w:rFonts w:ascii="Times New Roman" w:hAnsi="Times New Roman" w:cs="Times New Roman" w:eastAsia="Times New Roman" w:hint="default"/>
        </w:rPr>
        <w:t>5</w:t>
      </w:r>
      <w:r>
        <w:rPr/>
        <w:t>号的通知》（财会</w:t>
      </w:r>
    </w:p>
    <w:p>
      <w:pPr>
        <w:spacing w:line="240" w:lineRule="auto" w:before="10"/>
        <w:rPr>
          <w:rFonts w:ascii="宋体" w:hAnsi="宋体" w:cs="宋体" w:eastAsia="宋体" w:hint="default"/>
          <w:sz w:val="16"/>
          <w:szCs w:val="16"/>
        </w:rPr>
      </w:pPr>
    </w:p>
    <w:p>
      <w:pPr>
        <w:pStyle w:val="BodyText"/>
        <w:spacing w:line="451" w:lineRule="auto"/>
        <w:ind w:right="190"/>
        <w:jc w:val="both"/>
      </w:pPr>
      <w:r>
        <w:rPr>
          <w:spacing w:val="-2"/>
        </w:rPr>
        <w:t>〔</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19</w:t>
      </w:r>
      <w:r>
        <w:rPr>
          <w:spacing w:val="-2"/>
        </w:rPr>
        <w:t>号）关于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的判断标准</w:t>
      </w:r>
      <w:r>
        <w:rPr>
          <w:rFonts w:ascii="Times New Roman" w:hAnsi="Times New Roman" w:cs="Times New Roman" w:eastAsia="Times New Roman" w:hint="default"/>
          <w:spacing w:val="-2"/>
        </w:rPr>
        <w:t>(</w:t>
      </w:r>
      <w:r>
        <w:rPr>
          <w:spacing w:val="-2"/>
        </w:rPr>
        <w:t>参见本附注四、</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，判断该多次交易是否属于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w:t>
      </w:r>
      <w:r>
        <w:rPr>
          <w:spacing w:val="-33"/>
        </w:rPr>
        <w:t> </w:t>
      </w:r>
      <w:r>
        <w:rPr/>
        <w:t>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12“</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 务报表和合并财务报表进行相关会计处理：</w:t>
      </w:r>
    </w:p>
    <w:p>
      <w:pPr>
        <w:pStyle w:val="BodyText"/>
        <w:spacing w:line="477" w:lineRule="auto" w:before="74"/>
        <w:ind w:right="191"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477" w:lineRule="auto" w:before="54"/>
        <w:ind w:right="191"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3"/>
        </w:rPr>
        <w:t> </w:t>
      </w:r>
      <w:r>
        <w:rPr>
          <w:spacing w:val="-63"/>
        </w:rPr>
      </w:r>
      <w:r>
        <w:rPr/>
        <w:t>定受益计划净负债或净资产导致的变动中的相应份额以外，其余转为购买日所属当期投资收益）。</w:t>
      </w:r>
    </w:p>
    <w:p>
      <w:pPr>
        <w:spacing w:line="240" w:lineRule="auto" w:before="4"/>
        <w:rPr>
          <w:rFonts w:ascii="宋体" w:hAnsi="宋体" w:cs="宋体" w:eastAsia="宋体" w:hint="default"/>
          <w:sz w:val="19"/>
          <w:szCs w:val="19"/>
        </w:rPr>
      </w:pPr>
    </w:p>
    <w:p>
      <w:pPr>
        <w:pStyle w:val="Heading3"/>
        <w:spacing w:line="240" w:lineRule="auto"/>
        <w:ind w:left="153" w:right="93"/>
        <w:jc w:val="left"/>
        <w:rPr>
          <w:b w:val="0"/>
          <w:bCs w:val="0"/>
        </w:rPr>
      </w:pPr>
      <w:bookmarkStart w:name="6、合并财务报表的编制方法" w:id="130"/>
      <w:bookmarkEnd w:id="13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93"/>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477" w:lineRule="auto" w:before="74"/>
        <w:ind w:right="93"/>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被本公司控制的企业或主体。</w:t>
      </w:r>
    </w:p>
    <w:p>
      <w:pPr>
        <w:pStyle w:val="BodyText"/>
        <w:spacing w:line="240" w:lineRule="auto" w:before="54"/>
        <w:ind w:left="513" w:right="93"/>
        <w:jc w:val="left"/>
      </w:pPr>
      <w:r>
        <w:rPr/>
        <w:t>一旦相关事实和情况的变化导致上述控制定义涉及的相关要素发生了变化，本公司将进行重新评估。</w:t>
      </w:r>
    </w:p>
    <w:p>
      <w:pPr>
        <w:spacing w:line="240" w:lineRule="auto" w:before="10"/>
        <w:rPr>
          <w:rFonts w:ascii="宋体" w:hAnsi="宋体" w:cs="宋体" w:eastAsia="宋体" w:hint="default"/>
          <w:sz w:val="17"/>
          <w:szCs w:val="17"/>
        </w:rPr>
      </w:pPr>
    </w:p>
    <w:p>
      <w:pPr>
        <w:pStyle w:val="BodyText"/>
        <w:spacing w:line="451" w:lineRule="auto"/>
        <w:ind w:left="514" w:right="93"/>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477" w:lineRule="auto" w:before="74"/>
        <w:ind w:left="154" w:right="93"/>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477" w:lineRule="auto" w:before="54"/>
        <w:ind w:left="154" w:right="19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p>
    <w:p>
      <w:pPr>
        <w:spacing w:after="0" w:line="477" w:lineRule="auto"/>
        <w:jc w:val="both"/>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3153" w:hanging="360"/>
        <w:jc w:val="left"/>
      </w:pPr>
      <w:r>
        <w:rPr/>
        <w:t>报表进行调整。 集团内所有重大往来余额、交易及未实现利润在合并财务报表编制时予以抵销。</w:t>
      </w:r>
    </w:p>
    <w:p>
      <w:pPr>
        <w:pStyle w:val="BodyText"/>
        <w:spacing w:line="460" w:lineRule="auto" w:before="54"/>
        <w:ind w:right="193" w:firstLine="360"/>
        <w:jc w:val="left"/>
      </w:pPr>
      <w:r>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 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项目列示。少数股东分担的子公司的亏损超过了少数股东在该子公司期初股东权益中所享有的份额，冲减少数股 东权益。</w:t>
      </w:r>
    </w:p>
    <w:p>
      <w:pPr>
        <w:pStyle w:val="BodyText"/>
        <w:spacing w:line="470" w:lineRule="auto" w:before="67"/>
        <w:ind w:right="100"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5"/>
        </w:rPr>
        <w:t> </w:t>
      </w:r>
      <w:r>
        <w:rPr>
          <w:spacing w:val="-65"/>
        </w:rPr>
      </w:r>
      <w:r>
        <w:rPr/>
        <w:t>制权时一并转为当期投资收益。其后，对该部分剩余股权按照《企业会计准则第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 </w:t>
      </w:r>
      <w:r>
        <w:rPr>
          <w:spacing w:val="-1"/>
        </w:rPr>
        <w:t>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金融工具确认和计量》等相关规定进行后续计量，详见本附注四、</w:t>
      </w:r>
      <w:r>
        <w:rPr>
          <w:rFonts w:ascii="Times New Roman" w:hAnsi="Times New Roman" w:cs="Times New Roman" w:eastAsia="Times New Roman" w:hint="default"/>
          <w:spacing w:val="-1"/>
        </w:rPr>
        <w:t>12“</w:t>
      </w:r>
      <w:r>
        <w:rPr>
          <w:spacing w:val="-1"/>
        </w:rPr>
        <w:t>长期股权投资</w:t>
      </w:r>
      <w:r>
        <w:rPr>
          <w:rFonts w:ascii="Times New Roman" w:hAnsi="Times New Roman" w:cs="Times New Roman" w:eastAsia="Times New Roman" w:hint="default"/>
          <w:spacing w:val="-1"/>
        </w:rPr>
        <w:t>”</w:t>
      </w:r>
      <w:r>
        <w:rPr>
          <w:spacing w:val="-1"/>
        </w:rPr>
        <w:t>或本附注四、</w:t>
      </w:r>
      <w:r>
        <w:rPr>
          <w:rFonts w:ascii="Times New Roman" w:hAnsi="Times New Roman" w:cs="Times New Roman" w:eastAsia="Times New Roman" w:hint="default"/>
          <w:spacing w:val="-1"/>
        </w:rPr>
        <w:t>9“</w:t>
      </w:r>
      <w:r>
        <w:rPr>
          <w:spacing w:val="-1"/>
        </w:rPr>
        <w:t>金融工具</w:t>
      </w:r>
      <w:r>
        <w:rPr>
          <w:rFonts w:ascii="Times New Roman" w:hAnsi="Times New Roman" w:cs="Times New Roman" w:eastAsia="Times New Roman" w:hint="default"/>
          <w:spacing w:val="-1"/>
        </w:rPr>
        <w:t>”</w:t>
      </w:r>
      <w:r>
        <w:rPr>
          <w:spacing w:val="-1"/>
        </w:rPr>
        <w:t>。</w:t>
      </w:r>
    </w:p>
    <w:p>
      <w:pPr>
        <w:pStyle w:val="BodyText"/>
        <w:spacing w:line="468" w:lineRule="auto" w:before="27"/>
        <w:ind w:right="93"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3"/>
        </w:rPr>
        <w:t> </w:t>
      </w:r>
      <w:r>
        <w:rPr>
          <w:spacing w:val="-63"/>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1"/>
        <w:rPr>
          <w:rFonts w:ascii="宋体" w:hAnsi="宋体" w:cs="宋体" w:eastAsia="宋体" w:hint="default"/>
          <w:sz w:val="19"/>
          <w:szCs w:val="19"/>
        </w:rPr>
      </w:pPr>
    </w:p>
    <w:p>
      <w:pPr>
        <w:pStyle w:val="Heading3"/>
        <w:spacing w:line="240" w:lineRule="auto"/>
        <w:ind w:left="153" w:right="93"/>
        <w:jc w:val="left"/>
        <w:rPr>
          <w:b w:val="0"/>
          <w:bCs w:val="0"/>
        </w:rPr>
      </w:pPr>
      <w:bookmarkStart w:name="7、合营安排分类及共同经营会计处理方法" w:id="131"/>
      <w:bookmarkEnd w:id="13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3"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451" w:lineRule="auto" w:before="54"/>
        <w:ind w:right="170" w:firstLine="360"/>
        <w:jc w:val="left"/>
      </w:pPr>
      <w:r>
        <w:rPr/>
        <w:t>本公司对合营企业的投资采用权益法核算，按照本附注四、</w:t>
      </w:r>
      <w:r>
        <w:rPr>
          <w:rFonts w:ascii="宋体" w:hAnsi="宋体" w:cs="宋体" w:eastAsia="宋体" w:hint="default"/>
        </w:rPr>
        <w:t>12</w:t>
      </w:r>
      <w:r>
        <w:rPr/>
        <w:t>（</w:t>
      </w:r>
      <w:r>
        <w:rPr>
          <w:rFonts w:ascii="Times New Roman" w:hAnsi="Times New Roman" w:cs="Times New Roman" w:eastAsia="Times New Roman" w:hint="default"/>
        </w:rPr>
        <w:t>2</w:t>
      </w:r>
      <w:r>
        <w:rPr/>
        <w:t>）②</w:t>
      </w:r>
      <w:r>
        <w:rPr>
          <w:spacing w:val="-57"/>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477" w:lineRule="auto" w:before="74"/>
        <w:ind w:right="93" w:firstLine="360"/>
        <w:jc w:val="left"/>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p>
    <w:p>
      <w:pPr>
        <w:spacing w:after="0" w:line="477" w:lineRule="auto"/>
        <w:jc w:val="left"/>
        <w:sectPr>
          <w:footerReference w:type="default" r:id="rId18"/>
          <w:pgSz w:w="11910" w:h="16840"/>
          <w:pgMar w:footer="979" w:header="877" w:top="1060" w:bottom="1160" w:left="980" w:right="940"/>
          <w:pgNumType w:start="89"/>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93" w:hanging="360"/>
        <w:jc w:val="left"/>
      </w:pPr>
      <w:r>
        <w:rPr/>
        <w:t>生的收入；确认本公司单独所发生的费用，以及按本公司份额确认共同经营发生的费用。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w:t>
      </w:r>
    </w:p>
    <w:p>
      <w:pPr>
        <w:pStyle w:val="BodyText"/>
        <w:spacing w:line="463" w:lineRule="auto" w:before="54"/>
        <w:ind w:right="193"/>
        <w:jc w:val="both"/>
      </w:pP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1"/>
        <w:rPr>
          <w:rFonts w:ascii="宋体" w:hAnsi="宋体" w:cs="宋体" w:eastAsia="宋体" w:hint="default"/>
          <w:sz w:val="20"/>
          <w:szCs w:val="20"/>
        </w:rPr>
      </w:pPr>
    </w:p>
    <w:p>
      <w:pPr>
        <w:pStyle w:val="Heading3"/>
        <w:spacing w:line="240" w:lineRule="auto"/>
        <w:ind w:left="153" w:right="0"/>
        <w:jc w:val="both"/>
        <w:rPr>
          <w:b w:val="0"/>
          <w:bCs w:val="0"/>
        </w:rPr>
      </w:pPr>
      <w:bookmarkStart w:name="8、现金及现金等价物的确定标准" w:id="132"/>
      <w:bookmarkEnd w:id="13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3"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3"/>
        <w:rPr>
          <w:rFonts w:ascii="宋体" w:hAnsi="宋体" w:cs="宋体" w:eastAsia="宋体" w:hint="default"/>
          <w:sz w:val="19"/>
          <w:szCs w:val="19"/>
        </w:rPr>
      </w:pPr>
    </w:p>
    <w:p>
      <w:pPr>
        <w:pStyle w:val="Heading3"/>
        <w:spacing w:line="240" w:lineRule="auto"/>
        <w:ind w:left="153" w:right="0"/>
        <w:jc w:val="both"/>
        <w:rPr>
          <w:b w:val="0"/>
          <w:bCs w:val="0"/>
        </w:rPr>
      </w:pPr>
      <w:bookmarkStart w:name="9、外币业务和外币报表折算" w:id="133"/>
      <w:bookmarkEnd w:id="13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93"/>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477" w:lineRule="auto" w:before="74"/>
        <w:ind w:left="154" w:right="192"/>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451" w:lineRule="auto" w:before="54"/>
        <w:ind w:left="514" w:right="93"/>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477" w:lineRule="auto" w:before="74"/>
        <w:ind w:left="154" w:right="190"/>
        <w:jc w:val="both"/>
      </w:pPr>
      <w:r>
        <w:rPr>
          <w:spacing w:val="-2"/>
        </w:rPr>
        <w:t>本化条件的资产相关的外币专门借款产生的汇兑差额按照借款费用资本化的原则处理；②可供出售的外币货币性项目除摊余</w:t>
      </w:r>
      <w:r>
        <w:rPr>
          <w:spacing w:val="-63"/>
        </w:rPr>
        <w:t> </w:t>
      </w:r>
      <w:r>
        <w:rPr>
          <w:spacing w:val="-63"/>
        </w:rPr>
      </w:r>
      <w:r>
        <w:rPr/>
        <w:t>成本之外的其他账面余额变动产生的汇兑差额计入其他综合收益之外，均计入当期损益。</w:t>
      </w:r>
    </w:p>
    <w:p>
      <w:pPr>
        <w:pStyle w:val="BodyText"/>
        <w:spacing w:line="477" w:lineRule="auto" w:before="54"/>
        <w:ind w:right="19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值变动（含汇率变动）处理，计入当期损益或确认为其他综合收益并计入资本公积。</w:t>
      </w:r>
    </w:p>
    <w:p>
      <w:pPr>
        <w:pStyle w:val="BodyText"/>
        <w:spacing w:line="451" w:lineRule="auto" w:before="54"/>
        <w:ind w:left="514" w:right="93"/>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451" w:lineRule="auto" w:before="74"/>
        <w:ind w:left="514" w:right="93" w:hanging="360"/>
        <w:jc w:val="left"/>
      </w:pPr>
      <w:r>
        <w:rPr/>
        <w:t>额，列入股东权益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468" w:lineRule="auto" w:before="74"/>
        <w:ind w:left="154" w:right="191"/>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5"/>
        </w:rPr>
        <w:t> </w:t>
      </w:r>
      <w:r>
        <w:rPr>
          <w:spacing w:val="-65"/>
        </w:rPr>
      </w:r>
      <w:r>
        <w:rPr>
          <w:spacing w:val="-2"/>
        </w:rPr>
        <w:t>益并在资产负债表中股东权益项目下单独列示。处置境外经营并丧失控制权时，将资产负债表中股东权益项目下列示的、与</w:t>
      </w:r>
    </w:p>
    <w:p>
      <w:pPr>
        <w:spacing w:after="0" w:line="468" w:lineRule="auto"/>
        <w:jc w:val="both"/>
        <w:sectPr>
          <w:footerReference w:type="default" r:id="rId19"/>
          <w:pgSz w:w="11910" w:h="16840"/>
          <w:pgMar w:footer="979" w:header="877" w:top="1060" w:bottom="1160" w:left="980" w:right="940"/>
          <w:pgNumType w:start="9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93" w:hanging="360"/>
        <w:jc w:val="left"/>
      </w:pPr>
      <w:r>
        <w:rPr/>
        <w:t>该境外经营相关的外币报表折算差额，全部或按处置该境外经营的比例转入处置当期损益。 </w:t>
      </w:r>
      <w:r>
        <w:rPr>
          <w:spacing w:val="-2"/>
        </w:rPr>
        <w:t>外币现金流量以及境外子公司的现金流量，采用现金流量发生日的即期汇率折算。汇率变动对现金的影响额作为调节项</w:t>
      </w:r>
    </w:p>
    <w:p>
      <w:pPr>
        <w:pStyle w:val="BodyText"/>
        <w:spacing w:line="477" w:lineRule="auto" w:before="54"/>
        <w:ind w:left="513" w:right="4773" w:hanging="360"/>
        <w:jc w:val="left"/>
      </w:pPr>
      <w:r>
        <w:rPr/>
        <w:t>目，在现金流量表中单独列报。 年初数和上年实际数按照上年财务报表折算后的数额列示。</w:t>
      </w:r>
    </w:p>
    <w:p>
      <w:pPr>
        <w:pStyle w:val="BodyText"/>
        <w:spacing w:line="477" w:lineRule="auto" w:before="54"/>
        <w:ind w:right="93" w:firstLine="360"/>
        <w:jc w:val="left"/>
      </w:pPr>
      <w:r>
        <w:rPr>
          <w:spacing w:val="-2"/>
        </w:rPr>
        <w:t>在处置本公司在境外经营的全部所有者权益或因处置部分股权投资或其他原因丧失了对境外经营控制权时，将资产负债</w:t>
      </w:r>
      <w:r>
        <w:rPr/>
        <w:t> 表中股东权益项目下列示的、与该境外经营相关的归属于母公司所有者权益的外币报表折算差额，全部转入处置当期损益。</w:t>
      </w:r>
    </w:p>
    <w:p>
      <w:pPr>
        <w:pStyle w:val="BodyText"/>
        <w:spacing w:line="477" w:lineRule="auto" w:before="54"/>
        <w:ind w:right="93" w:firstLine="360"/>
        <w:jc w:val="left"/>
      </w:pPr>
      <w:r>
        <w:rPr>
          <w:spacing w:val="-2"/>
        </w:rPr>
        <w:t>在处置部分股权投资或其他原因导致持有境外经营权益比例降低但不丧失对境外经营控制权时，与该境外经营处置部分</w:t>
      </w:r>
      <w:r>
        <w:rPr/>
        <w:t>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10、金融工具" w:id="134"/>
      <w:bookmarkEnd w:id="13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93" w:firstLine="360"/>
        <w:jc w:val="left"/>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451" w:lineRule="auto" w:before="54"/>
        <w:ind w:left="514" w:right="93"/>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477" w:lineRule="auto" w:before="74"/>
        <w:ind w:left="154" w:right="9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451" w:lineRule="auto" w:before="54"/>
        <w:ind w:left="513" w:right="93"/>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74"/>
        <w:ind w:right="93"/>
        <w:jc w:val="left"/>
      </w:pPr>
      <w:r>
        <w:rPr/>
        <w:t>计入当期损益的金融资产、持有至到期投资、贷款和应收款项以及可供出售金融资产。</w:t>
      </w:r>
    </w:p>
    <w:p>
      <w:pPr>
        <w:spacing w:line="240" w:lineRule="auto" w:before="10"/>
        <w:rPr>
          <w:rFonts w:ascii="宋体" w:hAnsi="宋体" w:cs="宋体" w:eastAsia="宋体" w:hint="default"/>
          <w:sz w:val="17"/>
          <w:szCs w:val="17"/>
        </w:rPr>
      </w:pPr>
    </w:p>
    <w:p>
      <w:pPr>
        <w:pStyle w:val="BodyText"/>
        <w:spacing w:line="477" w:lineRule="auto"/>
        <w:ind w:left="513" w:right="93"/>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463" w:lineRule="auto" w:before="21"/>
        <w:ind w:right="19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240" w:lineRule="auto" w:before="65"/>
        <w:ind w:left="513" w:right="0"/>
        <w:jc w:val="left"/>
      </w:pPr>
      <w:r>
        <w:rPr/>
        <w:t>符合下述条件之一的金融资产，在初始确认时可指定为以公允价值计量且其变动计入当期损益的金融资产：</w:t>
      </w:r>
      <w:r>
        <w:rPr>
          <w:rFonts w:ascii="Times New Roman" w:hAnsi="Times New Roman" w:cs="Times New Roman" w:eastAsia="Times New Roman" w:hint="default"/>
        </w:rPr>
        <w:t>A.</w:t>
      </w:r>
      <w:r>
        <w:rPr/>
        <w:t>该指定可</w:t>
      </w:r>
    </w:p>
    <w:p>
      <w:pPr>
        <w:spacing w:after="0" w:line="240" w:lineRule="auto"/>
        <w:jc w:val="left"/>
        <w:sectPr>
          <w:footerReference w:type="default" r:id="rId20"/>
          <w:pgSz w:w="11910" w:h="16840"/>
          <w:pgMar w:footer="979" w:header="877" w:top="1060" w:bottom="1160" w:left="980" w:right="940"/>
          <w:pgNumType w:start="9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90"/>
        <w:jc w:val="both"/>
      </w:pP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477" w:lineRule="auto" w:before="65"/>
        <w:ind w:right="19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477" w:lineRule="auto" w:before="54"/>
        <w:ind w:left="513" w:right="1353"/>
        <w:jc w:val="left"/>
      </w:pPr>
      <w:r>
        <w:rPr/>
        <w:t>②</w:t>
      </w:r>
      <w:r>
        <w:rPr>
          <w:spacing w:val="-17"/>
        </w:rPr>
        <w:t> </w:t>
      </w:r>
      <w:r>
        <w:rPr/>
        <w:t>持有至到期投资</w:t>
      </w:r>
      <w:r>
        <w:rPr/>
        <w:t> 是指到期日固定、回收金额固定或可确定，且本公司有明确意图和能力持有至到期的非衍生金融资产。</w:t>
      </w:r>
    </w:p>
    <w:p>
      <w:pPr>
        <w:pStyle w:val="BodyText"/>
        <w:spacing w:line="212" w:lineRule="exact"/>
        <w:ind w:right="0"/>
        <w:jc w:val="both"/>
      </w:pPr>
      <w:r>
        <w:rPr/>
        <w:t>持有至到期投资采用实际利率法，按摊余成本进行后续计量，在终止确认、发生减值或摊销时产生的利得或损失，计入当期</w:t>
      </w:r>
    </w:p>
    <w:p>
      <w:pPr>
        <w:pStyle w:val="BodyText"/>
        <w:spacing w:line="240" w:lineRule="auto" w:before="76"/>
        <w:ind w:right="0"/>
        <w:jc w:val="both"/>
      </w:pPr>
      <w:r>
        <w:rPr/>
        <w:t>损益。</w:t>
      </w:r>
    </w:p>
    <w:p>
      <w:pPr>
        <w:pStyle w:val="BodyText"/>
        <w:spacing w:line="477" w:lineRule="auto" w:before="154"/>
        <w:ind w:right="19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477" w:lineRule="auto" w:before="54"/>
        <w:ind w:right="19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477" w:lineRule="auto" w:before="54"/>
        <w:ind w:left="513" w:right="93"/>
        <w:jc w:val="left"/>
      </w:pPr>
      <w:r>
        <w:rPr/>
        <w:t>③</w:t>
      </w:r>
      <w:r>
        <w:rPr>
          <w:spacing w:val="-17"/>
        </w:rPr>
        <w:t> </w:t>
      </w:r>
      <w:r>
        <w:rPr/>
        <w:t>贷款和应收款项</w:t>
      </w:r>
      <w:r>
        <w:rPr/>
        <w:t> </w:t>
      </w:r>
      <w:r>
        <w:rPr>
          <w:spacing w:val="-2"/>
        </w:rPr>
        <w:t>是指在活跃市场中没有报价、回收金额固定或可确定的非衍生金融资产。本公司划分为贷款和应收款的金融资产包括应</w:t>
      </w:r>
    </w:p>
    <w:p>
      <w:pPr>
        <w:pStyle w:val="BodyText"/>
        <w:spacing w:line="240" w:lineRule="auto" w:before="54"/>
        <w:ind w:right="0"/>
        <w:jc w:val="both"/>
      </w:pPr>
      <w:r>
        <w:rPr/>
        <w:t>收票据、应收账款、应收利息、应收股利及其他应收款等。</w:t>
      </w:r>
    </w:p>
    <w:p>
      <w:pPr>
        <w:pStyle w:val="BodyText"/>
        <w:spacing w:line="316" w:lineRule="auto" w:before="154"/>
        <w:ind w:left="154" w:right="191"/>
        <w:jc w:val="both"/>
      </w:pP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477" w:lineRule="auto" w:before="97"/>
        <w:ind w:left="514" w:right="92"/>
        <w:jc w:val="left"/>
      </w:pPr>
      <w:r>
        <w:rPr/>
        <w:t>④</w:t>
      </w:r>
      <w:r>
        <w:rPr>
          <w:spacing w:val="-17"/>
        </w:rPr>
        <w:t> </w:t>
      </w:r>
      <w:r>
        <w:rPr/>
        <w:t>可供出售金融资产</w:t>
      </w:r>
      <w:r>
        <w:rPr/>
        <w:t> 包括初始确认时即被指定为可供出售的非衍生金融资产，以及除了以公允价值计量且其变动计入当期损益的金融资产、</w:t>
      </w:r>
    </w:p>
    <w:p>
      <w:pPr>
        <w:pStyle w:val="BodyText"/>
        <w:spacing w:line="477" w:lineRule="auto" w:before="54"/>
        <w:ind w:left="514" w:right="93"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477" w:lineRule="auto" w:before="54"/>
        <w:ind w:left="154" w:right="192"/>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477" w:lineRule="auto" w:before="54"/>
        <w:ind w:left="154" w:right="19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54"/>
        <w:ind w:left="514" w:right="93"/>
        <w:jc w:val="left"/>
      </w:pPr>
      <w:r>
        <w:rPr/>
        <w:t>可供出售金融资产持有期间取得的利息及被投资单位宣告发放的现金股利，计入投资收益。</w:t>
      </w:r>
    </w:p>
    <w:p>
      <w:pPr>
        <w:spacing w:after="0" w:line="240" w:lineRule="auto"/>
        <w:jc w:val="left"/>
        <w:sectPr>
          <w:footerReference w:type="default" r:id="rId21"/>
          <w:pgSz w:w="11910" w:h="16840"/>
          <w:pgMar w:footer="979" w:header="877" w:top="1060" w:bottom="1160" w:left="980" w:right="940"/>
          <w:pgNumType w:start="92"/>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0"/>
        <w:jc w:val="left"/>
      </w:pPr>
      <w:r>
        <w:rPr/>
        <w:t>如对可供出售金融资产改按成本或摊余成本核算的，可参考以下表述： </w:t>
      </w:r>
      <w:r>
        <w:rPr>
          <w:spacing w:val="-2"/>
        </w:rPr>
        <w:t>因持有意图或能力发生改变，或公允价值不再能够可靠计量，或根据《企业会计准则第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金融工具确认和计量》第</w:t>
      </w:r>
    </w:p>
    <w:p>
      <w:pPr>
        <w:pStyle w:val="BodyText"/>
        <w:spacing w:line="477" w:lineRule="auto" w:before="21"/>
        <w:ind w:right="151"/>
        <w:jc w:val="both"/>
      </w:pPr>
      <w:r>
        <w:rPr>
          <w:spacing w:val="-2"/>
        </w:rPr>
        <w:t>十六条规定将持有至到期投资重分类为可供出售金融资产的期限已超过两个完整的会计年度，使金融资产不再适合按照公允</w:t>
      </w:r>
      <w:r>
        <w:rPr>
          <w:spacing w:val="-64"/>
        </w:rPr>
        <w:t> </w:t>
      </w:r>
      <w:r>
        <w:rPr>
          <w:spacing w:val="-64"/>
        </w:rPr>
      </w:r>
      <w:r>
        <w:rPr>
          <w:spacing w:val="-2"/>
        </w:rPr>
        <w:t>价值计量时，本公司将可供出售金融资产改按成本或摊余成本计量。重分类日，该金融资产的成本或摊余成本为该日的公允</w:t>
      </w:r>
      <w:r>
        <w:rPr>
          <w:spacing w:val="-66"/>
        </w:rPr>
        <w:t> </w:t>
      </w:r>
      <w:r>
        <w:rPr>
          <w:spacing w:val="-66"/>
        </w:rPr>
      </w:r>
      <w:r>
        <w:rPr/>
        <w:t>价值或账面价值。</w:t>
      </w:r>
    </w:p>
    <w:p>
      <w:pPr>
        <w:pStyle w:val="BodyText"/>
        <w:spacing w:line="477" w:lineRule="auto" w:before="54"/>
        <w:ind w:right="151" w:firstLine="360"/>
        <w:jc w:val="both"/>
      </w:pPr>
      <w:r>
        <w:rPr>
          <w:spacing w:val="-2"/>
        </w:rPr>
        <w:t>该金融资产有固定到期日的，与该金融资产相关、原计入其他综合收益的利得或损失，在该金融资产的剩余期限内，采</w:t>
      </w:r>
      <w:r>
        <w:rPr/>
        <w:t> </w:t>
      </w:r>
      <w:r>
        <w:rPr>
          <w:spacing w:val="-2"/>
        </w:rPr>
        <w:t>用实际利率法摊销，计入当期损益；该金融资产的摊余成本与到期日金额之间的差额，在该金融资产的剩余期限内，采用实</w:t>
      </w:r>
      <w:r>
        <w:rPr>
          <w:spacing w:val="-66"/>
        </w:rPr>
        <w:t> </w:t>
      </w:r>
      <w:r>
        <w:rPr>
          <w:spacing w:val="-66"/>
        </w:rPr>
      </w:r>
      <w:r>
        <w:rPr>
          <w:spacing w:val="-2"/>
        </w:rPr>
        <w:t>际利率法摊销，计入当期损益。该金融资产没有固定到期日的，原计入其他综合收益的利得或损失仍保留在股东权益中，在</w:t>
      </w:r>
      <w:r>
        <w:rPr>
          <w:spacing w:val="-66"/>
        </w:rPr>
        <w:t> </w:t>
      </w:r>
      <w:r>
        <w:rPr>
          <w:spacing w:val="-66"/>
        </w:rPr>
      </w:r>
      <w:r>
        <w:rPr/>
        <w:t>该金融资产被处置时转出，计入当期损益。</w:t>
      </w:r>
    </w:p>
    <w:p>
      <w:pPr>
        <w:pStyle w:val="BodyText"/>
        <w:spacing w:line="451" w:lineRule="auto" w:before="54"/>
        <w:ind w:left="514"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477" w:lineRule="auto" w:before="74"/>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477" w:lineRule="auto" w:before="54"/>
        <w:ind w:left="154" w:right="15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477" w:lineRule="auto" w:before="54"/>
        <w:ind w:left="514" w:right="0"/>
        <w:jc w:val="left"/>
      </w:pPr>
      <w:r>
        <w:rPr/>
        <w:t>①</w:t>
      </w:r>
      <w:r>
        <w:rPr>
          <w:spacing w:val="-17"/>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477" w:lineRule="auto" w:before="54"/>
        <w:ind w:left="154" w:right="15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477" w:lineRule="auto" w:before="54"/>
        <w:ind w:left="514" w:right="0"/>
        <w:jc w:val="left"/>
      </w:pPr>
      <w:r>
        <w:rPr/>
        <w:t>②</w:t>
      </w:r>
      <w:r>
        <w:rPr>
          <w:spacing w:val="-17"/>
        </w:rPr>
        <w:t> </w:t>
      </w:r>
      <w:r>
        <w:rPr/>
        <w:t>可供出售金融资产减值</w:t>
      </w:r>
      <w:r>
        <w:rPr/>
        <w:t> </w:t>
      </w:r>
      <w:r>
        <w:rPr>
          <w:spacing w:val="-2"/>
        </w:rPr>
        <w:t>当综合相关因素判断可供出售权益工具投资公允价值下跌是严重或非暂时性下跌时，表明该可供出售权益工具投资发生</w:t>
      </w:r>
    </w:p>
    <w:p>
      <w:pPr>
        <w:pStyle w:val="BodyText"/>
        <w:spacing w:line="477" w:lineRule="auto" w:before="54"/>
        <w:ind w:left="154" w:right="152"/>
        <w:jc w:val="both"/>
      </w:pPr>
      <w:r>
        <w:rPr>
          <w:spacing w:val="-2"/>
        </w:rPr>
        <w:t>减值。发生减值时，将原计入其他综合收益的因公允价值下降形成的累计损失予以转出并计入当期损益，该转出的累计损失</w:t>
      </w:r>
      <w:r>
        <w:rPr>
          <w:spacing w:val="-66"/>
        </w:rPr>
        <w:t> </w:t>
      </w:r>
      <w:r>
        <w:rPr>
          <w:spacing w:val="-66"/>
        </w:rPr>
      </w:r>
      <w:r>
        <w:rPr/>
        <w:t>为该资产初始取得成本扣除已收回本金和已摊销金额、当前公允价值和原已计入损益的减值损失后的余额。</w:t>
      </w:r>
    </w:p>
    <w:p>
      <w:pPr>
        <w:pStyle w:val="BodyText"/>
        <w:spacing w:line="477" w:lineRule="auto" w:before="54"/>
        <w:ind w:right="15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477" w:lineRule="auto" w:before="54"/>
        <w:ind w:left="154" w:right="150"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spacing w:after="0" w:line="477" w:lineRule="auto"/>
        <w:jc w:val="both"/>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3" w:right="93"/>
        <w:jc w:val="left"/>
      </w:pPr>
      <w:r>
        <w:rPr/>
        <w:t>（</w:t>
      </w:r>
      <w:r>
        <w:rPr>
          <w:rFonts w:ascii="Times New Roman" w:hAnsi="Times New Roman" w:cs="Times New Roman" w:eastAsia="Times New Roman" w:hint="default"/>
        </w:rPr>
        <w:t>4</w:t>
      </w:r>
      <w:r>
        <w:rPr/>
        <w:t>）金融资产转移的确认依据和计量方法</w:t>
      </w:r>
    </w:p>
    <w:p>
      <w:pPr>
        <w:spacing w:line="240" w:lineRule="auto" w:before="9"/>
        <w:rPr>
          <w:rFonts w:ascii="宋体" w:hAnsi="宋体" w:cs="宋体" w:eastAsia="宋体" w:hint="default"/>
          <w:sz w:val="16"/>
          <w:szCs w:val="16"/>
        </w:rPr>
      </w:pPr>
    </w:p>
    <w:p>
      <w:pPr>
        <w:pStyle w:val="BodyText"/>
        <w:spacing w:line="477" w:lineRule="auto"/>
        <w:ind w:left="154" w:right="145" w:firstLine="360"/>
        <w:jc w:val="both"/>
      </w:pPr>
      <w:r>
        <w:rPr/>
        <w:t>满足下列条件之一的金融资产，予以终止确认：① 收取该金融资产现金流量的合同权利终止；②</w:t>
      </w:r>
      <w:r>
        <w:rPr>
          <w:spacing w:val="-36"/>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477" w:lineRule="auto" w:before="54"/>
        <w:ind w:left="154" w:right="19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477" w:lineRule="auto" w:before="54"/>
        <w:ind w:left="154" w:right="19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477" w:lineRule="auto" w:before="54"/>
        <w:ind w:left="154" w:right="19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477" w:lineRule="auto" w:before="54"/>
        <w:ind w:left="154" w:right="19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451" w:lineRule="auto" w:before="54"/>
        <w:ind w:left="514" w:right="9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477" w:lineRule="auto" w:before="74"/>
        <w:ind w:left="154" w:right="93"/>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477" w:lineRule="auto" w:before="54"/>
        <w:ind w:left="514" w:right="272"/>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477" w:lineRule="auto" w:before="54"/>
        <w:ind w:left="514" w:right="93"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54"/>
        <w:ind w:left="154" w:right="93"/>
        <w:jc w:val="left"/>
      </w:pPr>
      <w:r>
        <w:rPr/>
        <w:t>与该等金融负债相关的股利和利息支出计入当期损益。</w:t>
      </w:r>
    </w:p>
    <w:p>
      <w:pPr>
        <w:spacing w:line="240" w:lineRule="auto" w:before="10"/>
        <w:rPr>
          <w:rFonts w:ascii="宋体" w:hAnsi="宋体" w:cs="宋体" w:eastAsia="宋体" w:hint="default"/>
          <w:sz w:val="17"/>
          <w:szCs w:val="17"/>
        </w:rPr>
      </w:pPr>
    </w:p>
    <w:p>
      <w:pPr>
        <w:pStyle w:val="BodyText"/>
        <w:spacing w:line="477" w:lineRule="auto"/>
        <w:ind w:left="514" w:right="93"/>
        <w:jc w:val="left"/>
      </w:pPr>
      <w:r>
        <w:rPr/>
        <w:t>②</w:t>
      </w:r>
      <w:r>
        <w:rPr>
          <w:spacing w:val="-17"/>
        </w:rPr>
        <w:t> </w:t>
      </w:r>
      <w:r>
        <w:rPr/>
        <w:t>其他金融负债</w:t>
      </w:r>
      <w:r>
        <w:rPr/>
        <w:t> </w:t>
      </w:r>
      <w:r>
        <w:rPr>
          <w:spacing w:val="-2"/>
        </w:rPr>
        <w:t>与在活跃市场中没有报价、公允价值不能可靠计量的权益工具挂钩并须通过交付该权益工具结算的衍生金融负债，按照</w:t>
      </w:r>
    </w:p>
    <w:p>
      <w:pPr>
        <w:pStyle w:val="BodyText"/>
        <w:spacing w:line="477" w:lineRule="auto" w:before="54"/>
        <w:ind w:left="154" w:right="93"/>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240" w:lineRule="auto" w:before="54"/>
        <w:ind w:left="514" w:right="93"/>
        <w:jc w:val="left"/>
      </w:pPr>
      <w:r>
        <w:rPr/>
        <w:t>③</w:t>
      </w:r>
      <w:r>
        <w:rPr>
          <w:spacing w:val="-19"/>
        </w:rPr>
        <w:t> </w:t>
      </w:r>
      <w:r>
        <w:rPr/>
        <w:t>财务担保合同及贷款承诺</w:t>
      </w:r>
    </w:p>
    <w:p>
      <w:pPr>
        <w:spacing w:after="0" w:line="240"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right="191" w:firstLine="360"/>
        <w:jc w:val="both"/>
      </w:pPr>
      <w:r>
        <w:rPr>
          <w:spacing w:val="-2"/>
        </w:rPr>
        <w:t>不属于指定为以公允价值计量且其变动计入当期损益的金融负债的财务担保合同，或没有指定为以公允价值计量且其变</w:t>
      </w:r>
      <w:r>
        <w:rPr/>
        <w:t> </w:t>
      </w:r>
      <w:r>
        <w:rPr>
          <w:spacing w:val="-2"/>
        </w:rPr>
        <w:t>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w:t>
      </w:r>
      <w:r>
        <w:rPr>
          <w:spacing w:val="-63"/>
        </w:rPr>
        <w:t> </w:t>
      </w:r>
      <w:r>
        <w:rPr>
          <w:spacing w:val="-2"/>
        </w:rPr>
        <w:t>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w:t>
      </w:r>
      <w:r>
        <w:rPr>
          <w:spacing w:val="-64"/>
        </w:rPr>
        <w:t> </w:t>
      </w:r>
      <w:r>
        <w:rPr>
          <w:spacing w:val="-64"/>
        </w:rPr>
      </w:r>
      <w:r>
        <w:rPr/>
        <w:t>者进行后续计量。</w:t>
      </w:r>
    </w:p>
    <w:p>
      <w:pPr>
        <w:pStyle w:val="BodyText"/>
        <w:spacing w:line="451" w:lineRule="auto" w:before="68"/>
        <w:ind w:left="514" w:right="93"/>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477" w:lineRule="auto" w:before="74"/>
        <w:ind w:left="154" w:right="93"/>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477" w:lineRule="auto" w:before="54"/>
        <w:ind w:left="154" w:right="93"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451" w:lineRule="auto" w:before="54"/>
        <w:ind w:left="514" w:right="93"/>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477" w:lineRule="auto" w:before="74"/>
        <w:ind w:left="154" w:right="93"/>
        <w:jc w:val="left"/>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477" w:lineRule="auto" w:before="54"/>
        <w:ind w:left="154" w:right="93"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3"/>
        </w:rPr>
        <w:t> </w:t>
      </w:r>
      <w:r>
        <w:rPr>
          <w:spacing w:val="-43"/>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451" w:lineRule="auto" w:before="54"/>
        <w:ind w:left="513" w:right="93"/>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477" w:lineRule="auto" w:before="74"/>
        <w:ind w:right="93"/>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451" w:lineRule="auto" w:before="54"/>
        <w:ind w:left="513" w:right="93"/>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98" w:lineRule="auto" w:before="74"/>
        <w:ind w:right="93"/>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11"/>
        <w:rPr>
          <w:rFonts w:ascii="宋体" w:hAnsi="宋体" w:cs="宋体" w:eastAsia="宋体" w:hint="default"/>
          <w:sz w:val="17"/>
          <w:szCs w:val="17"/>
        </w:rPr>
      </w:pPr>
    </w:p>
    <w:p>
      <w:pPr>
        <w:pStyle w:val="Heading3"/>
        <w:spacing w:line="240" w:lineRule="auto"/>
        <w:ind w:left="153" w:right="93"/>
        <w:jc w:val="left"/>
        <w:rPr>
          <w:b w:val="0"/>
          <w:bCs w:val="0"/>
        </w:rPr>
      </w:pPr>
      <w:bookmarkStart w:name="11、应收款项" w:id="135"/>
      <w:bookmarkEnd w:id="13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3"/>
        <w:jc w:val="left"/>
        <w:rPr>
          <w:b w:val="0"/>
          <w:bCs w:val="0"/>
        </w:rPr>
      </w:pPr>
      <w:bookmarkStart w:name="（1）单项金额重大并单独计提坏账准备的应收款项" w:id="136"/>
      <w:bookmarkEnd w:id="13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65"/>
        <w:ind w:left="0" w:right="200"/>
        <w:jc w:val="right"/>
      </w:pPr>
      <w:r>
        <w:rPr/>
        <w:pict>
          <v:shape style="position:absolute;margin-left:56.459999pt;margin-top:-.818281pt;width:479.2pt;height:20.6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万</w:t>
                        </w:r>
                        <w:r>
                          <w:rPr>
                            <w:rFonts w:ascii="宋体" w:hAnsi="宋体" w:cs="宋体" w:eastAsia="宋体" w:hint="default"/>
                            <w:sz w:val="18"/>
                            <w:szCs w:val="18"/>
                          </w:rPr>
                          <w:t>元以上的应收款项和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w:t>
                        </w:r>
                        <w:r>
                          <w:rPr>
                            <w:rFonts w:ascii="宋体" w:hAnsi="宋体" w:cs="宋体" w:eastAsia="宋体" w:hint="default"/>
                            <w:spacing w:val="-90"/>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含</w:t>
                        </w:r>
                      </w:p>
                    </w:tc>
                  </w:tr>
                </w:tbl>
                <w:p>
                  <w:pPr/>
                </w:p>
              </w:txbxContent>
            </v:textbox>
            <w10:wrap type="none"/>
          </v:shape>
        </w:pict>
      </w:r>
      <w:r>
        <w:rPr/>
        <w:t>）</w:t>
      </w:r>
    </w:p>
    <w:p>
      <w:pPr>
        <w:spacing w:after="0" w:line="240" w:lineRule="auto"/>
        <w:jc w:val="right"/>
        <w:sectPr>
          <w:pgSz w:w="11910" w:h="16840"/>
          <w:pgMar w:header="87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以上其他应收款确认为单项金额重大的应收款项。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信用风险特征组合计提坏账准备的应收款项" w:id="137"/>
      <w:bookmarkEnd w:id="13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38"/>
      <w:bookmarkEnd w:id="13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pStyle w:val="BodyText"/>
        <w:spacing w:line="240" w:lineRule="auto" w:before="44"/>
        <w:ind w:left="0" w:right="159"/>
        <w:jc w:val="right"/>
      </w:pPr>
      <w:r>
        <w:rPr/>
        <w:pict>
          <v:shape style="position:absolute;margin-left:56.459999pt;margin-top:-67.748283pt;width:479.2pt;height:103.1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单独进行减值测试：已有明显迹象表明债务人很可能无法履 行还款义务的应收款项；其他经确认不能收回的应收款项。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0"/>
        <w:ind w:right="0"/>
        <w:jc w:val="left"/>
        <w:rPr>
          <w:b w:val="0"/>
          <w:bCs w:val="0"/>
        </w:rPr>
      </w:pPr>
      <w:bookmarkStart w:name="12、存货" w:id="139"/>
      <w:bookmarkEnd w:id="139"/>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514" w:right="4192"/>
        <w:jc w:val="left"/>
      </w:pPr>
      <w:r>
        <w:rPr/>
        <w:t>（</w:t>
      </w:r>
      <w:r>
        <w:rPr>
          <w:rFonts w:ascii="Times New Roman" w:hAnsi="Times New Roman" w:cs="Times New Roman" w:eastAsia="Times New Roman" w:hint="default"/>
        </w:rPr>
        <w:t>1</w:t>
      </w:r>
      <w:r>
        <w:rPr/>
        <w:t>）存货的分类 存货主要包括库存商品、原材料、低值易耗品、包装物等四大类。</w:t>
      </w:r>
    </w:p>
    <w:p>
      <w:pPr>
        <w:pStyle w:val="BodyText"/>
        <w:spacing w:line="448" w:lineRule="auto" w:before="74"/>
        <w:ind w:left="513" w:right="23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存货在取得时按实际成本计价，存货成本包括采购成本、加工成本和其他成本。领用和发出时按按加权平均法核算。</w:t>
      </w:r>
    </w:p>
    <w:p>
      <w:pPr>
        <w:spacing w:after="0" w:line="448"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3" w:right="93"/>
        <w:jc w:val="left"/>
      </w:pPr>
      <w:r>
        <w:rPr/>
        <w:t>（</w:t>
      </w:r>
      <w:r>
        <w:rPr>
          <w:rFonts w:ascii="Times New Roman" w:hAnsi="Times New Roman" w:cs="Times New Roman" w:eastAsia="Times New Roman" w:hint="default"/>
        </w:rPr>
        <w:t>3</w:t>
      </w:r>
      <w:r>
        <w:rPr/>
        <w:t>）存货可变现净值的确定依据及存货跌价准备的计提方法</w:t>
      </w:r>
    </w:p>
    <w:p>
      <w:pPr>
        <w:pStyle w:val="BodyText"/>
        <w:spacing w:line="316" w:lineRule="auto" w:before="141"/>
        <w:ind w:right="93"/>
        <w:jc w:val="left"/>
      </w:pP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w:t>
      </w:r>
    </w:p>
    <w:p>
      <w:pPr>
        <w:pStyle w:val="BodyText"/>
        <w:spacing w:line="477" w:lineRule="auto" w:before="97"/>
        <w:ind w:right="110" w:firstLine="360"/>
        <w:jc w:val="both"/>
      </w:pPr>
      <w:r>
        <w:rPr>
          <w:spacing w:val="-2"/>
        </w:rPr>
        <w:t>在资产负债表日，存货按照成本与可变现净值孰低计量。当其可变现净值低于成本时，提取存货跌价准备。存货跌价准</w:t>
      </w:r>
      <w:r>
        <w:rPr/>
        <w:t> </w:t>
      </w:r>
      <w:r>
        <w:rPr>
          <w:spacing w:val="-2"/>
        </w:rPr>
        <w:t>备通常按单个存货项目的成本高于其可变现净值的差额提取。计提存货跌价准备后，如果以前减记存货价值的影响因素已经</w:t>
      </w:r>
      <w:r>
        <w:rPr>
          <w:spacing w:val="-64"/>
        </w:rPr>
        <w:t> </w:t>
      </w:r>
      <w:r>
        <w:rPr>
          <w:spacing w:val="-64"/>
        </w:rPr>
      </w:r>
      <w:r>
        <w:rPr/>
        <w:t>消失，导致存货的可变现净值高于其账面价值的，在原已计提的存货跌价准备金额内予以转回，转回的金额计入当期损益。</w:t>
      </w:r>
    </w:p>
    <w:p>
      <w:pPr>
        <w:pStyle w:val="BodyText"/>
        <w:spacing w:line="451" w:lineRule="auto" w:before="54"/>
        <w:ind w:left="514" w:right="6212"/>
        <w:jc w:val="left"/>
      </w:pPr>
      <w:r>
        <w:rPr/>
        <w:t>（</w:t>
      </w:r>
      <w:r>
        <w:rPr>
          <w:rFonts w:ascii="Times New Roman" w:hAnsi="Times New Roman" w:cs="Times New Roman" w:eastAsia="Times New Roman" w:hint="default"/>
        </w:rPr>
        <w:t>4</w:t>
      </w:r>
      <w:r>
        <w:rPr/>
        <w:t>）存货的盘存制度 本公司存货的盘存制度采用永续盘存法。</w:t>
      </w:r>
    </w:p>
    <w:p>
      <w:pPr>
        <w:pStyle w:val="BodyText"/>
        <w:spacing w:line="463" w:lineRule="auto" w:before="74"/>
        <w:ind w:left="513" w:right="5673"/>
        <w:jc w:val="left"/>
      </w:pPr>
      <w:r>
        <w:rPr/>
        <w:t>（</w:t>
      </w:r>
      <w:r>
        <w:rPr>
          <w:rFonts w:ascii="Times New Roman" w:hAnsi="Times New Roman" w:cs="Times New Roman" w:eastAsia="Times New Roman" w:hint="default"/>
        </w:rPr>
        <w:t>5</w:t>
      </w:r>
      <w:r>
        <w:rPr/>
        <w:t>）低值易耗品和包装物的摊销方法 低值易耗品摊销方法：于其领用时一次性摊销。 包装物摊销方法：于其领用时一次性摊销。</w:t>
      </w:r>
    </w:p>
    <w:p>
      <w:pPr>
        <w:spacing w:line="240" w:lineRule="auto" w:before="1"/>
        <w:rPr>
          <w:rFonts w:ascii="宋体" w:hAnsi="宋体" w:cs="宋体" w:eastAsia="宋体" w:hint="default"/>
          <w:sz w:val="20"/>
          <w:szCs w:val="20"/>
        </w:rPr>
      </w:pPr>
    </w:p>
    <w:p>
      <w:pPr>
        <w:pStyle w:val="Heading3"/>
        <w:spacing w:line="240" w:lineRule="auto"/>
        <w:ind w:right="93"/>
        <w:jc w:val="left"/>
        <w:rPr>
          <w:b w:val="0"/>
          <w:bCs w:val="0"/>
        </w:rPr>
      </w:pPr>
      <w:bookmarkStart w:name="13、长期股权投资" w:id="140"/>
      <w:bookmarkEnd w:id="140"/>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9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477" w:lineRule="auto" w:before="21"/>
        <w:ind w:left="154" w:right="19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451" w:lineRule="auto" w:before="54"/>
        <w:ind w:left="514" w:right="93"/>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477" w:lineRule="auto" w:before="74"/>
        <w:ind w:left="154" w:right="93"/>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w:t>
      </w:r>
    </w:p>
    <w:p>
      <w:pPr>
        <w:pStyle w:val="BodyText"/>
        <w:spacing w:line="477" w:lineRule="auto" w:before="54"/>
        <w:ind w:right="192" w:firstLine="360"/>
        <w:jc w:val="both"/>
      </w:pPr>
      <w:r>
        <w:rPr>
          <w:spacing w:val="-2"/>
        </w:rPr>
        <w:t>对于非同一控制下的企业合并取得的长期股权投资，在购买日按照合并成本作为长期股权投资的初始投资成本，合并成</w:t>
      </w:r>
      <w:r>
        <w:rPr/>
        <w:t> 本包括包括购买方付出的资产、发生或承担的负债、发行的权益性证券的公允价值之和。</w:t>
      </w:r>
    </w:p>
    <w:p>
      <w:pPr>
        <w:pStyle w:val="BodyText"/>
        <w:spacing w:line="477" w:lineRule="auto" w:before="54"/>
        <w:ind w:right="193" w:firstLine="360"/>
        <w:jc w:val="both"/>
      </w:pPr>
      <w:r>
        <w:rPr>
          <w:spacing w:val="-2"/>
        </w:rPr>
        <w:t>合并方或购买方为企业合并发生的审计、法律服务、评估咨询等中介费用以及其他相关管理费用，于发生时计入当期损</w:t>
      </w:r>
      <w:r>
        <w:rPr/>
        <w:t> 益。</w:t>
      </w:r>
    </w:p>
    <w:p>
      <w:pPr>
        <w:spacing w:after="0" w:line="477" w:lineRule="auto"/>
        <w:jc w:val="both"/>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92"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t>关的费用、税金及其他必要支出也计入投资成本。</w:t>
      </w:r>
    </w:p>
    <w:p>
      <w:pPr>
        <w:pStyle w:val="BodyText"/>
        <w:spacing w:line="451" w:lineRule="auto" w:before="54"/>
        <w:ind w:left="514" w:right="93"/>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74"/>
        <w:ind w:left="154" w:right="93"/>
        <w:jc w:val="left"/>
      </w:pPr>
      <w:r>
        <w:rPr/>
        <w:t>表采用成本法核算能够对被投资单位实施控制的长期股权投资。</w:t>
      </w:r>
    </w:p>
    <w:p>
      <w:pPr>
        <w:spacing w:line="240" w:lineRule="auto" w:before="10"/>
        <w:rPr>
          <w:rFonts w:ascii="宋体" w:hAnsi="宋体" w:cs="宋体" w:eastAsia="宋体" w:hint="default"/>
          <w:sz w:val="17"/>
          <w:szCs w:val="17"/>
        </w:rPr>
      </w:pPr>
    </w:p>
    <w:p>
      <w:pPr>
        <w:pStyle w:val="BodyText"/>
        <w:spacing w:line="477" w:lineRule="auto"/>
        <w:ind w:left="514" w:right="93"/>
        <w:jc w:val="left"/>
      </w:pPr>
      <w:r>
        <w:rPr/>
        <w:t>①</w:t>
      </w:r>
      <w:r>
        <w:rPr>
          <w:spacing w:val="-17"/>
        </w:rPr>
        <w:t> </w:t>
      </w:r>
      <w:r>
        <w:rPr/>
        <w:t>成本法核算的长期股权投资</w:t>
      </w:r>
      <w:r>
        <w:rPr/>
        <w:t> </w:t>
      </w:r>
      <w:r>
        <w:rPr>
          <w:spacing w:val="-2"/>
        </w:rPr>
        <w:t>采用成本法核算时，长期股权投资按初始投资成本计价，除取得投资时实际支付的价款或者对价中包含的已宣告但尚未</w:t>
      </w:r>
    </w:p>
    <w:p>
      <w:pPr>
        <w:pStyle w:val="BodyText"/>
        <w:spacing w:line="240" w:lineRule="auto" w:before="54"/>
        <w:ind w:left="154" w:right="93"/>
        <w:jc w:val="left"/>
      </w:pPr>
      <w:r>
        <w:rPr/>
        <w:t>发放的现金股利或者利润外，当期投资收益按照享有被投资单位宣告发放的现金股利或利润确认。</w:t>
      </w:r>
    </w:p>
    <w:p>
      <w:pPr>
        <w:spacing w:line="240" w:lineRule="auto" w:before="10"/>
        <w:rPr>
          <w:rFonts w:ascii="宋体" w:hAnsi="宋体" w:cs="宋体" w:eastAsia="宋体" w:hint="default"/>
          <w:sz w:val="17"/>
          <w:szCs w:val="17"/>
        </w:rPr>
      </w:pPr>
    </w:p>
    <w:p>
      <w:pPr>
        <w:pStyle w:val="BodyText"/>
        <w:spacing w:line="477" w:lineRule="auto"/>
        <w:ind w:left="513" w:right="93"/>
        <w:jc w:val="left"/>
      </w:pPr>
      <w:r>
        <w:rPr/>
        <w:t>②</w:t>
      </w:r>
      <w:r>
        <w:rPr>
          <w:spacing w:val="-17"/>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477" w:lineRule="auto" w:before="54"/>
        <w:ind w:right="93"/>
        <w:jc w:val="left"/>
      </w:pPr>
      <w:r>
        <w:rPr>
          <w:spacing w:val="-2"/>
        </w:rPr>
        <w:t>长期股权投资的初始投资成本；初始投资成本小于投资时应享有被投资单位可辨认净资产公允价值份额的，其差额计入当期</w:t>
      </w:r>
      <w:r>
        <w:rPr>
          <w:spacing w:val="-63"/>
        </w:rPr>
        <w:t> </w:t>
      </w:r>
      <w:r>
        <w:rPr>
          <w:spacing w:val="-63"/>
        </w:rPr>
      </w:r>
      <w:r>
        <w:rPr/>
        <w:t>损益，同时调整长期股权投资的成本。</w:t>
      </w:r>
    </w:p>
    <w:p>
      <w:pPr>
        <w:pStyle w:val="BodyText"/>
        <w:spacing w:line="477" w:lineRule="auto" w:before="54"/>
        <w:ind w:right="93"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t>不予以抵销。</w:t>
      </w:r>
    </w:p>
    <w:p>
      <w:pPr>
        <w:pStyle w:val="BodyText"/>
        <w:spacing w:line="477" w:lineRule="auto" w:before="54"/>
        <w:ind w:right="19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477" w:lineRule="auto" w:before="54"/>
        <w:ind w:left="513" w:right="93"/>
        <w:jc w:val="left"/>
      </w:pPr>
      <w:r>
        <w:rPr/>
        <w:t>③</w:t>
      </w:r>
      <w:r>
        <w:rPr>
          <w:spacing w:val="-17"/>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54"/>
        <w:ind w:right="93"/>
        <w:jc w:val="left"/>
      </w:pPr>
      <w:r>
        <w:rPr/>
        <w:t>日）开始持续计算的净资产份额之间的差额，调整资本公积，资本公积不足冲减的，调整留存收益。</w:t>
      </w:r>
    </w:p>
    <w:p>
      <w:pPr>
        <w:spacing w:line="240" w:lineRule="auto" w:before="10"/>
        <w:rPr>
          <w:rFonts w:ascii="宋体" w:hAnsi="宋体" w:cs="宋体" w:eastAsia="宋体" w:hint="default"/>
          <w:sz w:val="17"/>
          <w:szCs w:val="17"/>
        </w:rPr>
      </w:pPr>
    </w:p>
    <w:p>
      <w:pPr>
        <w:pStyle w:val="BodyText"/>
        <w:spacing w:line="240" w:lineRule="auto"/>
        <w:ind w:left="513" w:right="93"/>
        <w:jc w:val="left"/>
      </w:pPr>
      <w:r>
        <w:rPr/>
        <w:t>④</w:t>
      </w:r>
      <w:r>
        <w:rPr>
          <w:spacing w:val="-19"/>
        </w:rPr>
        <w:t> </w:t>
      </w:r>
      <w:r>
        <w:rPr/>
        <w:t>处置长期股权投资</w:t>
      </w:r>
    </w:p>
    <w:p>
      <w:pPr>
        <w:spacing w:after="0" w:line="240"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51" w:firstLine="360"/>
        <w:jc w:val="both"/>
      </w:pPr>
      <w:r>
        <w:rPr>
          <w:spacing w:val="-2"/>
        </w:rPr>
        <w:t>在合并财务报表中，母公司在不丧失控制权的情况下部分处置对子公司的长期股权投资，处置价款与处置长期股权投资</w:t>
      </w:r>
      <w:r>
        <w:rPr/>
        <w:t> </w:t>
      </w: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4</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240" w:lineRule="auto" w:before="22"/>
        <w:ind w:left="514" w:right="0"/>
        <w:jc w:val="left"/>
      </w:pPr>
      <w:r>
        <w:rPr/>
        <w:t>其他情形下的长期股权投资处置，对于处置的股权，其账面价值与实际取得价款的差额，计入当期损益。</w:t>
      </w:r>
    </w:p>
    <w:p>
      <w:pPr>
        <w:pStyle w:val="BodyText"/>
        <w:spacing w:line="316" w:lineRule="auto" w:before="154"/>
        <w:ind w:left="154" w:right="150"/>
        <w:jc w:val="both"/>
      </w:pPr>
      <w:r>
        <w:rPr>
          <w:spacing w:val="-2"/>
        </w:rPr>
        <w:t>采用权益法核算的长期股权投资，处置后的剩余股权仍采用权益法核算的，在处置时将原计入股东权益的其他综合收益部分</w:t>
      </w:r>
      <w:r>
        <w:rPr>
          <w:spacing w:val="-64"/>
        </w:rPr>
        <w:t> </w:t>
      </w:r>
      <w:r>
        <w:rPr>
          <w:spacing w:val="-64"/>
        </w:rPr>
      </w:r>
      <w:r>
        <w:rPr>
          <w:spacing w:val="-2"/>
        </w:rPr>
        <w:t>按相应的比例采用与被投资单位直接处置相关资产或负债相同的基础进行会计处理。因被投资方除净损益、其他综合收益和</w:t>
      </w:r>
      <w:r>
        <w:rPr>
          <w:spacing w:val="-63"/>
        </w:rPr>
        <w:t> </w:t>
      </w:r>
      <w:r>
        <w:rPr>
          <w:spacing w:val="-63"/>
        </w:rPr>
      </w:r>
      <w:r>
        <w:rPr/>
        <w:t>利润分配以外的其他所有者权益变动而确认的所有者权益，按比例结转入当期损益。</w:t>
      </w:r>
    </w:p>
    <w:p>
      <w:pPr>
        <w:pStyle w:val="BodyText"/>
        <w:spacing w:line="477" w:lineRule="auto" w:before="97"/>
        <w:ind w:left="154" w:right="15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14、投资性房地产" w:id="141"/>
      <w:bookmarkEnd w:id="141"/>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6"/>
        <w:rPr>
          <w:rFonts w:ascii="宋体" w:hAnsi="宋体" w:cs="宋体" w:eastAsia="宋体" w:hint="default"/>
          <w:b/>
          <w:bCs/>
          <w:sz w:val="32"/>
          <w:szCs w:val="32"/>
        </w:rPr>
      </w:pPr>
    </w:p>
    <w:p>
      <w:pPr>
        <w:spacing w:line="477" w:lineRule="auto" w:before="0"/>
        <w:ind w:left="513" w:right="7605" w:firstLine="1"/>
        <w:jc w:val="left"/>
        <w:rPr>
          <w:rFonts w:ascii="宋体" w:hAnsi="宋体" w:cs="宋体" w:eastAsia="宋体" w:hint="default"/>
          <w:sz w:val="18"/>
          <w:szCs w:val="18"/>
        </w:rPr>
      </w:pPr>
      <w:r>
        <w:rPr>
          <w:rFonts w:ascii="宋体" w:hAnsi="宋体" w:cs="宋体" w:eastAsia="宋体" w:hint="default"/>
          <w:b/>
          <w:bCs/>
          <w:sz w:val="18"/>
          <w:szCs w:val="18"/>
        </w:rPr>
        <w:t>投资性房地产计量模式</w:t>
      </w:r>
      <w:r>
        <w:rPr>
          <w:rFonts w:ascii="宋体" w:hAnsi="宋体" w:cs="宋体" w:eastAsia="宋体" w:hint="default"/>
          <w:b/>
          <w:bCs/>
          <w:w w:val="99"/>
          <w:sz w:val="18"/>
          <w:szCs w:val="18"/>
        </w:rPr>
        <w:t> </w:t>
      </w:r>
      <w:r>
        <w:rPr>
          <w:rFonts w:ascii="宋体" w:hAnsi="宋体" w:cs="宋体" w:eastAsia="宋体" w:hint="default"/>
          <w:sz w:val="18"/>
          <w:szCs w:val="18"/>
        </w:rPr>
        <w:t>成本法计量 </w:t>
      </w:r>
      <w:r>
        <w:rPr>
          <w:rFonts w:ascii="宋体" w:hAnsi="宋体" w:cs="宋体" w:eastAsia="宋体" w:hint="default"/>
          <w:b/>
          <w:bCs/>
          <w:sz w:val="18"/>
          <w:szCs w:val="18"/>
        </w:rPr>
        <w:t>折旧或摊销方法</w:t>
      </w:r>
      <w:r>
        <w:rPr>
          <w:rFonts w:ascii="宋体" w:hAnsi="宋体" w:cs="宋体" w:eastAsia="宋体" w:hint="default"/>
          <w:sz w:val="18"/>
          <w:szCs w:val="18"/>
        </w:rPr>
      </w:r>
    </w:p>
    <w:p>
      <w:pPr>
        <w:pStyle w:val="BodyText"/>
        <w:spacing w:line="477" w:lineRule="auto" w:before="54"/>
        <w:ind w:right="153" w:firstLine="360"/>
        <w:jc w:val="both"/>
      </w:pPr>
      <w:r>
        <w:rPr>
          <w:spacing w:val="-2"/>
        </w:rPr>
        <w:t>投资性房地产是指为赚取租金或资本增值，或两者兼有而持有的房地产。包括已出租的土地使用权、持有并准备增值后</w:t>
      </w:r>
      <w:r>
        <w:rPr/>
        <w:t> 转让的土地使用权、已出租的建筑物等。</w:t>
      </w:r>
    </w:p>
    <w:p>
      <w:pPr>
        <w:pStyle w:val="BodyText"/>
        <w:spacing w:line="477" w:lineRule="auto" w:before="54"/>
        <w:ind w:right="15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98" w:lineRule="auto" w:before="54"/>
        <w:ind w:right="250" w:firstLine="360"/>
        <w:jc w:val="both"/>
      </w:pPr>
      <w:r>
        <w:rPr/>
        <w:t>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18“</w:t>
      </w:r>
      <w:r>
        <w:rPr/>
        <w:t>长期资产减值</w:t>
      </w:r>
      <w:r>
        <w:rPr>
          <w:rFonts w:ascii="Times New Roman" w:hAnsi="Times New Roman" w:cs="Times New Roman" w:eastAsia="Times New Roman" w:hint="default"/>
        </w:rPr>
        <w:t>”</w:t>
      </w:r>
      <w:r>
        <w:rPr/>
        <w:t>。</w:t>
      </w:r>
    </w:p>
    <w:p>
      <w:pPr>
        <w:pStyle w:val="BodyText"/>
        <w:spacing w:line="477" w:lineRule="auto" w:before="9"/>
        <w:ind w:right="153"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3"/>
        <w:rPr>
          <w:rFonts w:ascii="宋体" w:hAnsi="宋体" w:cs="宋体" w:eastAsia="宋体" w:hint="default"/>
          <w:sz w:val="19"/>
          <w:szCs w:val="19"/>
        </w:rPr>
      </w:pPr>
    </w:p>
    <w:p>
      <w:pPr>
        <w:pStyle w:val="Heading3"/>
        <w:spacing w:line="240" w:lineRule="auto"/>
        <w:ind w:left="153" w:right="0"/>
        <w:jc w:val="both"/>
        <w:rPr>
          <w:b w:val="0"/>
          <w:bCs w:val="0"/>
        </w:rPr>
      </w:pPr>
      <w:bookmarkStart w:name="15、固定资产" w:id="142"/>
      <w:bookmarkEnd w:id="142"/>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43"/>
      <w:bookmarkEnd w:id="14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51"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after="0" w:line="477" w:lineRule="auto"/>
        <w:jc w:val="both"/>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折旧方法" w:id="144"/>
      <w:bookmarkEnd w:id="14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45"/>
      <w:bookmarkEnd w:id="14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50"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3"/>
        </w:rPr>
        <w:t> </w:t>
      </w:r>
      <w:r>
        <w:rPr>
          <w:spacing w:val="-63"/>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16、在建工程" w:id="146"/>
      <w:bookmarkEnd w:id="146"/>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32"/>
          <w:szCs w:val="32"/>
        </w:rPr>
      </w:pPr>
    </w:p>
    <w:p>
      <w:pPr>
        <w:pStyle w:val="BodyText"/>
        <w:spacing w:line="477" w:lineRule="auto"/>
        <w:ind w:left="154" w:right="152"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54"/>
        <w:ind w:left="513" w:right="0"/>
        <w:jc w:val="left"/>
      </w:pPr>
      <w:r>
        <w:rPr/>
        <w:t>在建工程的减值测试方法和减值准备计提方法详见附注四、</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17、借款费用" w:id="147"/>
      <w:bookmarkEnd w:id="147"/>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51"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477" w:lineRule="auto" w:before="54"/>
        <w:ind w:left="154" w:right="15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477" w:lineRule="auto" w:before="54"/>
        <w:ind w:left="51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240" w:lineRule="auto" w:before="54"/>
        <w:ind w:right="0"/>
        <w:jc w:val="left"/>
      </w:pPr>
      <w:r>
        <w:rPr/>
        <w:t>性房地产和存货等资产。</w:t>
      </w:r>
    </w:p>
    <w:p>
      <w:pPr>
        <w:spacing w:after="0" w:line="240" w:lineRule="auto"/>
        <w:jc w:val="left"/>
        <w:sectPr>
          <w:footerReference w:type="default" r:id="rId22"/>
          <w:pgSz w:w="11910" w:h="16840"/>
          <w:pgMar w:footer="979" w:header="877"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43" w:firstLine="360"/>
        <w:jc w:val="left"/>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 本化，直至资产的购建或生产活动重新开始。</w:t>
      </w:r>
    </w:p>
    <w:p>
      <w:pPr>
        <w:spacing w:line="240" w:lineRule="auto" w:before="10"/>
        <w:rPr>
          <w:rFonts w:ascii="宋体" w:hAnsi="宋体" w:cs="宋体" w:eastAsia="宋体" w:hint="default"/>
          <w:sz w:val="20"/>
          <w:szCs w:val="20"/>
        </w:rPr>
      </w:pPr>
    </w:p>
    <w:p>
      <w:pPr>
        <w:pStyle w:val="Heading3"/>
        <w:spacing w:line="240" w:lineRule="auto"/>
        <w:ind w:left="153" w:right="0"/>
        <w:jc w:val="left"/>
        <w:rPr>
          <w:b w:val="0"/>
          <w:bCs w:val="0"/>
        </w:rPr>
      </w:pPr>
      <w:bookmarkStart w:name="18、无形资产" w:id="148"/>
      <w:bookmarkEnd w:id="148"/>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49"/>
      <w:bookmarkEnd w:id="14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0"/>
        <w:jc w:val="left"/>
      </w:pPr>
      <w:r>
        <w:rPr/>
        <w:t>无形资产指企业拥有或控制的没有实物形态的可辨认非货币性资产，包括专有技术、土地使用权等。 </w:t>
      </w:r>
      <w:r>
        <w:rPr>
          <w:spacing w:val="-2"/>
        </w:rPr>
        <w:t>本公司无形资产按照成本进行初始计量。无形资产有关的支出，如果相关的经济利益很可能流入本公司且其成本能可靠</w:t>
      </w:r>
    </w:p>
    <w:p>
      <w:pPr>
        <w:pStyle w:val="BodyText"/>
        <w:spacing w:line="477" w:lineRule="auto" w:before="54"/>
        <w:ind w:left="513" w:right="0" w:hanging="360"/>
        <w:jc w:val="left"/>
      </w:pPr>
      <w:r>
        <w:rPr/>
        <w:t>地计量，则计入无形资产成本。除此以外的其他项目的支出，在发生时计入当期损益。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477" w:lineRule="auto" w:before="54"/>
        <w:ind w:right="0"/>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477" w:lineRule="auto" w:before="54"/>
        <w:ind w:left="154" w:right="0" w:firstLine="360"/>
        <w:jc w:val="left"/>
      </w:pPr>
      <w:r>
        <w:rPr>
          <w:spacing w:val="-2"/>
        </w:rPr>
        <w:t>使用寿命有限的无形资产自可供使用时起，对其原值在其预计使用寿命内采用直线法分期平均摊销。使用寿命不确定的</w:t>
      </w:r>
      <w:r>
        <w:rPr/>
        <w:t> 无形资产不予摊销。</w:t>
      </w:r>
    </w:p>
    <w:p>
      <w:pPr>
        <w:pStyle w:val="BodyText"/>
        <w:spacing w:line="477" w:lineRule="auto" w:before="54"/>
        <w:ind w:right="151"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240" w:lineRule="auto" w:before="54"/>
        <w:ind w:left="514" w:right="0"/>
        <w:jc w:val="left"/>
      </w:pPr>
      <w:r>
        <w:rPr/>
        <w:t>对使用寿命有限的无形资产，估计其使用寿命时通常考虑以下因素：</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①</w:t>
      </w:r>
      <w:r>
        <w:rPr>
          <w:spacing w:val="-19"/>
        </w:rPr>
        <w:t> </w:t>
      </w:r>
      <w:r>
        <w:rPr/>
        <w:t>运用该资产生产的产品通常的寿命周期、可获得的类似资产使用寿命的信息；</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②</w:t>
      </w:r>
      <w:r>
        <w:rPr>
          <w:spacing w:val="-19"/>
        </w:rPr>
        <w:t> </w:t>
      </w:r>
      <w:r>
        <w:rPr/>
        <w:t>技术、工艺等方面的现阶段情况及对未来发展趋势的估计；</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③</w:t>
      </w:r>
      <w:r>
        <w:rPr>
          <w:spacing w:val="-19"/>
        </w:rPr>
        <w:t> </w:t>
      </w:r>
      <w:r>
        <w:rPr/>
        <w:t>以该资产生产的产品或提供劳务的市场需求情况；</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④</w:t>
      </w:r>
      <w:r>
        <w:rPr>
          <w:spacing w:val="-19"/>
        </w:rPr>
        <w:t> </w:t>
      </w:r>
      <w:r>
        <w:rPr/>
        <w:t>现在或潜在的竞争者预期采取的行动；</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⑤</w:t>
      </w:r>
      <w:r>
        <w:rPr>
          <w:spacing w:val="-19"/>
        </w:rPr>
        <w:t> </w:t>
      </w:r>
      <w:r>
        <w:rPr/>
        <w:t>为维持该资产带来经济利益能力的预期维护支出，以及公司预计支付有关支出的能力；</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⑥</w:t>
      </w:r>
      <w:r>
        <w:rPr>
          <w:spacing w:val="-19"/>
        </w:rPr>
        <w:t> </w:t>
      </w:r>
      <w:r>
        <w:rPr/>
        <w:t>对该资产控制期限的相关法律规定或类似限制，如特许使用期、租赁期等；</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⑦</w:t>
      </w:r>
      <w:r>
        <w:rPr>
          <w:spacing w:val="-19"/>
        </w:rPr>
        <w:t> </w:t>
      </w:r>
      <w:r>
        <w:rPr/>
        <w:t>与公司持有其他资产使用寿命的关联性等。</w:t>
      </w:r>
    </w:p>
    <w:p>
      <w:pPr>
        <w:spacing w:line="240" w:lineRule="auto" w:before="13"/>
        <w:rPr>
          <w:rFonts w:ascii="宋体" w:hAnsi="宋体" w:cs="宋体" w:eastAsia="宋体" w:hint="default"/>
          <w:sz w:val="10"/>
          <w:szCs w:val="10"/>
        </w:rPr>
      </w:pPr>
    </w:p>
    <w:tbl>
      <w:tblPr>
        <w:tblW w:w="0" w:type="auto"/>
        <w:jc w:val="left"/>
        <w:tblInd w:w="1070" w:type="dxa"/>
        <w:tblLayout w:type="fixed"/>
        <w:tblCellMar>
          <w:top w:w="0" w:type="dxa"/>
          <w:left w:w="0" w:type="dxa"/>
          <w:bottom w:w="0" w:type="dxa"/>
          <w:right w:w="0" w:type="dxa"/>
        </w:tblCellMar>
        <w:tblLook w:val="01E0"/>
      </w:tblPr>
      <w:tblGrid>
        <w:gridCol w:w="2479"/>
        <w:gridCol w:w="2908"/>
        <w:gridCol w:w="2410"/>
      </w:tblGrid>
      <w:tr>
        <w:trPr>
          <w:trHeight w:val="342" w:hRule="exact"/>
        </w:trPr>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外购软件</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2"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bl>
    <w:p>
      <w:pPr>
        <w:pStyle w:val="BodyText"/>
        <w:spacing w:line="477" w:lineRule="auto" w:before="89"/>
        <w:ind w:left="154" w:right="232" w:firstLine="360"/>
        <w:jc w:val="left"/>
      </w:pPr>
      <w:r>
        <w:rPr/>
        <w:t>公司在每个会计期间对使用寿命不确定的无形资产的使用寿命进行复核，如果有证据表明无形资产的使用寿命是有限 的，估计其使用寿命，按照使用寿命有限的无形资产处理。</w:t>
      </w:r>
    </w:p>
    <w:p>
      <w:pPr>
        <w:pStyle w:val="BodyText"/>
        <w:spacing w:line="240" w:lineRule="auto" w:before="54"/>
        <w:ind w:left="514" w:right="0"/>
        <w:jc w:val="left"/>
      </w:pPr>
      <w:r>
        <w:rPr/>
        <w:t>无形资产的减值测试方法和减值准备计提方法详见附注四、</w:t>
      </w:r>
      <w:r>
        <w:rPr>
          <w:rFonts w:ascii="Times New Roman" w:hAnsi="Times New Roman" w:cs="Times New Roman" w:eastAsia="Times New Roman" w:hint="default"/>
        </w:rPr>
        <w:t>18“</w:t>
      </w:r>
      <w:r>
        <w:rPr/>
        <w:t>长期资产减值</w:t>
      </w:r>
      <w:r>
        <w:rPr>
          <w:rFonts w:ascii="Times New Roman" w:hAnsi="Times New Roman" w:cs="Times New Roman" w:eastAsia="Times New Roman" w:hint="default"/>
        </w:rPr>
        <w:t>”</w:t>
      </w:r>
      <w:r>
        <w:rPr/>
        <w:t>。</w:t>
      </w:r>
    </w:p>
    <w:p>
      <w:pPr>
        <w:spacing w:after="0" w:line="240" w:lineRule="auto"/>
        <w:jc w:val="left"/>
        <w:sectPr>
          <w:footerReference w:type="default" r:id="rId23"/>
          <w:pgSz w:w="11910" w:h="16840"/>
          <w:pgMar w:footer="979" w:header="877" w:top="1060" w:bottom="1160" w:left="980" w:right="98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93"/>
        <w:jc w:val="left"/>
        <w:rPr>
          <w:b w:val="0"/>
          <w:bCs w:val="0"/>
        </w:rPr>
      </w:pPr>
      <w:bookmarkStart w:name="（2）内部研究开发支出会计政策" w:id="150"/>
      <w:bookmarkEnd w:id="15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81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54"/>
        <w:ind w:left="513" w:right="93"/>
        <w:jc w:val="left"/>
      </w:pPr>
      <w:r>
        <w:rPr/>
        <w:t>①</w:t>
      </w:r>
      <w:r>
        <w:rPr>
          <w:spacing w:val="-19"/>
        </w:rPr>
        <w:t> </w:t>
      </w:r>
      <w:r>
        <w:rPr/>
        <w:t>完成该无形资产以使其能够使用或出售在技术上具有可行性；</w:t>
      </w:r>
    </w:p>
    <w:p>
      <w:pPr>
        <w:spacing w:line="240" w:lineRule="auto" w:before="10"/>
        <w:rPr>
          <w:rFonts w:ascii="宋体" w:hAnsi="宋体" w:cs="宋体" w:eastAsia="宋体" w:hint="default"/>
          <w:sz w:val="17"/>
          <w:szCs w:val="17"/>
        </w:rPr>
      </w:pPr>
    </w:p>
    <w:p>
      <w:pPr>
        <w:pStyle w:val="BodyText"/>
        <w:spacing w:line="240" w:lineRule="auto"/>
        <w:ind w:left="513" w:right="93"/>
        <w:jc w:val="left"/>
      </w:pPr>
      <w:r>
        <w:rPr/>
        <w:t>②</w:t>
      </w:r>
      <w:r>
        <w:rPr>
          <w:spacing w:val="-19"/>
        </w:rPr>
        <w:t> </w:t>
      </w:r>
      <w:r>
        <w:rPr/>
        <w:t>具有完成该无形资产并使用或出售的意图；</w:t>
      </w:r>
    </w:p>
    <w:p>
      <w:pPr>
        <w:spacing w:line="240" w:lineRule="auto" w:before="10"/>
        <w:rPr>
          <w:rFonts w:ascii="宋体" w:hAnsi="宋体" w:cs="宋体" w:eastAsia="宋体" w:hint="default"/>
          <w:sz w:val="17"/>
          <w:szCs w:val="17"/>
        </w:rPr>
      </w:pPr>
    </w:p>
    <w:p>
      <w:pPr>
        <w:pStyle w:val="BodyText"/>
        <w:spacing w:line="477" w:lineRule="auto"/>
        <w:ind w:right="218" w:firstLine="360"/>
        <w:jc w:val="both"/>
      </w:pPr>
      <w:r>
        <w:rPr/>
        <w:t>③</w:t>
      </w:r>
      <w:r>
        <w:rPr>
          <w:spacing w:val="-1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54"/>
        <w:ind w:left="513" w:right="93"/>
        <w:jc w:val="left"/>
      </w:pPr>
      <w:r>
        <w:rPr/>
        <w:t>④</w:t>
      </w:r>
      <w:r>
        <w:rPr>
          <w:spacing w:val="-19"/>
        </w:rPr>
        <w:t> </w:t>
      </w:r>
      <w:r>
        <w:rPr/>
        <w:t>有足够的技术、财务资源和其他资源支持，以完成该无形资产的开发，并有能力使用或出售该无形资产；</w:t>
      </w:r>
    </w:p>
    <w:p>
      <w:pPr>
        <w:spacing w:line="240" w:lineRule="auto" w:before="10"/>
        <w:rPr>
          <w:rFonts w:ascii="宋体" w:hAnsi="宋体" w:cs="宋体" w:eastAsia="宋体" w:hint="default"/>
          <w:sz w:val="17"/>
          <w:szCs w:val="17"/>
        </w:rPr>
      </w:pPr>
    </w:p>
    <w:p>
      <w:pPr>
        <w:pStyle w:val="BodyText"/>
        <w:spacing w:line="477" w:lineRule="auto"/>
        <w:ind w:left="513" w:right="2973"/>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19、长期资产减值" w:id="151"/>
      <w:bookmarkEnd w:id="151"/>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9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477" w:lineRule="auto" w:before="54"/>
        <w:ind w:left="154" w:right="93"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477" w:lineRule="auto" w:before="54"/>
        <w:ind w:left="154" w:right="19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spacing w:after="0" w:line="477" w:lineRule="auto"/>
        <w:jc w:val="both"/>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4" w:right="93"/>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53" w:right="93"/>
        <w:jc w:val="left"/>
        <w:rPr>
          <w:b w:val="0"/>
          <w:bCs w:val="0"/>
        </w:rPr>
      </w:pPr>
      <w:bookmarkStart w:name="20、长期待摊费用" w:id="152"/>
      <w:bookmarkEnd w:id="152"/>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93" w:firstLine="360"/>
        <w:jc w:val="left"/>
      </w:pPr>
      <w:r>
        <w:rPr>
          <w:spacing w:val="-2"/>
        </w:rPr>
        <w:t>长期待摊费用为已经发生但应由报告期和以后各期负担的分摊期限在一年以上的各项费用。本公司的长期待摊费用主要</w:t>
      </w:r>
      <w:r>
        <w:rPr/>
        <w:t> 包括开办费、经营性租赁固定资产的装修费和其他。长期待摊费用在预计受益期间按直线法摊销。</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21、职工薪酬" w:id="153"/>
      <w:bookmarkEnd w:id="153"/>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短期薪酬的会计处理方法" w:id="154"/>
      <w:bookmarkEnd w:id="15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93"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left="153" w:right="93"/>
        <w:jc w:val="left"/>
        <w:rPr>
          <w:b w:val="0"/>
          <w:bCs w:val="0"/>
        </w:rPr>
      </w:pPr>
      <w:bookmarkStart w:name="（2）离职后福利的会计处理方法" w:id="155"/>
      <w:bookmarkEnd w:id="15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3" w:firstLine="360"/>
        <w:jc w:val="left"/>
      </w:pPr>
      <w:r>
        <w:rPr>
          <w:spacing w:val="-2"/>
        </w:rPr>
        <w:t>离职后福利主要包括设定提存计划，包括基本养老保险、失业保险以及年金等，相应的应缴存金额于发生时计入相关资</w:t>
      </w:r>
      <w:r>
        <w:rPr/>
        <w:t> 产成本或当期损益。</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3）辞退福利的会计处理方法" w:id="156"/>
      <w:bookmarkEnd w:id="15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3"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4）其他长期职工福利的会计处理方法" w:id="157"/>
      <w:bookmarkEnd w:id="15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3"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22、预计负债" w:id="158"/>
      <w:bookmarkEnd w:id="158"/>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54" w:right="93"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spacing w:after="0" w:line="451"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54" w:right="153" w:firstLine="360"/>
        <w:jc w:val="both"/>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477" w:lineRule="auto" w:before="54"/>
        <w:ind w:left="154" w:right="151"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23、股份支付" w:id="159"/>
      <w:bookmarkEnd w:id="159"/>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74"/>
        <w:ind w:left="154" w:right="0"/>
        <w:jc w:val="both"/>
      </w:pPr>
      <w:r>
        <w:rPr/>
        <w:t>为以权益结算的股份支付和以现金结算的股份支付。</w:t>
      </w:r>
    </w:p>
    <w:p>
      <w:pPr>
        <w:spacing w:line="240" w:lineRule="auto" w:before="10"/>
        <w:rPr>
          <w:rFonts w:ascii="宋体" w:hAnsi="宋体" w:cs="宋体" w:eastAsia="宋体" w:hint="default"/>
          <w:sz w:val="17"/>
          <w:szCs w:val="17"/>
        </w:rPr>
      </w:pPr>
    </w:p>
    <w:p>
      <w:pPr>
        <w:pStyle w:val="BodyText"/>
        <w:spacing w:line="477" w:lineRule="auto"/>
        <w:ind w:left="514" w:right="0"/>
        <w:jc w:val="left"/>
      </w:pPr>
      <w:r>
        <w:rPr/>
        <w:t>①</w:t>
      </w:r>
      <w:r>
        <w:rPr>
          <w:spacing w:val="-17"/>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477" w:lineRule="auto" w:before="54"/>
        <w:ind w:left="154" w:right="152"/>
        <w:jc w:val="both"/>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477" w:lineRule="auto" w:before="21"/>
        <w:ind w:left="154" w:right="152"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477" w:lineRule="auto" w:before="54"/>
        <w:ind w:left="154" w:right="152"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477" w:lineRule="auto" w:before="54"/>
        <w:ind w:left="514" w:right="0"/>
        <w:jc w:val="left"/>
      </w:pPr>
      <w:r>
        <w:rPr/>
        <w:t>②</w:t>
      </w:r>
      <w:r>
        <w:rPr>
          <w:spacing w:val="-17"/>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477" w:lineRule="auto" w:before="54"/>
        <w:ind w:left="154" w:right="15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54"/>
        <w:ind w:left="514" w:right="0"/>
        <w:jc w:val="left"/>
      </w:pPr>
      <w:r>
        <w:rPr/>
        <w:t>在相关负债结算前的每个资产负债表日以及结算日，对负债的公允价值重新计量，其变动计入当期损益。</w:t>
      </w:r>
    </w:p>
    <w:p>
      <w:pPr>
        <w:spacing w:line="240" w:lineRule="auto" w:before="10"/>
        <w:rPr>
          <w:rFonts w:ascii="宋体" w:hAnsi="宋体" w:cs="宋体" w:eastAsia="宋体" w:hint="default"/>
          <w:sz w:val="17"/>
          <w:szCs w:val="17"/>
        </w:rPr>
      </w:pPr>
    </w:p>
    <w:p>
      <w:pPr>
        <w:pStyle w:val="BodyText"/>
        <w:spacing w:line="451" w:lineRule="auto"/>
        <w:ind w:left="514"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477" w:lineRule="auto" w:before="74"/>
        <w:ind w:left="154" w:right="152"/>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240" w:lineRule="auto" w:before="54"/>
        <w:ind w:left="514" w:right="0"/>
        <w:jc w:val="left"/>
      </w:pPr>
      <w:r>
        <w:rPr/>
        <w:t>在等待期内，如果取消了授予的权益工具，本公司对取消所授予的权益性工具作为加速行权处理，将剩余等待期内应确</w:t>
      </w:r>
    </w:p>
    <w:p>
      <w:pPr>
        <w:spacing w:after="0" w:line="240"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54" w:right="93"/>
        <w:jc w:val="left"/>
      </w:pPr>
      <w:r>
        <w:rPr>
          <w:spacing w:val="-2"/>
        </w:rPr>
        <w:t>认的金额立即计入当期损益，同时确认资本公积。职工或其他方能够选择满足非可行权条件但在等待期内未满足的，本公司</w:t>
      </w:r>
      <w:r>
        <w:rPr>
          <w:spacing w:val="-65"/>
        </w:rPr>
        <w:t> </w:t>
      </w:r>
      <w:r>
        <w:rPr>
          <w:spacing w:val="-65"/>
        </w:rPr>
      </w:r>
      <w:r>
        <w:rPr/>
        <w:t>将其作为授予权益工具的取消处理。</w:t>
      </w:r>
    </w:p>
    <w:p>
      <w:pPr>
        <w:spacing w:line="240" w:lineRule="auto" w:before="4"/>
        <w:rPr>
          <w:rFonts w:ascii="宋体" w:hAnsi="宋体" w:cs="宋体" w:eastAsia="宋体" w:hint="default"/>
          <w:sz w:val="19"/>
          <w:szCs w:val="19"/>
        </w:rPr>
      </w:pPr>
    </w:p>
    <w:p>
      <w:pPr>
        <w:pStyle w:val="Heading3"/>
        <w:spacing w:line="240" w:lineRule="auto"/>
        <w:ind w:right="93"/>
        <w:jc w:val="left"/>
        <w:rPr>
          <w:b w:val="0"/>
          <w:bCs w:val="0"/>
        </w:rPr>
      </w:pPr>
      <w:bookmarkStart w:name="24、收入" w:id="160"/>
      <w:bookmarkEnd w:id="160"/>
      <w:r>
        <w:rPr>
          <w:b w:val="0"/>
          <w:bCs w:val="0"/>
        </w:rPr>
      </w:r>
      <w:r>
        <w:rPr>
          <w:rFonts w:ascii="Times New Roman" w:hAnsi="Times New Roman" w:cs="Times New Roman" w:eastAsia="Times New Roman" w:hint="default"/>
        </w:rPr>
        <w:t>24</w:t>
      </w:r>
      <w:r>
        <w:rPr/>
        <w:t>、收入</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93"/>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477" w:lineRule="auto" w:before="74"/>
        <w:ind w:left="154" w:right="93"/>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240" w:lineRule="auto" w:before="54"/>
        <w:ind w:left="514" w:right="93"/>
        <w:jc w:val="left"/>
      </w:pPr>
      <w:r>
        <w:rPr/>
        <w:t>本公司商品销售主要有软件产品和系统集成收入，其收入的具体确认原则：</w:t>
      </w:r>
    </w:p>
    <w:p>
      <w:pPr>
        <w:spacing w:line="240" w:lineRule="auto" w:before="10"/>
        <w:rPr>
          <w:rFonts w:ascii="宋体" w:hAnsi="宋体" w:cs="宋体" w:eastAsia="宋体" w:hint="default"/>
          <w:sz w:val="17"/>
          <w:szCs w:val="17"/>
        </w:rPr>
      </w:pPr>
    </w:p>
    <w:p>
      <w:pPr>
        <w:pStyle w:val="BodyText"/>
        <w:spacing w:line="477" w:lineRule="auto"/>
        <w:ind w:left="154" w:right="192" w:firstLine="360"/>
        <w:jc w:val="both"/>
      </w:pPr>
      <w:r>
        <w:rPr>
          <w:spacing w:val="-2"/>
        </w:rPr>
        <w:t>①软件产品：是指本公司自主开发的，取得了软件产品登记认证，购买方个性化差异很小，基本具有行业通用性，因而</w:t>
      </w:r>
      <w:r>
        <w:rPr/>
        <w:t> 可以批量复制销售的应用软件。</w:t>
      </w:r>
    </w:p>
    <w:p>
      <w:pPr>
        <w:pStyle w:val="BodyText"/>
        <w:spacing w:line="477" w:lineRule="auto" w:before="54"/>
        <w:ind w:left="154" w:right="193" w:firstLine="360"/>
        <w:jc w:val="both"/>
      </w:pPr>
      <w:r>
        <w:rPr>
          <w:spacing w:val="-2"/>
        </w:rPr>
        <w:t>对于软件产品本公司在按照合同约定内容向购买方移交，并完成安装、调试工作，取得了购买方安装确认单据后确认收</w:t>
      </w:r>
      <w:r>
        <w:rPr/>
        <w:t> 入。</w:t>
      </w:r>
    </w:p>
    <w:p>
      <w:pPr>
        <w:pStyle w:val="BodyText"/>
        <w:spacing w:line="477" w:lineRule="auto" w:before="54"/>
        <w:ind w:left="154" w:right="110" w:firstLine="360"/>
        <w:jc w:val="both"/>
      </w:pPr>
      <w:r>
        <w:rPr/>
        <w:t>②系统集成：是指与本公司为客户提供的软件产品和软件开发相关的，应客户要求代客户购买硬件设备或第三方软件， 并提供相应的集成服务。</w:t>
      </w:r>
    </w:p>
    <w:p>
      <w:pPr>
        <w:pStyle w:val="BodyText"/>
        <w:spacing w:line="477" w:lineRule="auto" w:before="54"/>
        <w:ind w:left="154" w:right="191" w:firstLine="360"/>
        <w:jc w:val="both"/>
      </w:pPr>
      <w:r>
        <w:rPr>
          <w:spacing w:val="-2"/>
        </w:rPr>
        <w:t>系统集成在按照合同约定内容向购买方移交了所提供的硬件设备或第三方软件的所有权，并取得了购买方的验收单据后</w:t>
      </w:r>
      <w:r>
        <w:rPr/>
        <w:t> 确认收入。</w:t>
      </w:r>
    </w:p>
    <w:p>
      <w:pPr>
        <w:pStyle w:val="BodyText"/>
        <w:spacing w:line="451" w:lineRule="auto" w:before="54"/>
        <w:ind w:left="514" w:right="93"/>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477" w:lineRule="auto" w:before="74"/>
        <w:ind w:left="514" w:right="92" w:hanging="360"/>
        <w:jc w:val="left"/>
      </w:pPr>
      <w:r>
        <w:rPr/>
        <w:t>工进度按已经提供的劳务占应提供劳务总量的比例确定。 提供劳务交易的结果能够可靠估计是指同时满足：①收入的金额能够可靠地计量；②相关的经济利益很可能流入企业；</w:t>
      </w:r>
    </w:p>
    <w:p>
      <w:pPr>
        <w:pStyle w:val="BodyText"/>
        <w:spacing w:line="477" w:lineRule="auto" w:before="54"/>
        <w:ind w:left="513" w:right="93"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477" w:lineRule="auto" w:before="54"/>
        <w:ind w:left="513" w:right="2073" w:hanging="360"/>
        <w:jc w:val="left"/>
      </w:pPr>
      <w:r>
        <w:rPr/>
        <w:t>将已发生的劳务成本作为当期费用。已经发生的劳务成本如预计不能得到补偿的，则不确认收入。 本公司提供劳务主要有软件开发和服务类收入，其收入的具体确认原则：</w:t>
      </w:r>
    </w:p>
    <w:p>
      <w:pPr>
        <w:pStyle w:val="BodyText"/>
        <w:spacing w:line="477" w:lineRule="auto" w:before="54"/>
        <w:ind w:right="192" w:firstLine="360"/>
        <w:jc w:val="both"/>
      </w:pPr>
      <w:r>
        <w:rPr>
          <w:spacing w:val="-2"/>
        </w:rPr>
        <w:t>①软件开发：是指本公司在自主研发的各种底层开发平台或技术的基础上，按照客户的个性化需求进行定制性开发而形</w:t>
      </w:r>
      <w:r>
        <w:rPr/>
        <w:t> 成的应用软件。</w:t>
      </w:r>
    </w:p>
    <w:p>
      <w:pPr>
        <w:pStyle w:val="BodyText"/>
        <w:spacing w:line="477" w:lineRule="auto" w:before="54"/>
        <w:ind w:right="193" w:firstLine="360"/>
        <w:jc w:val="both"/>
      </w:pPr>
      <w:r>
        <w:rPr>
          <w:spacing w:val="-2"/>
        </w:rPr>
        <w:t>对于软件开发本公司在按照合同约定内容实施了开发工作，并为购买方完成了安装、调试工作，且至少具备以下条件之</w:t>
      </w:r>
      <w:r>
        <w:rPr/>
        <w:t> </w:t>
      </w:r>
      <w:r>
        <w:rPr>
          <w:spacing w:val="-2"/>
        </w:rPr>
        <w:t>一时确认收入：①已取得购买方的验收文件；②取得购买方对软件已正式投入使用的确认文件；③已符合合同约定的验收条</w:t>
      </w:r>
      <w:r>
        <w:rPr>
          <w:spacing w:val="-66"/>
        </w:rPr>
        <w:t> </w:t>
      </w:r>
      <w:r>
        <w:rPr>
          <w:spacing w:val="-66"/>
        </w:rPr>
      </w:r>
      <w:r>
        <w:rPr/>
        <w:t>件。</w:t>
      </w:r>
    </w:p>
    <w:p>
      <w:pPr>
        <w:spacing w:after="0" w:line="477" w:lineRule="auto"/>
        <w:jc w:val="both"/>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93"/>
        <w:jc w:val="left"/>
      </w:pPr>
      <w:r>
        <w:rPr/>
        <w:t>②技术服务：是指本公司对已销售的软件产品、软件开发、系统集成等，为客户提供的后续技术支持或维护服务。 </w:t>
      </w:r>
      <w:r>
        <w:rPr>
          <w:spacing w:val="-2"/>
        </w:rPr>
        <w:t>对于按期提供劳务并计价收费的技术服务，本公司在按照合同约定内容提供了劳务后，分期确认收入；对于按次提供劳</w:t>
      </w:r>
    </w:p>
    <w:p>
      <w:pPr>
        <w:pStyle w:val="BodyText"/>
        <w:spacing w:line="240" w:lineRule="auto" w:before="54"/>
        <w:ind w:right="93"/>
        <w:jc w:val="left"/>
      </w:pPr>
      <w:r>
        <w:rPr/>
        <w:t>务并计价收费的技术服务，本公司在劳务已经提供，并取得购买方的服务确认单据后确认收入。</w:t>
      </w:r>
    </w:p>
    <w:p>
      <w:pPr>
        <w:spacing w:line="240" w:lineRule="auto" w:before="10"/>
        <w:rPr>
          <w:rFonts w:ascii="宋体" w:hAnsi="宋体" w:cs="宋体" w:eastAsia="宋体" w:hint="default"/>
          <w:sz w:val="17"/>
          <w:szCs w:val="17"/>
        </w:rPr>
      </w:pPr>
    </w:p>
    <w:p>
      <w:pPr>
        <w:pStyle w:val="BodyText"/>
        <w:spacing w:line="451" w:lineRule="auto"/>
        <w:ind w:left="513" w:right="4773"/>
        <w:jc w:val="left"/>
      </w:pPr>
      <w:r>
        <w:rPr/>
        <w:t>（</w:t>
      </w:r>
      <w:r>
        <w:rPr>
          <w:rFonts w:ascii="Times New Roman" w:hAnsi="Times New Roman" w:cs="Times New Roman" w:eastAsia="Times New Roman" w:hint="default"/>
        </w:rPr>
        <w:t>3</w:t>
      </w:r>
      <w:r>
        <w:rPr/>
        <w:t>）利息收入 按照他人使用本公司货币资金的时间和实际利率计算确定。</w:t>
      </w:r>
    </w:p>
    <w:p>
      <w:pPr>
        <w:spacing w:line="240" w:lineRule="auto" w:before="10"/>
        <w:rPr>
          <w:rFonts w:ascii="宋体" w:hAnsi="宋体" w:cs="宋体" w:eastAsia="宋体" w:hint="default"/>
          <w:sz w:val="20"/>
          <w:szCs w:val="20"/>
        </w:rPr>
      </w:pPr>
    </w:p>
    <w:p>
      <w:pPr>
        <w:pStyle w:val="Heading3"/>
        <w:spacing w:line="240" w:lineRule="auto"/>
        <w:ind w:right="93"/>
        <w:jc w:val="left"/>
        <w:rPr>
          <w:b w:val="0"/>
          <w:bCs w:val="0"/>
        </w:rPr>
      </w:pPr>
      <w:bookmarkStart w:name="25、政府补助" w:id="161"/>
      <w:bookmarkEnd w:id="161"/>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与资产相关的政府补助判断依据及会计处理方法" w:id="162"/>
      <w:bookmarkEnd w:id="16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93" w:firstLine="360"/>
        <w:jc w:val="left"/>
      </w:pPr>
      <w:r>
        <w:rPr>
          <w:spacing w:val="-2"/>
        </w:rPr>
        <w:t>政府补助是指本公司从政府无偿取得货币性资产和非货币性资产，不包括政府作为所有者投入的资本。政府补助分为与</w:t>
      </w:r>
      <w:r>
        <w:rPr/>
        <w:t> 资产相关的政府补助和与收益相关的政府补助。</w:t>
      </w:r>
    </w:p>
    <w:p>
      <w:pPr>
        <w:pStyle w:val="BodyText"/>
        <w:spacing w:line="477" w:lineRule="auto" w:before="54"/>
        <w:ind w:left="154" w:right="93" w:firstLine="360"/>
        <w:jc w:val="left"/>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477" w:lineRule="auto" w:before="54"/>
        <w:ind w:left="513" w:right="93"/>
        <w:jc w:val="left"/>
      </w:pPr>
      <w:r>
        <w:rPr/>
        <w:t>与资产相关的政府补助，确认为递延收益，并在相关资产的使用寿命内平均分配计入当期损益。 </w:t>
      </w:r>
      <w:r>
        <w:rPr>
          <w:spacing w:val="-2"/>
        </w:rPr>
        <w:t>已确认的政府补助需要返还时，存在相关递延收益余额的，冲减相关递延收益账面余额，超出部分计入当期损益；不存</w:t>
      </w:r>
    </w:p>
    <w:p>
      <w:pPr>
        <w:pStyle w:val="BodyText"/>
        <w:spacing w:line="240" w:lineRule="auto" w:before="54"/>
        <w:ind w:right="93"/>
        <w:jc w:val="left"/>
      </w:pPr>
      <w:r>
        <w:rPr/>
        <w:t>在相关递延收益的，直接计入当期损益。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53" w:right="93"/>
        <w:jc w:val="left"/>
        <w:rPr>
          <w:b w:val="0"/>
          <w:bCs w:val="0"/>
        </w:rPr>
      </w:pPr>
      <w:bookmarkStart w:name="（2）与收益相关的政府补助判断依据及会计处理方法" w:id="163"/>
      <w:bookmarkEnd w:id="16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93" w:firstLine="360"/>
        <w:jc w:val="left"/>
      </w:pPr>
      <w:r>
        <w:rPr>
          <w:spacing w:val="-2"/>
        </w:rPr>
        <w:t>与收益相关的政府补助，用于补偿以后期间的相关费用和损失的，确认为递延收益，并在确认相关费用的期间计入当期</w:t>
      </w:r>
      <w:r>
        <w:rPr/>
        <w:t> 损益；用于补偿已经发生的相关费用和损失的，直接计入当期损益。</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26、递延所得税资产/递延所得税负债" w:id="164"/>
      <w:bookmarkEnd w:id="164"/>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9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477" w:lineRule="auto" w:before="74"/>
        <w:ind w:left="154" w:right="93"/>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451" w:lineRule="auto" w:before="54"/>
        <w:ind w:left="513" w:right="93"/>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477" w:lineRule="auto" w:before="74"/>
        <w:ind w:right="93"/>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after="0" w:line="477"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54" w:right="15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477" w:lineRule="auto" w:before="54"/>
        <w:ind w:left="154" w:right="15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477" w:lineRule="auto" w:before="54"/>
        <w:ind w:left="154" w:right="15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477" w:lineRule="auto" w:before="54"/>
        <w:ind w:left="154" w:right="15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477" w:lineRule="auto" w:before="54"/>
        <w:ind w:left="154" w:right="15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451" w:lineRule="auto" w:before="54"/>
        <w:ind w:left="514" w:right="599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477" w:lineRule="auto" w:before="74"/>
        <w:ind w:left="154" w:right="249"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451" w:lineRule="auto" w:before="54"/>
        <w:ind w:left="51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477" w:lineRule="auto" w:before="74"/>
        <w:ind w:left="514" w:right="0"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477" w:lineRule="auto" w:before="54"/>
        <w:ind w:left="154" w:right="150"/>
        <w:jc w:val="both"/>
      </w:pPr>
      <w:r>
        <w:rPr>
          <w:spacing w:val="-2"/>
        </w:rPr>
        <w:t>管部门对同一纳税主体征收的所得税相关或者是对不同的纳税主体相关，但在未来每一具有重要性的递延所得税资产及负债</w:t>
      </w:r>
      <w:r>
        <w:rPr>
          <w:spacing w:val="-63"/>
        </w:rPr>
        <w:t> </w:t>
      </w:r>
      <w:r>
        <w:rPr>
          <w:spacing w:val="-63"/>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after="0" w:line="477" w:lineRule="auto"/>
        <w:jc w:val="both"/>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93"/>
        <w:jc w:val="left"/>
        <w:rPr>
          <w:b w:val="0"/>
          <w:bCs w:val="0"/>
        </w:rPr>
      </w:pPr>
      <w:bookmarkStart w:name="27、租赁" w:id="165"/>
      <w:bookmarkEnd w:id="165"/>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经营租赁的会计处理方法" w:id="166"/>
      <w:bookmarkEnd w:id="16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93"/>
        <w:jc w:val="left"/>
      </w:pP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74"/>
        <w:ind w:left="154" w:right="93"/>
        <w:jc w:val="left"/>
      </w:pPr>
      <w:r>
        <w:rPr/>
        <w:t>租金于实际发生时计入当期损益。</w:t>
      </w:r>
    </w:p>
    <w:p>
      <w:pPr>
        <w:spacing w:line="240" w:lineRule="auto" w:before="10"/>
        <w:rPr>
          <w:rFonts w:ascii="宋体" w:hAnsi="宋体" w:cs="宋体" w:eastAsia="宋体" w:hint="default"/>
          <w:sz w:val="17"/>
          <w:szCs w:val="17"/>
        </w:rPr>
      </w:pPr>
    </w:p>
    <w:p>
      <w:pPr>
        <w:pStyle w:val="BodyText"/>
        <w:spacing w:line="451" w:lineRule="auto"/>
        <w:ind w:left="514" w:right="272"/>
        <w:jc w:val="left"/>
      </w:pP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477" w:lineRule="auto" w:before="74"/>
        <w:ind w:left="154" w:right="93"/>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3"/>
        <w:rPr>
          <w:rFonts w:ascii="宋体" w:hAnsi="宋体" w:cs="宋体" w:eastAsia="宋体" w:hint="default"/>
          <w:sz w:val="19"/>
          <w:szCs w:val="19"/>
        </w:rPr>
      </w:pPr>
    </w:p>
    <w:p>
      <w:pPr>
        <w:pStyle w:val="Heading3"/>
        <w:spacing w:line="240" w:lineRule="auto"/>
        <w:ind w:right="93"/>
        <w:jc w:val="left"/>
        <w:rPr>
          <w:b w:val="0"/>
          <w:bCs w:val="0"/>
        </w:rPr>
      </w:pPr>
      <w:bookmarkStart w:name="（2）融资租赁的会计处理方法" w:id="167"/>
      <w:bookmarkEnd w:id="16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93"/>
        <w:jc w:val="left"/>
      </w:pP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477" w:lineRule="auto" w:before="74"/>
        <w:ind w:left="154" w:right="93"/>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463" w:lineRule="auto" w:before="54"/>
        <w:ind w:left="514" w:right="93"/>
        <w:jc w:val="left"/>
      </w:pPr>
      <w:r>
        <w:rPr/>
        <w:t>未确认融资费用在租赁期内采用实际利率法计算确认当期的融资费用。或有租金于实际发生时计入当期损益。 </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477" w:lineRule="auto" w:before="65"/>
        <w:ind w:left="154" w:right="190"/>
        <w:jc w:val="both"/>
      </w:pPr>
      <w:r>
        <w:rPr>
          <w:spacing w:val="-2"/>
        </w:rPr>
        <w:t>余值；将最低租赁收款额、初始直接费用及未担保余值之和与其现值之和的差额确认为未实现融资收益。应收融资租赁款扣</w:t>
      </w:r>
      <w:r>
        <w:rPr>
          <w:spacing w:val="-66"/>
        </w:rPr>
        <w:t> </w:t>
      </w:r>
      <w:r>
        <w:rPr>
          <w:spacing w:val="-66"/>
        </w:rPr>
      </w:r>
      <w:r>
        <w:rPr>
          <w:spacing w:val="-2"/>
        </w:rPr>
        <w:t>除未实现融资收益后的余额分别长期债权和一年内到期的长期债权列示。未实现融资收益在租赁期内采用实际利率法计算确</w:t>
      </w:r>
      <w:r>
        <w:rPr>
          <w:spacing w:val="-63"/>
        </w:rPr>
        <w:t> </w:t>
      </w:r>
      <w:r>
        <w:rPr>
          <w:spacing w:val="-63"/>
        </w:rPr>
      </w:r>
      <w:r>
        <w:rPr/>
        <w:t>认当期的融资收入。或有租金于实际发生时计入当期损益。</w:t>
      </w:r>
    </w:p>
    <w:p>
      <w:pPr>
        <w:spacing w:line="240" w:lineRule="auto" w:before="3"/>
        <w:rPr>
          <w:rFonts w:ascii="宋体" w:hAnsi="宋体" w:cs="宋体" w:eastAsia="宋体" w:hint="default"/>
          <w:sz w:val="19"/>
          <w:szCs w:val="19"/>
        </w:rPr>
      </w:pPr>
    </w:p>
    <w:p>
      <w:pPr>
        <w:pStyle w:val="Heading3"/>
        <w:spacing w:line="240" w:lineRule="auto"/>
        <w:ind w:right="93"/>
        <w:jc w:val="left"/>
        <w:rPr>
          <w:b w:val="0"/>
          <w:bCs w:val="0"/>
        </w:rPr>
      </w:pPr>
      <w:bookmarkStart w:name="28、重要会计政策和会计估计变更" w:id="168"/>
      <w:bookmarkEnd w:id="168"/>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3"/>
        <w:jc w:val="left"/>
        <w:rPr>
          <w:b w:val="0"/>
          <w:bCs w:val="0"/>
        </w:rPr>
      </w:pPr>
      <w:bookmarkStart w:name="（1）重要会计政策变更" w:id="169"/>
      <w:bookmarkEnd w:id="16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415" w:lineRule="auto"/>
        <w:ind w:left="513" w:right="6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因执行新企业会计准则导致的会计政策变更</w:t>
      </w:r>
    </w:p>
    <w:p>
      <w:pPr>
        <w:pStyle w:val="BodyText"/>
        <w:spacing w:line="451" w:lineRule="auto" w:before="101"/>
        <w:ind w:right="183" w:firstLine="360"/>
        <w:jc w:val="left"/>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 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w:t>
      </w:r>
    </w:p>
    <w:p>
      <w:pPr>
        <w:spacing w:after="0" w:line="451"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93"/>
        <w:jc w:val="left"/>
      </w:pP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5"/>
        </w:rPr>
        <w:t> </w:t>
      </w:r>
      <w:r>
        <w:rPr>
          <w:spacing w:val="-65"/>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w:t>
      </w:r>
      <w:r>
        <w:rPr>
          <w:rFonts w:ascii="Times New Roman" w:hAnsi="Times New Roman" w:cs="Times New Roman" w:eastAsia="Times New Roman" w:hint="default"/>
          <w:spacing w:val="-2"/>
        </w:rPr>
        <w:t>“</w:t>
      </w:r>
      <w:r>
        <w:rPr>
          <w:spacing w:val="-2"/>
        </w:rPr>
        <w:t>金融工具列报准则</w:t>
      </w:r>
      <w:r>
        <w:rPr>
          <w:rFonts w:ascii="Times New Roman" w:hAnsi="Times New Roman" w:cs="Times New Roman" w:eastAsia="Times New Roman" w:hint="default"/>
          <w:spacing w:val="-2"/>
        </w:rPr>
        <w:t>”</w:t>
      </w:r>
      <w:r>
        <w:rPr>
          <w:spacing w:val="-2"/>
        </w:rPr>
        <w:t>），要求在</w:t>
      </w:r>
      <w:r>
        <w:rPr>
          <w:rFonts w:ascii="Times New Roman" w:hAnsi="Times New Roman" w:cs="Times New Roman" w:eastAsia="Times New Roman" w:hint="default"/>
          <w:spacing w:val="-2"/>
        </w:rPr>
        <w:t>2014</w:t>
      </w:r>
      <w:r>
        <w:rPr>
          <w:spacing w:val="-2"/>
        </w:rPr>
        <w:t>年年度及以</w:t>
      </w:r>
      <w:r>
        <w:rPr>
          <w:spacing w:val="-35"/>
        </w:rPr>
        <w:t> </w:t>
      </w:r>
      <w:r>
        <w:rPr/>
        <w:t>后期间的财务报告中按照该准则的要求对金融工具进行列报。</w:t>
      </w:r>
    </w:p>
    <w:p>
      <w:pPr>
        <w:pStyle w:val="BodyText"/>
        <w:spacing w:line="451" w:lineRule="auto" w:before="74"/>
        <w:ind w:left="154" w:right="191" w:firstLine="360"/>
        <w:jc w:val="both"/>
      </w:pPr>
      <w:r>
        <w:rPr>
          <w:spacing w:val="-2"/>
        </w:rPr>
        <w:t>经本公司第三届董事会第六次会议于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27</w:t>
      </w:r>
      <w:r>
        <w:rPr>
          <w:spacing w:val="-2"/>
        </w:rPr>
        <w:t>日决议通过，本公司于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日开始执行前述除金融工具列报准</w:t>
      </w:r>
      <w:r>
        <w:rPr/>
        <w:t> 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年年度财务报告时开始执行金融工具列报准则，对当期和列报前期 财务报表项目及金额无影响。</w:t>
      </w:r>
    </w:p>
    <w:p>
      <w:pPr>
        <w:spacing w:line="240" w:lineRule="auto" w:before="10"/>
        <w:rPr>
          <w:rFonts w:ascii="宋体" w:hAnsi="宋体" w:cs="宋体" w:eastAsia="宋体" w:hint="default"/>
          <w:sz w:val="20"/>
          <w:szCs w:val="20"/>
        </w:rPr>
      </w:pPr>
    </w:p>
    <w:p>
      <w:pPr>
        <w:pStyle w:val="Heading3"/>
        <w:spacing w:line="240" w:lineRule="auto"/>
        <w:ind w:right="93"/>
        <w:jc w:val="left"/>
        <w:rPr>
          <w:b w:val="0"/>
          <w:bCs w:val="0"/>
        </w:rPr>
      </w:pPr>
      <w:bookmarkStart w:name="（2）重要会计估计变更" w:id="170"/>
      <w:bookmarkEnd w:id="17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3"/>
        <w:jc w:val="left"/>
        <w:rPr>
          <w:b w:val="0"/>
          <w:bCs w:val="0"/>
        </w:rPr>
      </w:pPr>
      <w:bookmarkStart w:name="29、其他" w:id="171"/>
      <w:bookmarkEnd w:id="171"/>
      <w:r>
        <w:rPr>
          <w:b w:val="0"/>
          <w:bCs w:val="0"/>
        </w:rPr>
      </w:r>
      <w:r>
        <w:rPr>
          <w:rFonts w:ascii="Times New Roman" w:hAnsi="Times New Roman" w:cs="Times New Roman" w:eastAsia="Times New Roman" w:hint="default"/>
        </w:rPr>
        <w:t>29</w:t>
      </w:r>
      <w:r>
        <w:rPr/>
        <w:t>、其他</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4" w:right="93"/>
        <w:jc w:val="left"/>
      </w:pPr>
      <w:r>
        <w:rPr/>
        <w:t>重大会计判断和估计 </w:t>
      </w:r>
      <w:r>
        <w:rPr>
          <w:spacing w:val="-2"/>
        </w:rPr>
        <w:t>本公司在运用会计政策过程中，由于经营活动内在的不确定性，本公司需要对无法准确计量的报表项目的账面价值进行</w:t>
      </w:r>
    </w:p>
    <w:p>
      <w:pPr>
        <w:pStyle w:val="BodyText"/>
        <w:spacing w:line="477" w:lineRule="auto" w:before="54"/>
        <w:ind w:left="154" w:right="92"/>
        <w:jc w:val="left"/>
      </w:pPr>
      <w:r>
        <w:rPr/>
        <w:t>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477" w:lineRule="auto" w:before="54"/>
        <w:ind w:left="154" w:right="193" w:firstLine="360"/>
        <w:jc w:val="both"/>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54"/>
        <w:ind w:left="513" w:right="93"/>
        <w:jc w:val="left"/>
      </w:pPr>
      <w:r>
        <w:rPr/>
        <w:t>于资产负债表日，本公司需对财务报表项目金额进行判断、估计和假设的重要领域如下：</w:t>
      </w:r>
    </w:p>
    <w:p>
      <w:pPr>
        <w:spacing w:line="240" w:lineRule="auto" w:before="10"/>
        <w:rPr>
          <w:rFonts w:ascii="宋体" w:hAnsi="宋体" w:cs="宋体" w:eastAsia="宋体" w:hint="default"/>
          <w:sz w:val="17"/>
          <w:szCs w:val="17"/>
        </w:rPr>
      </w:pPr>
    </w:p>
    <w:p>
      <w:pPr>
        <w:pStyle w:val="BodyText"/>
        <w:spacing w:line="451" w:lineRule="auto"/>
        <w:ind w:left="514" w:right="93"/>
        <w:jc w:val="left"/>
      </w:pPr>
      <w:r>
        <w:rPr/>
        <w:t>（</w:t>
      </w:r>
      <w:r>
        <w:rPr>
          <w:rFonts w:ascii="Times New Roman" w:hAnsi="Times New Roman" w:cs="Times New Roman" w:eastAsia="Times New Roman" w:hint="default"/>
        </w:rPr>
        <w:t>1</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pStyle w:val="BodyText"/>
        <w:spacing w:line="477" w:lineRule="auto" w:before="43"/>
        <w:ind w:right="93"/>
        <w:jc w:val="left"/>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451" w:lineRule="auto" w:before="54"/>
        <w:ind w:left="514" w:right="93"/>
        <w:jc w:val="left"/>
      </w:pPr>
      <w:r>
        <w:rPr/>
        <w:t>（</w:t>
      </w:r>
      <w:r>
        <w:rPr>
          <w:rFonts w:ascii="Times New Roman" w:hAnsi="Times New Roman" w:cs="Times New Roman" w:eastAsia="Times New Roman" w:hint="default"/>
        </w:rPr>
        <w:t>2</w:t>
      </w:r>
      <w:r>
        <w:rPr/>
        <w:t>）坏账准备计提 </w:t>
      </w:r>
      <w:r>
        <w:rPr>
          <w:spacing w:val="-2"/>
        </w:rPr>
        <w:t>本公司根据应收款项的会计政策，采用备抵法核算坏账损失。应收账款减值是基于评估应收账款的可收回性。鉴定应收</w:t>
      </w:r>
    </w:p>
    <w:p>
      <w:pPr>
        <w:pStyle w:val="BodyText"/>
        <w:spacing w:line="477" w:lineRule="auto" w:before="74"/>
        <w:ind w:left="154" w:right="93"/>
        <w:jc w:val="left"/>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spacing w:after="0" w:line="477"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514" w:right="93"/>
        <w:jc w:val="left"/>
      </w:pPr>
      <w:r>
        <w:rPr/>
        <w:t>（</w:t>
      </w:r>
      <w:r>
        <w:rPr>
          <w:rFonts w:ascii="Times New Roman" w:hAnsi="Times New Roman" w:cs="Times New Roman" w:eastAsia="Times New Roman" w:hint="default"/>
        </w:rPr>
        <w:t>3</w:t>
      </w:r>
      <w:r>
        <w:rPr/>
        <w:t>）存货跌价准备 </w:t>
      </w:r>
      <w:r>
        <w:rPr>
          <w:spacing w:val="-2"/>
        </w:rPr>
        <w:t>本公司根据存货会计政策，按照成本与可变现净值孰低计量，对成本高于可变现净值及陈旧和滞销的存货，计提存货跌</w:t>
      </w:r>
    </w:p>
    <w:p>
      <w:pPr>
        <w:pStyle w:val="BodyText"/>
        <w:spacing w:line="477" w:lineRule="auto" w:before="74"/>
        <w:ind w:left="154" w:right="192"/>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451" w:lineRule="auto" w:before="54"/>
        <w:ind w:left="513" w:right="93"/>
        <w:jc w:val="left"/>
      </w:pPr>
      <w:r>
        <w:rPr/>
        <w:t>（</w:t>
      </w:r>
      <w:r>
        <w:rPr>
          <w:rFonts w:ascii="Times New Roman" w:hAnsi="Times New Roman" w:cs="Times New Roman" w:eastAsia="Times New Roman" w:hint="default"/>
        </w:rPr>
        <w:t>4</w:t>
      </w:r>
      <w:r>
        <w:rPr/>
        <w:t>）非金融非流动资产减值准备 </w:t>
      </w:r>
      <w:r>
        <w:rPr>
          <w:spacing w:val="-2"/>
        </w:rPr>
        <w:t>本公司于资产负债表日对除金融资产之外的非流动资产判断是否存在可能发生减值的迹象。对使用寿命不确定的无形资</w:t>
      </w:r>
    </w:p>
    <w:p>
      <w:pPr>
        <w:pStyle w:val="BodyText"/>
        <w:spacing w:line="477" w:lineRule="auto" w:before="74"/>
        <w:ind w:right="193"/>
        <w:jc w:val="both"/>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477" w:lineRule="auto" w:before="54"/>
        <w:ind w:right="273" w:firstLine="360"/>
        <w:jc w:val="left"/>
      </w:pPr>
      <w:r>
        <w:rPr/>
        <w:t>当资产或资产组的账面价值高于可收回金额，即公允价值减去处置费用后的净额和预计未来现金流量的现值中的较高 者，表明发生了减值。</w:t>
      </w:r>
    </w:p>
    <w:p>
      <w:pPr>
        <w:pStyle w:val="BodyText"/>
        <w:spacing w:line="477" w:lineRule="auto" w:before="54"/>
        <w:ind w:right="93"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477" w:lineRule="auto" w:before="54"/>
        <w:ind w:right="93"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477" w:lineRule="auto" w:before="54"/>
        <w:ind w:right="93" w:firstLine="360"/>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451" w:lineRule="auto" w:before="54"/>
        <w:ind w:left="514" w:right="93"/>
        <w:jc w:val="left"/>
      </w:pPr>
      <w:r>
        <w:rPr/>
        <w:t>（</w:t>
      </w:r>
      <w:r>
        <w:rPr>
          <w:rFonts w:ascii="Times New Roman" w:hAnsi="Times New Roman" w:cs="Times New Roman" w:eastAsia="Times New Roman" w:hint="default"/>
        </w:rPr>
        <w:t>5</w:t>
      </w:r>
      <w:r>
        <w:rPr/>
        <w:t>）折旧和摊销 </w:t>
      </w:r>
      <w:r>
        <w:rPr>
          <w:spacing w:val="-2"/>
        </w:rPr>
        <w:t>本公司对投资性房地产、固定资产和无形资产在考虑其残值后，在使用寿命内按直线法计提折旧和摊销。本公司定期复</w:t>
      </w:r>
    </w:p>
    <w:p>
      <w:pPr>
        <w:pStyle w:val="BodyText"/>
        <w:spacing w:line="477" w:lineRule="auto" w:before="74"/>
        <w:ind w:left="154" w:right="191"/>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451" w:lineRule="auto" w:before="54"/>
        <w:ind w:left="513" w:right="93"/>
        <w:jc w:val="left"/>
      </w:pPr>
      <w:r>
        <w:rPr/>
        <w:t>（</w:t>
      </w:r>
      <w:r>
        <w:rPr>
          <w:rFonts w:ascii="Times New Roman" w:hAnsi="Times New Roman" w:cs="Times New Roman" w:eastAsia="Times New Roman" w:hint="default"/>
        </w:rPr>
        <w:t>6</w:t>
      </w:r>
      <w:r>
        <w:rPr/>
        <w:t>）开发支出 确定资本化的金额时，本公司管理层需要作出有关资产的预计未来现金流量、适用的折现率以及预计受益期间的假设。</w:t>
      </w:r>
    </w:p>
    <w:p>
      <w:pPr>
        <w:pStyle w:val="BodyText"/>
        <w:spacing w:line="451" w:lineRule="auto" w:before="74"/>
        <w:ind w:left="514" w:right="93"/>
        <w:jc w:val="left"/>
      </w:pPr>
      <w:r>
        <w:rPr/>
        <w:t>（</w:t>
      </w:r>
      <w:r>
        <w:rPr>
          <w:rFonts w:ascii="Times New Roman" w:hAnsi="Times New Roman" w:cs="Times New Roman" w:eastAsia="Times New Roman" w:hint="default"/>
        </w:rPr>
        <w:t>7</w:t>
      </w:r>
      <w:r>
        <w:rPr/>
        <w:t>）递延所得税资产 </w:t>
      </w:r>
      <w:r>
        <w:rPr>
          <w:spacing w:val="-2"/>
        </w:rPr>
        <w:t>在很有可能有足够的应纳税利润来抵扣亏损的限度内，本公司就所有未利用的税务亏损确认递延所得税资产。这需要本</w:t>
      </w:r>
    </w:p>
    <w:p>
      <w:pPr>
        <w:pStyle w:val="BodyText"/>
        <w:spacing w:line="477" w:lineRule="auto" w:before="74"/>
        <w:ind w:left="154" w:right="190"/>
        <w:jc w:val="both"/>
      </w:pPr>
      <w:r>
        <w:rPr>
          <w:spacing w:val="-2"/>
        </w:rPr>
        <w:t>公司管理层运用大量的判断来估计未来应纳税利润发生的时间和金额，结合纳税筹划策略，以决定应确认的递延所得税资产</w:t>
      </w:r>
      <w:r>
        <w:rPr>
          <w:spacing w:val="-63"/>
        </w:rPr>
        <w:t> </w:t>
      </w:r>
      <w:r>
        <w:rPr>
          <w:spacing w:val="-63"/>
        </w:rPr>
      </w:r>
      <w:r>
        <w:rPr/>
        <w:t>的金额。</w:t>
      </w:r>
    </w:p>
    <w:p>
      <w:pPr>
        <w:pStyle w:val="BodyText"/>
        <w:spacing w:line="240" w:lineRule="auto" w:before="54"/>
        <w:ind w:left="514" w:right="93"/>
        <w:jc w:val="left"/>
      </w:pPr>
      <w:r>
        <w:rPr/>
        <w:t>（</w:t>
      </w:r>
      <w:r>
        <w:rPr>
          <w:rFonts w:ascii="Times New Roman" w:hAnsi="Times New Roman" w:cs="Times New Roman" w:eastAsia="Times New Roman" w:hint="default"/>
        </w:rPr>
        <w:t>8</w:t>
      </w:r>
      <w:r>
        <w:rPr/>
        <w:t>）所得税</w:t>
      </w:r>
    </w:p>
    <w:p>
      <w:pPr>
        <w:spacing w:after="0" w:line="240" w:lineRule="auto"/>
        <w:jc w:val="left"/>
        <w:sectPr>
          <w:pgSz w:w="11910" w:h="16840"/>
          <w:pgMar w:header="87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52" w:firstLine="360"/>
        <w:jc w:val="both"/>
      </w:pPr>
      <w:r>
        <w:rPr>
          <w:spacing w:val="-2"/>
        </w:rPr>
        <w:t>本公司在正常的经营活动中，有部分交易其最终的税务处理和计算存在一定的不确定性。部分项目是否能够在税前列支</w:t>
      </w:r>
      <w:r>
        <w:rPr/>
        <w:t> </w:t>
      </w: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六、税项" w:id="172"/>
      <w:bookmarkEnd w:id="17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173"/>
      <w:bookmarkEnd w:id="17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产品销售收入、服务收入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应纳增值税额、应纳营业税额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应纳增值税额、应纳营业税额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应纳增值税额、应纳营业税额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安尼数码（香港）有限公司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174"/>
      <w:bookmarkEnd w:id="17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513" w:right="4223"/>
        <w:jc w:val="left"/>
      </w:pPr>
      <w:r>
        <w:rPr/>
        <w:t>（</w:t>
      </w:r>
      <w:r>
        <w:rPr>
          <w:rFonts w:ascii="Times New Roman" w:hAnsi="Times New Roman" w:cs="Times New Roman" w:eastAsia="Times New Roman" w:hint="default"/>
        </w:rPr>
        <w:t>1</w:t>
      </w:r>
      <w:r>
        <w:rPr/>
        <w:t>）增值税及享受的税收优惠政策 本公司及控股子公司为增值税一般纳税人，适用</w:t>
      </w:r>
      <w:r>
        <w:rPr>
          <w:rFonts w:ascii="Times New Roman" w:hAnsi="Times New Roman" w:cs="Times New Roman" w:eastAsia="Times New Roman" w:hint="default"/>
        </w:rPr>
        <w:t>17%</w:t>
      </w:r>
      <w:r>
        <w:rPr/>
        <w:t>的基本税率。</w:t>
      </w:r>
    </w:p>
    <w:p>
      <w:pPr>
        <w:pStyle w:val="BodyText"/>
        <w:spacing w:line="451" w:lineRule="auto" w:before="43"/>
        <w:ind w:right="219" w:firstLine="360"/>
        <w:jc w:val="both"/>
      </w:pPr>
      <w:r>
        <w:rPr/>
        <w:t>根据财政部、国家税务总局</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日发布的《财政部、国家税务总局关于软件产品增值税政策的通知》（财税 </w:t>
      </w:r>
      <w:r>
        <w:rPr>
          <w:rFonts w:ascii="Times New Roman" w:hAnsi="Times New Roman" w:cs="Times New Roman" w:eastAsia="Times New Roman" w:hint="default"/>
        </w:rPr>
        <w:t>[2011]100</w:t>
      </w:r>
      <w:r>
        <w:rPr/>
        <w:t>号文）的有关规定，自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日起对增值税一般纳税人销售其自行开发生产的软件产品，按</w:t>
      </w:r>
      <w:r>
        <w:rPr>
          <w:rFonts w:ascii="Times New Roman" w:hAnsi="Times New Roman" w:cs="Times New Roman" w:eastAsia="Times New Roman" w:hint="default"/>
        </w:rPr>
        <w:t>17</w:t>
      </w:r>
      <w:r>
        <w:rPr/>
        <w:t>％的法定税率 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451" w:lineRule="auto" w:before="42"/>
        <w:ind w:right="151" w:firstLine="360"/>
        <w:jc w:val="both"/>
      </w:pPr>
      <w:r>
        <w:rPr/>
        <w:t>根据财税</w:t>
      </w:r>
      <w:r>
        <w:rPr>
          <w:rFonts w:ascii="Times New Roman" w:hAnsi="Times New Roman" w:cs="Times New Roman" w:eastAsia="Times New Roman" w:hint="default"/>
        </w:rPr>
        <w:t>[2011]131</w:t>
      </w:r>
      <w:r>
        <w:rPr/>
        <w:t>号《财政部</w:t>
      </w:r>
      <w:r>
        <w:rPr>
          <w:spacing w:val="-25"/>
        </w:rPr>
        <w:t> </w:t>
      </w:r>
      <w:r>
        <w:rPr/>
        <w:t>国家税务总局关于应税服务适用增值税零税率和免税政策的通知》，试点地区的单位和</w:t>
      </w:r>
      <w:r>
        <w:rPr/>
        <w:t> 个人提供适用零税率的应税服务，按月向主管退税的税务机关申报办理增值税免抵退税或免税手续。</w:t>
      </w:r>
    </w:p>
    <w:p>
      <w:pPr>
        <w:pStyle w:val="BodyText"/>
        <w:spacing w:line="451" w:lineRule="auto" w:before="74"/>
        <w:ind w:left="513" w:right="5573"/>
        <w:jc w:val="left"/>
      </w:pPr>
      <w:r>
        <w:rPr/>
        <w:t>（</w:t>
      </w:r>
      <w:r>
        <w:rPr>
          <w:rFonts w:ascii="Times New Roman" w:hAnsi="Times New Roman" w:cs="Times New Roman" w:eastAsia="Times New Roman" w:hint="default"/>
        </w:rPr>
        <w:t>2</w:t>
      </w:r>
      <w:r>
        <w:rPr/>
        <w:t>）营业税及享受的税收优惠政策 本公司及控股子公司按原应税劳务收入</w:t>
      </w:r>
      <w:r>
        <w:rPr>
          <w:rFonts w:ascii="Times New Roman" w:hAnsi="Times New Roman" w:cs="Times New Roman" w:eastAsia="Times New Roman" w:hint="default"/>
        </w:rPr>
        <w:t>5%</w:t>
      </w:r>
      <w:r>
        <w:rPr/>
        <w:t>计征。</w:t>
      </w:r>
    </w:p>
    <w:p>
      <w:pPr>
        <w:pStyle w:val="BodyText"/>
        <w:spacing w:line="451" w:lineRule="auto" w:before="43"/>
        <w:ind w:left="154" w:right="152" w:firstLine="360"/>
        <w:jc w:val="both"/>
      </w:pPr>
      <w:r>
        <w:rPr/>
        <w:t>根据《财政部、国家税务总局关于贯彻落实</w:t>
      </w:r>
      <w:r>
        <w:rPr>
          <w:rFonts w:ascii="Times New Roman" w:hAnsi="Times New Roman" w:cs="Times New Roman" w:eastAsia="Times New Roman" w:hint="default"/>
        </w:rPr>
        <w:t>&lt;</w:t>
      </w:r>
      <w:r>
        <w:rPr/>
        <w:t>中共中央国务院关于加强技术创新，发展高科技，实现产业化的决定</w:t>
      </w:r>
      <w:r>
        <w:rPr>
          <w:rFonts w:ascii="Times New Roman" w:hAnsi="Times New Roman" w:cs="Times New Roman" w:eastAsia="Times New Roman" w:hint="default"/>
        </w:rPr>
        <w:t>&gt;</w:t>
      </w:r>
      <w:r>
        <w:rPr/>
        <w:t>有 关税收问题的通知》</w:t>
      </w:r>
      <w:r>
        <w:rPr>
          <w:rFonts w:ascii="Times New Roman" w:hAnsi="Times New Roman" w:cs="Times New Roman" w:eastAsia="Times New Roman" w:hint="default"/>
        </w:rPr>
        <w:t>(</w:t>
      </w:r>
      <w:r>
        <w:rPr/>
        <w:t>财税字</w:t>
      </w:r>
      <w:r>
        <w:rPr>
          <w:rFonts w:ascii="Times New Roman" w:hAnsi="Times New Roman" w:cs="Times New Roman" w:eastAsia="Times New Roman" w:hint="default"/>
        </w:rPr>
        <w:t>[1999]</w:t>
      </w:r>
      <w:r>
        <w:rPr/>
        <w:t>第</w:t>
      </w:r>
      <w:r>
        <w:rPr>
          <w:rFonts w:ascii="Times New Roman" w:hAnsi="Times New Roman" w:cs="Times New Roman" w:eastAsia="Times New Roman" w:hint="default"/>
        </w:rPr>
        <w:t>273</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spacing w:val="-3"/>
        </w:rPr>
        <w:t>及《深圳市技术转让技术开发及相关服务性收入免征营业税审批管理办法》（深</w:t>
      </w:r>
    </w:p>
    <w:p>
      <w:pPr>
        <w:spacing w:after="0" w:line="451" w:lineRule="auto"/>
        <w:jc w:val="both"/>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154" w:right="102"/>
        <w:jc w:val="both"/>
      </w:pPr>
      <w:r>
        <w:rPr>
          <w:spacing w:val="-3"/>
        </w:rPr>
        <w:t>地税发〔</w:t>
      </w:r>
      <w:r>
        <w:rPr>
          <w:rFonts w:ascii="Times New Roman" w:hAnsi="Times New Roman" w:cs="Times New Roman" w:eastAsia="Times New Roman" w:hint="default"/>
          <w:spacing w:val="-3"/>
        </w:rPr>
        <w:t>2003</w:t>
      </w:r>
      <w:r>
        <w:rPr>
          <w:spacing w:val="-3"/>
        </w:rPr>
        <w:t>〕</w:t>
      </w:r>
      <w:r>
        <w:rPr>
          <w:rFonts w:ascii="Times New Roman" w:hAnsi="Times New Roman" w:cs="Times New Roman" w:eastAsia="Times New Roman" w:hint="default"/>
          <w:spacing w:val="-3"/>
        </w:rPr>
        <w:t>348</w:t>
      </w:r>
      <w:r>
        <w:rPr>
          <w:spacing w:val="-3"/>
        </w:rPr>
        <w:t>号</w:t>
      </w:r>
      <w:r>
        <w:rPr>
          <w:rFonts w:ascii="Times New Roman" w:hAnsi="Times New Roman" w:cs="Times New Roman" w:eastAsia="Times New Roman" w:hint="default"/>
          <w:spacing w:val="-3"/>
        </w:rPr>
        <w:t>)</w:t>
      </w:r>
      <w:r>
        <w:rPr>
          <w:spacing w:val="-3"/>
        </w:rPr>
        <w:t>规定：对单位和个人从事技术转让、技术开发业务和与之相关的技术咨询、技术服务业务取得的收入，</w:t>
      </w:r>
      <w:r>
        <w:rPr>
          <w:spacing w:val="-57"/>
        </w:rPr>
        <w:t> </w:t>
      </w:r>
      <w:r>
        <w:rPr>
          <w:spacing w:val="-57"/>
        </w:rPr>
      </w:r>
      <w:r>
        <w:rPr/>
        <w:t>免征营业税。</w:t>
      </w:r>
    </w:p>
    <w:p>
      <w:pPr>
        <w:pStyle w:val="BodyText"/>
        <w:spacing w:line="463" w:lineRule="auto" w:before="74"/>
        <w:ind w:right="93" w:firstLine="360"/>
        <w:jc w:val="left"/>
      </w:pPr>
      <w:r>
        <w:rPr/>
        <w:t>根据《国务院关于印发进一步鼓励软件产业和集成电路产业发展若干政策的通知》</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w:t>
      </w:r>
      <w:r>
        <w:rPr>
          <w:rFonts w:ascii="Times New Roman" w:hAnsi="Times New Roman" w:cs="Times New Roman" w:eastAsia="Times New Roman" w:hint="default"/>
        </w:rPr>
        <w:t>)</w:t>
      </w:r>
      <w:r>
        <w:rPr/>
        <w:t>的有关规定，继 </w:t>
      </w:r>
      <w:r>
        <w:rPr>
          <w:spacing w:val="-2"/>
        </w:rPr>
        <w:t>续实施软件增值税优惠政策；对符合条件的软件企业和集成电路设计企业从事软件开发与测试，信息系统集成、咨询和运营</w:t>
      </w:r>
      <w:r>
        <w:rPr>
          <w:spacing w:val="-66"/>
        </w:rPr>
        <w:t> </w:t>
      </w:r>
      <w:r>
        <w:rPr>
          <w:spacing w:val="-66"/>
        </w:rPr>
      </w:r>
      <w:r>
        <w:rPr/>
        <w:t>维护，集成电路设计等业务，免征营业税。</w:t>
      </w:r>
    </w:p>
    <w:p>
      <w:pPr>
        <w:pStyle w:val="BodyText"/>
        <w:spacing w:line="240" w:lineRule="auto" w:before="65"/>
        <w:ind w:left="513" w:right="93"/>
        <w:jc w:val="left"/>
      </w:pPr>
      <w:r>
        <w:rPr/>
        <w:t>（</w:t>
      </w:r>
      <w:r>
        <w:rPr>
          <w:rFonts w:ascii="Times New Roman" w:hAnsi="Times New Roman" w:cs="Times New Roman" w:eastAsia="Times New Roman" w:hint="default"/>
        </w:rPr>
        <w:t>3</w:t>
      </w:r>
      <w:r>
        <w:rPr/>
        <w:t>）企业所得税及享受的税收优惠政策</w:t>
      </w:r>
    </w:p>
    <w:p>
      <w:pPr>
        <w:spacing w:line="240" w:lineRule="auto" w:before="9"/>
        <w:rPr>
          <w:rFonts w:ascii="宋体" w:hAnsi="宋体" w:cs="宋体" w:eastAsia="宋体" w:hint="default"/>
          <w:sz w:val="16"/>
          <w:szCs w:val="16"/>
        </w:rPr>
      </w:pPr>
    </w:p>
    <w:p>
      <w:pPr>
        <w:pStyle w:val="BodyText"/>
        <w:spacing w:line="451" w:lineRule="auto"/>
        <w:ind w:right="164" w:firstLine="360"/>
        <w:jc w:val="both"/>
      </w:pPr>
      <w:r>
        <w:rPr/>
        <w:t>①本公司于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日通过高新技术企业重新认定，取得深圳市科技工贸和信息化委员会、深圳市财政委员会、 </w:t>
      </w:r>
      <w:r>
        <w:rPr>
          <w:spacing w:val="-2"/>
        </w:rPr>
        <w:t>深圳市国家税务局、深圳市地方税务局联合下发的《高新技术企业证书》，有效期三年。根据相关规定，公司自</w:t>
      </w:r>
      <w:r>
        <w:rPr>
          <w:rFonts w:ascii="Times New Roman" w:hAnsi="Times New Roman" w:cs="Times New Roman" w:eastAsia="Times New Roman" w:hint="default"/>
          <w:spacing w:val="-2"/>
        </w:rPr>
        <w:t>2014</w:t>
      </w:r>
      <w:r>
        <w:rPr>
          <w:spacing w:val="-2"/>
        </w:rPr>
        <w:t>年度起</w:t>
      </w:r>
      <w:r>
        <w:rPr>
          <w:spacing w:val="-64"/>
        </w:rPr>
        <w:t> </w:t>
      </w:r>
      <w:r>
        <w:rPr/>
        <w:t>连续三年内将继续享受高新技术企业的相关优惠政策，即按</w:t>
      </w:r>
      <w:r>
        <w:rPr>
          <w:rFonts w:ascii="Times New Roman" w:hAnsi="Times New Roman" w:cs="Times New Roman" w:eastAsia="Times New Roman" w:hint="default"/>
        </w:rPr>
        <w:t>15%</w:t>
      </w:r>
      <w:r>
        <w:rPr/>
        <w:t>的税率缴纳企业所得税。</w:t>
      </w:r>
    </w:p>
    <w:p>
      <w:pPr>
        <w:pStyle w:val="BodyText"/>
        <w:spacing w:line="451" w:lineRule="auto" w:before="43"/>
        <w:ind w:right="93" w:firstLine="360"/>
        <w:jc w:val="left"/>
      </w:pPr>
      <w:r>
        <w:rPr/>
        <w:t>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月被国家发展和改革委员会、工业和信息化部、财政部、商务部和国家税务总局联合认定为</w:t>
      </w:r>
      <w:r>
        <w:rPr>
          <w:rFonts w:ascii="Times New Roman" w:hAnsi="Times New Roman" w:cs="Times New Roman" w:eastAsia="Times New Roman" w:hint="default"/>
        </w:rPr>
        <w:t>2013-2014 </w:t>
      </w:r>
      <w:r>
        <w:rPr/>
        <w:t>年度国家规划布局内重点软件企业，根据《关于进一步鼓励软件产业和集成电路产业发展企业所得税政策的通知》（财税</w:t>
      </w:r>
    </w:p>
    <w:p>
      <w:pPr>
        <w:pStyle w:val="BodyText"/>
        <w:spacing w:line="376" w:lineRule="auto" w:before="74"/>
        <w:ind w:right="100"/>
        <w:jc w:val="both"/>
      </w:pPr>
      <w:r>
        <w:rPr>
          <w:rFonts w:ascii="Times New Roman" w:hAnsi="Times New Roman" w:cs="Times New Roman" w:eastAsia="Times New Roman" w:hint="default"/>
          <w:spacing w:val="-2"/>
        </w:rPr>
        <w:t>[2012]27</w:t>
      </w:r>
      <w:r>
        <w:rPr>
          <w:spacing w:val="-2"/>
        </w:rPr>
        <w:t>号）的有关规定，国家规划布局内重点软件生产企业，如当年未享受免税优惠的，减按</w:t>
      </w:r>
      <w:r>
        <w:rPr>
          <w:rFonts w:ascii="Times New Roman" w:hAnsi="Times New Roman" w:cs="Times New Roman" w:eastAsia="Times New Roman" w:hint="default"/>
          <w:spacing w:val="-2"/>
        </w:rPr>
        <w:t>10%</w:t>
      </w:r>
      <w:r>
        <w:rPr>
          <w:spacing w:val="-2"/>
        </w:rPr>
        <w:t>的税率征收企业所得税。</w:t>
      </w:r>
      <w:r>
        <w:rPr>
          <w:spacing w:val="-56"/>
        </w:rPr>
        <w:t> </w:t>
      </w:r>
      <w:r>
        <w:rPr/>
        <w:t>故本公司</w:t>
      </w:r>
      <w:r>
        <w:rPr>
          <w:rFonts w:ascii="Times New Roman" w:hAnsi="Times New Roman" w:cs="Times New Roman" w:eastAsia="Times New Roman" w:hint="default"/>
        </w:rPr>
        <w:t>2014</w:t>
      </w:r>
      <w:r>
        <w:rPr/>
        <w:t>年度企业所得税税率实际为</w:t>
      </w:r>
      <w:r>
        <w:rPr>
          <w:rFonts w:ascii="Times New Roman" w:hAnsi="Times New Roman" w:cs="Times New Roman" w:eastAsia="Times New Roman" w:hint="default"/>
        </w:rPr>
        <w:t>10%</w:t>
      </w:r>
      <w:r>
        <w:rPr/>
        <w:t>。</w:t>
      </w:r>
    </w:p>
    <w:p>
      <w:pPr>
        <w:pStyle w:val="BodyText"/>
        <w:spacing w:line="451" w:lineRule="auto" w:before="27"/>
        <w:ind w:left="513" w:right="178"/>
        <w:jc w:val="left"/>
      </w:pPr>
      <w:r>
        <w:rPr/>
        <w:t>②本公司的控股子公司北京亿美软通科技有限公司成立于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月，法定企业所得税税率为</w:t>
      </w:r>
      <w:r>
        <w:rPr>
          <w:rFonts w:ascii="Times New Roman" w:hAnsi="Times New Roman" w:cs="Times New Roman" w:eastAsia="Times New Roman" w:hint="default"/>
        </w:rPr>
        <w:t>25%</w:t>
      </w:r>
      <w:r>
        <w:rPr/>
        <w:t>。 本公司的控股子公司北京亿美软通科技有限公司于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5"/>
        </w:rPr>
        <w:t> </w:t>
      </w:r>
      <w:r>
        <w:rPr/>
        <w:t>日通过高新技术企业重新认定，取得深圳市科技工</w:t>
      </w:r>
    </w:p>
    <w:p>
      <w:pPr>
        <w:pStyle w:val="BodyText"/>
        <w:spacing w:line="463" w:lineRule="auto" w:before="44"/>
        <w:ind w:right="189"/>
        <w:jc w:val="both"/>
      </w:pPr>
      <w:r>
        <w:rPr>
          <w:spacing w:val="-2"/>
        </w:rPr>
        <w:t>贸和信息化委员会、深圳市财政委员会、深圳市国家税务局、深圳市地方税务局联合下发的《高新技术企业证书》，有效期</w:t>
      </w:r>
      <w:r>
        <w:rPr>
          <w:spacing w:val="-66"/>
        </w:rPr>
        <w:t> </w:t>
      </w:r>
      <w:r>
        <w:rPr>
          <w:spacing w:val="-66"/>
        </w:rPr>
      </w:r>
      <w:r>
        <w:rPr>
          <w:spacing w:val="-1"/>
        </w:rPr>
        <w:t>三年。根据相关规定，公司自</w:t>
      </w:r>
      <w:r>
        <w:rPr>
          <w:rFonts w:ascii="Times New Roman" w:hAnsi="Times New Roman" w:cs="Times New Roman" w:eastAsia="Times New Roman" w:hint="default"/>
          <w:spacing w:val="-1"/>
        </w:rPr>
        <w:t>2014</w:t>
      </w:r>
      <w:r>
        <w:rPr>
          <w:spacing w:val="-1"/>
        </w:rPr>
        <w:t>年度起连续三年内将继续享受高新技术企业的相关优惠政策，即按</w:t>
      </w:r>
      <w:r>
        <w:rPr>
          <w:rFonts w:ascii="Times New Roman" w:hAnsi="Times New Roman" w:cs="Times New Roman" w:eastAsia="Times New Roman" w:hint="default"/>
          <w:spacing w:val="-1"/>
        </w:rPr>
        <w:t>15%</w:t>
      </w:r>
      <w:r>
        <w:rPr>
          <w:spacing w:val="-1"/>
        </w:rPr>
        <w:t>的税率缴纳企业所</w:t>
      </w:r>
      <w:r>
        <w:rPr>
          <w:spacing w:val="-84"/>
        </w:rPr>
        <w:t> </w:t>
      </w:r>
      <w:r>
        <w:rPr/>
        <w:t>得税。</w:t>
      </w:r>
    </w:p>
    <w:p>
      <w:pPr>
        <w:pStyle w:val="BodyText"/>
        <w:spacing w:line="451" w:lineRule="auto" w:before="65"/>
        <w:ind w:left="513" w:right="180"/>
        <w:jc w:val="left"/>
      </w:pPr>
      <w:r>
        <w:rPr/>
        <w:t>③本公司的控股子公司深圳市银之杰技术开发有限公司成立于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月，法定企业所得税税率为</w:t>
      </w:r>
      <w:r>
        <w:rPr>
          <w:rFonts w:ascii="Times New Roman" w:hAnsi="Times New Roman" w:cs="Times New Roman" w:eastAsia="Times New Roman" w:hint="default"/>
        </w:rPr>
        <w:t>25%</w:t>
      </w:r>
      <w:r>
        <w:rPr/>
        <w:t>。 </w:t>
      </w:r>
      <w:r>
        <w:rPr>
          <w:spacing w:val="-1"/>
        </w:rPr>
        <w:t>根据《财政部、国家税务总局关于企业所得税若干优惠政策的通知》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[2008]1</w:t>
      </w:r>
      <w:r>
        <w:rPr>
          <w:spacing w:val="-1"/>
        </w:rPr>
        <w:t>号</w:t>
      </w:r>
      <w:r>
        <w:rPr>
          <w:rFonts w:ascii="Times New Roman" w:hAnsi="Times New Roman" w:cs="Times New Roman" w:eastAsia="Times New Roman" w:hint="default"/>
          <w:spacing w:val="-1"/>
        </w:rPr>
        <w:t>)</w:t>
      </w:r>
      <w:r>
        <w:rPr>
          <w:spacing w:val="-1"/>
        </w:rPr>
        <w:t>规定，本公司的控股子公司深圳市</w:t>
      </w:r>
    </w:p>
    <w:p>
      <w:pPr>
        <w:pStyle w:val="BodyText"/>
        <w:spacing w:line="451" w:lineRule="auto" w:before="43"/>
        <w:ind w:right="190"/>
        <w:jc w:val="both"/>
      </w:pPr>
      <w:r>
        <w:rPr>
          <w:spacing w:val="-1"/>
        </w:rPr>
        <w:t>银之杰技术开发有限公司于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月经深圳市福田区国家税务局深国税福减免备案</w:t>
      </w:r>
      <w:r>
        <w:rPr>
          <w:rFonts w:ascii="Times New Roman" w:hAnsi="Times New Roman" w:cs="Times New Roman" w:eastAsia="Times New Roman" w:hint="default"/>
          <w:spacing w:val="-1"/>
        </w:rPr>
        <w:t>[2012]425</w:t>
      </w:r>
      <w:r>
        <w:rPr>
          <w:spacing w:val="-1"/>
        </w:rPr>
        <w:t>号文件备案登记，同意该公司</w:t>
      </w:r>
      <w:r>
        <w:rPr>
          <w:spacing w:val="-52"/>
        </w:rPr>
        <w:t> </w:t>
      </w:r>
      <w:r>
        <w:rPr>
          <w:spacing w:val="-52"/>
        </w:rPr>
      </w:r>
      <w:r>
        <w:rPr/>
        <w:t>从开始获利年度起，两年免征企业所得税，三年减半征收企业所得税。</w:t>
      </w:r>
    </w:p>
    <w:p>
      <w:pPr>
        <w:pStyle w:val="BodyText"/>
        <w:spacing w:line="240" w:lineRule="auto" w:before="74"/>
        <w:ind w:left="513" w:right="93"/>
        <w:jc w:val="left"/>
      </w:pPr>
      <w:r>
        <w:rPr>
          <w:rFonts w:ascii="Times New Roman" w:hAnsi="Times New Roman" w:cs="Times New Roman" w:eastAsia="Times New Roman" w:hint="default"/>
        </w:rPr>
        <w:t>2014</w:t>
      </w:r>
      <w:r>
        <w:rPr/>
        <w:t>年度为本公司的控股子公司深圳市银之杰技术开发有限公司的第二获利年度，当年度免征企业所得税。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both"/>
        <w:rPr>
          <w:b w:val="0"/>
          <w:bCs w:val="0"/>
        </w:rPr>
      </w:pPr>
      <w:bookmarkStart w:name="3、其他" w:id="175"/>
      <w:bookmarkEnd w:id="175"/>
      <w:r>
        <w:rPr>
          <w:b w:val="0"/>
          <w:bCs w:val="0"/>
        </w:rPr>
      </w:r>
      <w:r>
        <w:rPr>
          <w:rFonts w:ascii="Times New Roman" w:hAnsi="Times New Roman" w:cs="Times New Roman" w:eastAsia="Times New Roman" w:hint="default"/>
        </w:rPr>
        <w:t>3</w:t>
      </w:r>
      <w:r>
        <w:rPr/>
        <w:t>、其他</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93"/>
        <w:jc w:val="left"/>
      </w:pPr>
      <w:r>
        <w:rPr/>
        <w:t>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bookmarkStart w:name="七、合并财务报表项目注释" w:id="176"/>
      <w:bookmarkEnd w:id="176"/>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货币资金" w:id="177"/>
      <w:bookmarkEnd w:id="17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after="0" w:line="240" w:lineRule="auto"/>
        <w:jc w:val="right"/>
        <w:sectPr>
          <w:pgSz w:w="11910" w:h="16840"/>
          <w:pgMar w:header="87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82,205.90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54,657.71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260,865,738.76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295,651,304.39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84,096,621.92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26,559.67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345,044,566.58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295,732,521.77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141,301.99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应收票据" w:id="178"/>
      <w:bookmarkEnd w:id="178"/>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179"/>
      <w:bookmarkEnd w:id="17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180"/>
      <w:bookmarkEnd w:id="180"/>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181"/>
      <w:bookmarkEnd w:id="181"/>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182"/>
      <w:bookmarkEnd w:id="182"/>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应收账款" w:id="183"/>
      <w:bookmarkEnd w:id="18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84"/>
      <w:bookmarkEnd w:id="18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189,745,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264.12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15,208,5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10.99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174,536,7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53.13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100,409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,846.85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8,941,741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91,468,105.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189,745,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264.12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15,208,5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10.99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8.02%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174,536,7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53.13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100,409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,846.85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8,941,741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91,468,105.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880" w:bottom="28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135,823,973.70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6,729,836.05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37,313,208.05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3,731,320.80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11,855,623.50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2,371,124.70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4,752,458.87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2,376,229.44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189,745,264.12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15,208,510.99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8.02%</w:t>
            </w:r>
          </w:p>
        </w:tc>
      </w:tr>
    </w:tbl>
    <w:p>
      <w:pPr>
        <w:pStyle w:val="BodyText"/>
        <w:spacing w:line="357" w:lineRule="auto" w:before="51"/>
        <w:ind w:left="154" w:right="5452"/>
        <w:jc w:val="left"/>
      </w:pPr>
      <w:r>
        <w:rPr/>
        <w:t>确定该组合依据的说明： 组合中，采用余额百分比法计提坏账准备的应收账款：</w:t>
      </w:r>
    </w:p>
    <w:p>
      <w:pPr>
        <w:pStyle w:val="BodyText"/>
        <w:spacing w:line="338" w:lineRule="auto" w:before="2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185"/>
      <w:bookmarkEnd w:id="18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880" w:bottom="280" w:left="980" w:right="98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2,296,061.67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880" w:bottom="280" w:left="980" w:right="980"/>
          <w:cols w:num="2" w:equalWidth="0">
            <w:col w:w="6454" w:space="2375"/>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186"/>
      <w:bookmarkEnd w:id="18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50"/>
        <w:jc w:val="right"/>
      </w:pPr>
      <w:r>
        <w:rPr/>
        <w:t>单位： 元</w:t>
      </w:r>
    </w:p>
    <w:p>
      <w:pPr>
        <w:spacing w:after="0" w:line="240" w:lineRule="auto"/>
        <w:jc w:val="right"/>
        <w:sectPr>
          <w:type w:val="continuous"/>
          <w:pgSz w:w="11910" w:h="16840"/>
          <w:pgMar w:top="88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4" w:right="7072"/>
        <w:jc w:val="left"/>
      </w:pPr>
      <w:r>
        <w:rPr/>
        <w:t>应收账款核销说明： 本年无实际核销的应收账款情况。</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吊的应收账款情况" w:id="187"/>
      <w:bookmarkEnd w:id="18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54" w:right="0" w:firstLine="360"/>
        <w:jc w:val="left"/>
      </w:pPr>
      <w:r>
        <w:rPr>
          <w:spacing w:val="-1"/>
        </w:rPr>
        <w:t>本公司本年按欠款方归集的年末余额前五名应收账款汇总金额为人民币</w:t>
      </w:r>
      <w:r>
        <w:rPr>
          <w:rFonts w:ascii="Times New Roman" w:hAnsi="Times New Roman" w:cs="Times New Roman" w:eastAsia="Times New Roman" w:hint="default"/>
          <w:spacing w:val="-1"/>
        </w:rPr>
        <w:t>27,522,257.06</w:t>
      </w:r>
      <w:r>
        <w:rPr>
          <w:spacing w:val="-1"/>
        </w:rPr>
        <w:t>元，占应收账款年末余额合计数的</w:t>
      </w:r>
      <w:r>
        <w:rPr/>
        <w:t> 比例为</w:t>
      </w:r>
      <w:r>
        <w:rPr>
          <w:rFonts w:ascii="Times New Roman" w:hAnsi="Times New Roman" w:cs="Times New Roman" w:eastAsia="Times New Roman" w:hint="default"/>
        </w:rPr>
        <w:t>14.50%</w:t>
      </w:r>
      <w:r>
        <w:rPr/>
        <w:t>，相应计提的坏账准备年末余额汇总金额为人民币</w:t>
      </w:r>
      <w:r>
        <w:rPr>
          <w:rFonts w:ascii="Times New Roman" w:hAnsi="Times New Roman" w:cs="Times New Roman" w:eastAsia="Times New Roman" w:hint="default"/>
        </w:rPr>
        <w:t>2,087,216.40</w:t>
      </w:r>
      <w:r>
        <w:rPr/>
        <w:t>元。</w:t>
      </w:r>
    </w:p>
    <w:p>
      <w:pPr>
        <w:spacing w:line="240" w:lineRule="auto" w:before="6"/>
        <w:rPr>
          <w:rFonts w:ascii="宋体" w:hAnsi="宋体" w:cs="宋体" w:eastAsia="宋体" w:hint="default"/>
          <w:sz w:val="18"/>
          <w:szCs w:val="18"/>
        </w:rPr>
      </w:pPr>
    </w:p>
    <w:p>
      <w:pPr>
        <w:pStyle w:val="Heading3"/>
        <w:spacing w:line="240" w:lineRule="auto"/>
        <w:ind w:left="153" w:right="0"/>
        <w:jc w:val="left"/>
        <w:rPr>
          <w:b w:val="0"/>
          <w:bCs w:val="0"/>
        </w:rPr>
      </w:pPr>
      <w:bookmarkStart w:name="（5）因金融资产转移而终止确认的应收账款" w:id="188"/>
      <w:bookmarkEnd w:id="18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本年无因金融资产转移而终止确认的应收账款。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6）转移应收账款且继续涉入形成的资产、负债金额" w:id="189"/>
      <w:bookmarkEnd w:id="18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4、预付款项" w:id="190"/>
      <w:bookmarkEnd w:id="190"/>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91"/>
      <w:bookmarkEnd w:id="19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44,329,533.66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8,000,607.76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1,582,310.27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45,987,536.86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8,076,300.69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吊的预付款情况" w:id="192"/>
      <w:bookmarkEnd w:id="19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0" w:firstLine="360"/>
        <w:jc w:val="left"/>
      </w:pPr>
      <w:r>
        <w:rPr>
          <w:spacing w:val="-1"/>
        </w:rPr>
        <w:t>本公司按预付对象归集的年末余额前五名预付账款汇总金额为人民币</w:t>
      </w:r>
      <w:r>
        <w:rPr>
          <w:rFonts w:ascii="Times New Roman" w:hAnsi="Times New Roman" w:cs="Times New Roman" w:eastAsia="Times New Roman" w:hint="default"/>
          <w:spacing w:val="-1"/>
        </w:rPr>
        <w:t>41,349,915.16</w:t>
      </w:r>
      <w:r>
        <w:rPr>
          <w:spacing w:val="-1"/>
        </w:rPr>
        <w:t>元，占预付账款年末余额合计数的比</w:t>
      </w:r>
      <w:r>
        <w:rPr/>
        <w:t> 例为</w:t>
      </w:r>
      <w:r>
        <w:rPr>
          <w:rFonts w:ascii="Times New Roman" w:hAnsi="Times New Roman" w:cs="Times New Roman" w:eastAsia="Times New Roman" w:hint="default"/>
        </w:rPr>
        <w:t>89.92%</w:t>
      </w:r>
      <w:r>
        <w:rPr/>
        <w:t>。</w:t>
      </w:r>
    </w:p>
    <w:p>
      <w:pPr>
        <w:spacing w:after="0" w:line="451" w:lineRule="auto"/>
        <w:jc w:val="left"/>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应收利息" w:id="193"/>
      <w:bookmarkEnd w:id="193"/>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194"/>
      <w:bookmarkEnd w:id="194"/>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1,417,892.67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951,133.33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1,417,892.67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951,133.33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195"/>
      <w:bookmarkEnd w:id="195"/>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6、其他应收款" w:id="196"/>
      <w:bookmarkEnd w:id="19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197"/>
      <w:bookmarkEnd w:id="19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26,199,6</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68.70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2,038,87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24,160,78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9,067,0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92.61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709,382.9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8,357,709.7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26,199,6</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68.70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2,038,87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24,160,78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9,067,0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92.61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709,382.9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8,357,709.7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880" w:bottom="28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21,946,872.65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1,096,252.61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2,520,950.00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241,794.00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550,301.00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1,181,545.05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590,772.53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6" w:right="0"/>
              <w:jc w:val="left"/>
              <w:rPr>
                <w:rFonts w:ascii="Times New Roman" w:hAnsi="Times New Roman" w:cs="Times New Roman" w:eastAsia="Times New Roman" w:hint="default"/>
                <w:sz w:val="18"/>
                <w:szCs w:val="18"/>
              </w:rPr>
            </w:pPr>
            <w:r>
              <w:rPr>
                <w:rFonts w:ascii="Times New Roman"/>
                <w:sz w:val="18"/>
              </w:rPr>
              <w:t>26,199,668.70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2,038,879.34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r>
    </w:tbl>
    <w:p>
      <w:pPr>
        <w:pStyle w:val="BodyText"/>
        <w:spacing w:line="360" w:lineRule="auto" w:before="51"/>
        <w:ind w:left="154" w:right="5272"/>
        <w:jc w:val="left"/>
      </w:pPr>
      <w:r>
        <w:rPr/>
        <w:t>确定该组合依据的说明： 组合中，采用余额百分比法计提坏账准备的其他应收款：</w:t>
      </w:r>
    </w:p>
    <w:p>
      <w:pPr>
        <w:pStyle w:val="BodyText"/>
        <w:spacing w:line="340" w:lineRule="auto" w:before="26"/>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198"/>
      <w:bookmarkEnd w:id="19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4" w:right="0"/>
        <w:jc w:val="left"/>
      </w:pPr>
      <w:r>
        <w:rPr/>
        <w:t>本期计提坏账准备金额</w:t>
      </w:r>
      <w:r>
        <w:rPr>
          <w:rFonts w:ascii="Times New Roman" w:hAnsi="Times New Roman" w:cs="Times New Roman" w:eastAsia="Times New Roman" w:hint="default"/>
        </w:rPr>
        <w:t>0.00</w:t>
      </w:r>
      <w:r>
        <w:rPr/>
        <w:t>元；本期收回或转回坏账准备金额</w:t>
      </w:r>
      <w:r>
        <w:rPr>
          <w:rFonts w:ascii="Times New Roman" w:hAnsi="Times New Roman" w:cs="Times New Roman" w:eastAsia="Times New Roman" w:hint="default"/>
        </w:rPr>
        <w:t>294,719.49</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3）本期实际核销的其他应收款情况" w:id="199"/>
      <w:bookmarkEnd w:id="19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53" w:right="0"/>
        <w:jc w:val="left"/>
        <w:rPr>
          <w:b w:val="0"/>
          <w:bCs w:val="0"/>
        </w:rPr>
      </w:pPr>
      <w:bookmarkStart w:name="（4）其他应收款按款项性质分类情况" w:id="200"/>
      <w:bookmarkEnd w:id="20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6,503,651.21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4,423,256.78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2,682,750.47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4,215,153.27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713,267.02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428,682.56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26,199,668.70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9,067,092.61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201"/>
      <w:bookmarkEnd w:id="20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北京卓成宏益科技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456,750.00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中环创新科技发展</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北京世纪嘉腾投资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海口农村商业银行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北京君天首业商贸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1,043,445.00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52,172.25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18,298,445.00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69.84%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9" w:right="0"/>
              <w:jc w:val="left"/>
              <w:rPr>
                <w:rFonts w:ascii="Times New Roman" w:hAnsi="Times New Roman" w:cs="Times New Roman" w:eastAsia="Times New Roman" w:hint="default"/>
                <w:sz w:val="18"/>
                <w:szCs w:val="18"/>
              </w:rPr>
            </w:pPr>
            <w:r>
              <w:rPr>
                <w:rFonts w:ascii="Times New Roman"/>
                <w:sz w:val="18"/>
              </w:rPr>
              <w:t>969,922.25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02"/>
      <w:bookmarkEnd w:id="20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203"/>
      <w:bookmarkEnd w:id="20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204"/>
      <w:bookmarkEnd w:id="20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存货" w:id="205"/>
      <w:bookmarkEnd w:id="205"/>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06"/>
      <w:bookmarkEnd w:id="20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8,233,071.38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8,233,071.38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4,220,756.55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4,220,756.55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631,125.48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631,125.48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1,256,563.07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1,256,563.07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24,225,430.54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24,225,430.54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6,967,771.00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6,967,771.00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455,923.60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455,923.60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895,429.68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895,429.68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13,284.37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13,284.37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33,558,835.37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33,558,835.37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13,340,520.30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13,340,520.30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流动资产" w:id="207"/>
      <w:bookmarkEnd w:id="207"/>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434,899.73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333,715.65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应收酬金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6,765,321.97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7,200,221.70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333,715.65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9、长期股权投资" w:id="208"/>
      <w:bookmarkEnd w:id="208"/>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深圳票联 金融服务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4,897,990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-1,309,10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6,038,889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北京华道 征信有限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59,188.62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20,059,18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24,897,99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-1,249,91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26,098,07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24,897,99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-1,249,91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26,098,07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10、投资性房地产" w:id="209"/>
      <w:bookmarkEnd w:id="209"/>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10"/>
      <w:bookmarkEnd w:id="21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48,700,488.23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48,700,488.23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5,837,394.08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5,837,394.08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1,157,844.48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1,157,844.48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1,157,844.48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1,157,844.48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6,995,238.56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6,995,238.56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41,705,249.67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41,705,249.67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42,863,094.15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42,863,094.15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53" w:right="0"/>
        <w:jc w:val="left"/>
        <w:rPr>
          <w:b w:val="0"/>
          <w:bCs w:val="0"/>
        </w:rPr>
      </w:pPr>
      <w:bookmarkStart w:name="（2）采用公允价值计量模式的投资性房地产" w:id="211"/>
      <w:bookmarkEnd w:id="21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1、固定资产" w:id="212"/>
      <w:bookmarkEnd w:id="212"/>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13"/>
      <w:bookmarkEnd w:id="21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3,737,797.03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4,508,566.13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4,161,140.00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1,287,796.80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13,695,299.96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1,137,629.21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462,710.13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860,694.22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4,906,484.76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7,367,518.32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1,137,629.21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462,710.13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1,627,019.34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860,694.22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4,879,804.76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5,740,498.98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206,461.09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456,307.00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665,768.09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206,461.09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456,307.00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665,768.09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4,875,426.24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4,764,815.17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5,018,834.22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5,737,974.56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20,397,050.19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1,336,698.30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2,562,627.90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3,047,541.11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738,880.66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7,685,747.97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796,146.72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626,760.42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972,827.60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2,581,212.18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4,976,946.92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796,146.72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626,760.42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376,981.92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147,794.00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1,947,683.06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595,845.68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2,433,418.18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3,029,263.86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196,138.04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431,405.61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627,543.65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196,138.04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431,405.61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627,543.65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2,132,845.02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2,993,250.28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4,020,368.71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2,888,687.23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12,035,151.24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2,742,581.22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1,771,564.89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998,465.51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2,849,287.33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8,361,898.95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2,401,098.73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1,945,938.23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1,113,598.89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548,916.14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6,009,551.99</w:t>
            </w:r>
          </w:p>
        </w:tc>
      </w:tr>
    </w:tbl>
    <w:p>
      <w:pPr>
        <w:spacing w:line="240" w:lineRule="auto" w:before="2"/>
        <w:rPr>
          <w:rFonts w:ascii="宋体" w:hAnsi="宋体" w:cs="宋体" w:eastAsia="宋体" w:hint="default"/>
          <w:sz w:val="19"/>
          <w:szCs w:val="19"/>
        </w:rPr>
      </w:pPr>
    </w:p>
    <w:p>
      <w:pPr>
        <w:pStyle w:val="Heading3"/>
        <w:spacing w:line="240" w:lineRule="auto" w:before="35"/>
        <w:ind w:right="93"/>
        <w:jc w:val="left"/>
        <w:rPr>
          <w:b w:val="0"/>
          <w:bCs w:val="0"/>
        </w:rPr>
      </w:pPr>
      <w:bookmarkStart w:name="12、在建工程" w:id="214"/>
      <w:bookmarkEnd w:id="214"/>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在建工程情况" w:id="215"/>
      <w:bookmarkEnd w:id="21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安居房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735,926.00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735,926.00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735,926.00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735,926.00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93"/>
        <w:jc w:val="left"/>
        <w:rPr>
          <w:b w:val="0"/>
          <w:bCs w:val="0"/>
        </w:rPr>
      </w:pPr>
      <w:bookmarkStart w:name="（2）重要在建工程项目本期变动情况" w:id="216"/>
      <w:bookmarkEnd w:id="21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495" w:right="9091"/>
        <w:jc w:val="center"/>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93"/>
        <w:jc w:val="left"/>
        <w:rPr>
          <w:b w:val="0"/>
          <w:bCs w:val="0"/>
        </w:rPr>
      </w:pPr>
      <w:bookmarkStart w:name="13、无形资产" w:id="217"/>
      <w:bookmarkEnd w:id="217"/>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无形资产情况" w:id="218"/>
      <w:bookmarkEnd w:id="21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9"/>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309"/>
        <w:gridCol w:w="1517"/>
        <w:gridCol w:w="1518"/>
        <w:gridCol w:w="1348"/>
        <w:gridCol w:w="1536"/>
        <w:gridCol w:w="1517"/>
      </w:tblGrid>
      <w:tr>
        <w:trPr>
          <w:trHeight w:val="347"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13"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32"/>
              <w:jc w:val="right"/>
              <w:rPr>
                <w:rFonts w:ascii="宋体" w:hAnsi="宋体" w:cs="宋体" w:eastAsia="宋体" w:hint="default"/>
                <w:sz w:val="18"/>
                <w:szCs w:val="18"/>
              </w:rPr>
            </w:pPr>
            <w:r>
              <w:rPr>
                <w:rFonts w:ascii="宋体" w:hAnsi="宋体" w:cs="宋体" w:eastAsia="宋体" w:hint="default"/>
                <w:sz w:val="18"/>
                <w:szCs w:val="18"/>
              </w:rPr>
              <w:t>专利及软件著作权</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08"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11"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83"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355"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17" w:type="dxa"/>
            <w:tcBorders>
              <w:top w:val="single" w:sz="7" w:space="0" w:color="D2D2D2"/>
              <w:left w:val="single" w:sz="10" w:space="0" w:color="D2D2D2"/>
              <w:bottom w:val="single" w:sz="4" w:space="0" w:color="000000"/>
              <w:right w:val="single" w:sz="4" w:space="0" w:color="000000"/>
            </w:tcBorders>
          </w:tcPr>
          <w:p>
            <w:pPr/>
          </w:p>
        </w:tc>
        <w:tc>
          <w:tcPr>
            <w:tcW w:w="1518" w:type="dxa"/>
            <w:tcBorders>
              <w:top w:val="single" w:sz="7" w:space="0" w:color="D2D2D2"/>
              <w:left w:val="single" w:sz="4" w:space="0" w:color="000000"/>
              <w:bottom w:val="single" w:sz="4" w:space="0" w:color="000000"/>
              <w:right w:val="single" w:sz="4" w:space="0" w:color="000000"/>
            </w:tcBorders>
          </w:tcPr>
          <w:p>
            <w:pPr/>
          </w:p>
        </w:tc>
        <w:tc>
          <w:tcPr>
            <w:tcW w:w="1348" w:type="dxa"/>
            <w:tcBorders>
              <w:top w:val="single" w:sz="7" w:space="0" w:color="D2D2D2"/>
              <w:left w:val="single" w:sz="4" w:space="0" w:color="000000"/>
              <w:bottom w:val="single" w:sz="4" w:space="0" w:color="000000"/>
              <w:right w:val="single" w:sz="4" w:space="0" w:color="000000"/>
            </w:tcBorders>
          </w:tcPr>
          <w:p>
            <w:pPr/>
          </w:p>
        </w:tc>
        <w:tc>
          <w:tcPr>
            <w:tcW w:w="1536" w:type="dxa"/>
            <w:tcBorders>
              <w:top w:val="single" w:sz="13" w:space="0" w:color="D2D2D2"/>
              <w:left w:val="single" w:sz="4" w:space="0" w:color="000000"/>
              <w:bottom w:val="single" w:sz="4" w:space="0" w:color="000000"/>
              <w:right w:val="single" w:sz="4" w:space="0" w:color="000000"/>
            </w:tcBorders>
          </w:tcPr>
          <w:p>
            <w:pPr/>
          </w:p>
        </w:tc>
        <w:tc>
          <w:tcPr>
            <w:tcW w:w="1517" w:type="dxa"/>
            <w:tcBorders>
              <w:top w:val="single" w:sz="7" w:space="0" w:color="D2D2D2"/>
              <w:left w:val="single" w:sz="4" w:space="0" w:color="000000"/>
              <w:bottom w:val="single" w:sz="4" w:space="0" w:color="000000"/>
              <w:right w:val="single" w:sz="4" w:space="0" w:color="000000"/>
            </w:tcBorders>
          </w:tcPr>
          <w:p>
            <w:pP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5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25,398,873.48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7,207,502.58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131,616.24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516,106.38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33,254,098.68</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5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18,261,573.66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39,233,565.51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827,228.74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2,797,896.46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61,120,264.37</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76,075.85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14,563.11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90,638.96</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）内部研发</w:t>
            </w:r>
          </w:p>
        </w:tc>
        <w:tc>
          <w:tcPr>
            <w:tcW w:w="15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18,261,573.66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18,261,573.66</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）企业合并增加</w:t>
            </w:r>
          </w:p>
        </w:tc>
        <w:tc>
          <w:tcPr>
            <w:tcW w:w="15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39,233,565.51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751,152.89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2,783,333.35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42,768,051.75</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5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602,565.32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602,565.32</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5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602,565.32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602,565.32</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43,057,881.82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46,441,068.09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958,844.98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3,314,002.84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93,771,797.73</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3,788,027.11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2,056,840.39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35,804.54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126,962.49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6,007,634.53</w:t>
            </w:r>
          </w:p>
        </w:tc>
      </w:tr>
      <w:tr>
        <w:trPr>
          <w:trHeight w:val="403"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6,811,904.57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2,091,032.08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49,476.09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207,411.93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9,159,824.67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40"/>
        </w:sectPr>
      </w:pPr>
    </w:p>
    <w:p>
      <w:pPr>
        <w:spacing w:line="240" w:lineRule="auto" w:before="1"/>
        <w:rPr>
          <w:rFonts w:ascii="宋体" w:hAnsi="宋体" w:cs="宋体" w:eastAsia="宋体" w:hint="default"/>
          <w:sz w:val="29"/>
          <w:szCs w:val="29"/>
        </w:rPr>
      </w:pPr>
    </w:p>
    <w:tbl>
      <w:tblPr>
        <w:tblW w:w="0" w:type="auto"/>
        <w:jc w:val="left"/>
        <w:tblInd w:w="121" w:type="dxa"/>
        <w:tblLayout w:type="fixed"/>
        <w:tblCellMar>
          <w:top w:w="0" w:type="dxa"/>
          <w:left w:w="0" w:type="dxa"/>
          <w:bottom w:w="0" w:type="dxa"/>
          <w:right w:w="0" w:type="dxa"/>
        </w:tblCellMar>
        <w:tblLook w:val="01E0"/>
      </w:tblPr>
      <w:tblGrid>
        <w:gridCol w:w="2309"/>
        <w:gridCol w:w="1517"/>
        <w:gridCol w:w="1518"/>
        <w:gridCol w:w="1348"/>
        <w:gridCol w:w="1536"/>
        <w:gridCol w:w="1517"/>
      </w:tblGrid>
      <w:tr>
        <w:trPr>
          <w:trHeight w:val="340"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13"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32"/>
              <w:jc w:val="right"/>
              <w:rPr>
                <w:rFonts w:ascii="宋体" w:hAnsi="宋体" w:cs="宋体" w:eastAsia="宋体" w:hint="default"/>
                <w:sz w:val="18"/>
                <w:szCs w:val="18"/>
              </w:rPr>
            </w:pPr>
            <w:r>
              <w:rPr>
                <w:rFonts w:ascii="宋体" w:hAnsi="宋体" w:cs="宋体" w:eastAsia="宋体" w:hint="default"/>
                <w:sz w:val="18"/>
                <w:szCs w:val="18"/>
              </w:rPr>
              <w:t>专利及软件著作权</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08"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11"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83"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410"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17"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6,811,904.57</w:t>
            </w:r>
          </w:p>
        </w:tc>
        <w:tc>
          <w:tcPr>
            <w:tcW w:w="151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2,091,032.08</w:t>
            </w:r>
          </w:p>
        </w:tc>
        <w:tc>
          <w:tcPr>
            <w:tcW w:w="134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49,476.09</w:t>
            </w:r>
          </w:p>
        </w:tc>
        <w:tc>
          <w:tcPr>
            <w:tcW w:w="153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207,411.93</w:t>
            </w:r>
          </w:p>
        </w:tc>
        <w:tc>
          <w:tcPr>
            <w:tcW w:w="1517"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9,159,824.67</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20,085.52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20,085.52</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20,085.52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20,085.52</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10,579,846.16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4,147,872.47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85,280.63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334,374.42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15,147,373.68</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年末及年初余额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、年末账面价值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32,478,035.66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42,293,195.62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873,564.35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2,979,628.42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78,624,424.05</w:t>
            </w:r>
          </w:p>
        </w:tc>
      </w:tr>
      <w:tr>
        <w:trPr>
          <w:trHeight w:val="402"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、年初账面价值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21,610,846.37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5,150,662.19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95,811.70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389,143.89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27,246,464.15</w:t>
            </w:r>
          </w:p>
        </w:tc>
      </w:tr>
    </w:tbl>
    <w:p>
      <w:pPr>
        <w:pStyle w:val="BodyText"/>
        <w:spacing w:line="240" w:lineRule="auto" w:before="88"/>
        <w:ind w:left="514" w:right="93"/>
        <w:jc w:val="left"/>
      </w:pPr>
      <w:r>
        <w:rPr/>
        <w:t>本期末通过公司内部研发形成的无形资产占无形资产余额的比例</w:t>
      </w:r>
      <w:r>
        <w:rPr>
          <w:rFonts w:ascii="Times New Roman" w:hAnsi="Times New Roman" w:cs="Times New Roman" w:eastAsia="Times New Roman" w:hint="default"/>
        </w:rPr>
        <w:t>41.31%</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93"/>
        <w:jc w:val="left"/>
        <w:rPr>
          <w:b w:val="0"/>
          <w:bCs w:val="0"/>
        </w:rPr>
      </w:pPr>
      <w:bookmarkStart w:name="14、开发支出" w:id="219"/>
      <w:bookmarkEnd w:id="219"/>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276"/>
        <w:gridCol w:w="851"/>
        <w:gridCol w:w="1417"/>
        <w:gridCol w:w="1277"/>
        <w:gridCol w:w="566"/>
        <w:gridCol w:w="1204"/>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远程视频签约系统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237,573.69</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237,573.69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临柜智能印控机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5,357,820.35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3,487,586.43</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7,198,761.92</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1,646,644.86</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Times New Roman" w:hAnsi="Times New Roman" w:cs="Times New Roman" w:eastAsia="Times New Roman" w:hint="default"/>
                <w:sz w:val="18"/>
                <w:szCs w:val="18"/>
              </w:rPr>
            </w:pPr>
            <w:r>
              <w:rPr>
                <w:rFonts w:ascii="宋体" w:hAnsi="宋体" w:cs="宋体" w:eastAsia="宋体" w:hint="default"/>
                <w:sz w:val="18"/>
                <w:szCs w:val="18"/>
              </w:rPr>
              <w:t>非结构化内容管理平 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178,961.19</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178,961.19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集成控件电子验印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395,564.36</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395,564.36</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柜面业务影像采集平 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2,764,655.73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1,568,126.56</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4,332,782.29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集中作业电子验印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351,081.10</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351,081.10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印鉴卡智能管理系统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639,519.83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1,482,150.18</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1,519,104.69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602,565.32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支票</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受理机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1,657,673.74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2,520,507.71</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4,178,181.45</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Times New Roman" w:hAnsi="Times New Roman" w:cs="Times New Roman" w:eastAsia="Times New Roman" w:hint="default"/>
                <w:sz w:val="18"/>
                <w:szCs w:val="18"/>
              </w:rPr>
            </w:pPr>
            <w:r>
              <w:rPr>
                <w:rFonts w:ascii="宋体" w:hAnsi="宋体" w:cs="宋体" w:eastAsia="宋体" w:hint="default"/>
                <w:sz w:val="18"/>
                <w:szCs w:val="18"/>
              </w:rPr>
              <w:t>流程银行集中作业平 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250,898.56</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250,898.56</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六枚章智能印控机</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2,323,927.78</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2,323,927.78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软件开发基础框架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1,770,000.95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2,119,191.33</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3,889,192.28</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免填单机</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719,167.16</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719,167.16</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电子档案管理系统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487,278.54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1,176,867.01</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1,664,145.55</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微视窗自助终端</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MH1500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182,915.00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182,915.00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微信银行</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117,138.98</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117,138.98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276"/>
        <w:gridCol w:w="851"/>
        <w:gridCol w:w="1417"/>
        <w:gridCol w:w="1277"/>
        <w:gridCol w:w="566"/>
        <w:gridCol w:w="1204"/>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印章管理系统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353,692.59</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353,692.59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远程柜员机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2,592,909.50</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2,592,909.50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12,676,949.14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20,058,259.13</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17,659,008.34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602,565.32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14,473,634.61</w:t>
            </w:r>
          </w:p>
        </w:tc>
      </w:tr>
    </w:tbl>
    <w:p>
      <w:pPr>
        <w:spacing w:line="240" w:lineRule="auto" w:before="3"/>
        <w:rPr>
          <w:rFonts w:ascii="宋体" w:hAnsi="宋体" w:cs="宋体" w:eastAsia="宋体" w:hint="default"/>
          <w:sz w:val="19"/>
          <w:szCs w:val="19"/>
        </w:rPr>
      </w:pPr>
    </w:p>
    <w:p>
      <w:pPr>
        <w:pStyle w:val="Heading3"/>
        <w:spacing w:line="240" w:lineRule="auto" w:before="35"/>
        <w:ind w:right="93"/>
        <w:jc w:val="left"/>
        <w:rPr>
          <w:b w:val="0"/>
          <w:bCs w:val="0"/>
        </w:rPr>
      </w:pPr>
      <w:bookmarkStart w:name="15、商誉" w:id="220"/>
      <w:bookmarkEnd w:id="220"/>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bookmarkStart w:name="（1）商誉账面原值" w:id="221"/>
      <w:bookmarkEnd w:id="22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北京亿美软通科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151,738,925.12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151,738,925.12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深圳市科安数字 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937,435.23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937,435.23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152,676,360.35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152,676,360.35</w:t>
            </w:r>
          </w:p>
        </w:tc>
      </w:tr>
    </w:tbl>
    <w:p>
      <w:pPr>
        <w:spacing w:line="240" w:lineRule="auto" w:before="2"/>
        <w:rPr>
          <w:rFonts w:ascii="宋体" w:hAnsi="宋体" w:cs="宋体" w:eastAsia="宋体" w:hint="default"/>
          <w:sz w:val="19"/>
          <w:szCs w:val="19"/>
        </w:rPr>
      </w:pPr>
    </w:p>
    <w:p>
      <w:pPr>
        <w:pStyle w:val="Heading3"/>
        <w:spacing w:line="240" w:lineRule="auto" w:before="35"/>
        <w:ind w:right="93"/>
        <w:jc w:val="left"/>
        <w:rPr>
          <w:b w:val="0"/>
          <w:bCs w:val="0"/>
        </w:rPr>
      </w:pPr>
      <w:bookmarkStart w:name="（2）商誉减值准备" w:id="222"/>
      <w:bookmarkEnd w:id="22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93" w:firstLine="360"/>
        <w:jc w:val="left"/>
      </w:pP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日，亿美软通合并财务报表归属于母公司可辨认净资产账面值为</w:t>
      </w:r>
      <w:r>
        <w:rPr>
          <w:rFonts w:ascii="Times New Roman" w:hAnsi="Times New Roman" w:cs="Times New Roman" w:eastAsia="Times New Roman" w:hint="default"/>
          <w:spacing w:val="-2"/>
        </w:rPr>
        <w:t>17,219.84</w:t>
      </w:r>
      <w:r>
        <w:rPr>
          <w:spacing w:val="-2"/>
        </w:rPr>
        <w:t>万元，包含商誉的资产组账</w:t>
      </w:r>
      <w:r>
        <w:rPr/>
        <w:t> </w:t>
      </w:r>
      <w:r>
        <w:rPr>
          <w:spacing w:val="-3"/>
        </w:rPr>
        <w:t>面值为</w:t>
      </w:r>
      <w:r>
        <w:rPr>
          <w:rFonts w:ascii="Times New Roman" w:hAnsi="Times New Roman" w:cs="Times New Roman" w:eastAsia="Times New Roman" w:hint="default"/>
          <w:spacing w:val="-3"/>
        </w:rPr>
        <w:t>32,393.73</w:t>
      </w:r>
      <w:r>
        <w:rPr>
          <w:spacing w:val="-3"/>
        </w:rPr>
        <w:t>万元。通过对亿美软通编制的盈利预测进行复核，对包含商誉的资产组进行减值测试，商誉不存在减值迹象，</w:t>
      </w:r>
      <w:r>
        <w:rPr>
          <w:spacing w:val="-86"/>
        </w:rPr>
        <w:t> </w:t>
      </w:r>
      <w:r>
        <w:rPr>
          <w:spacing w:val="-86"/>
        </w:rPr>
      </w:r>
      <w:r>
        <w:rPr/>
        <w:t>本报告期不对商誉计提减值准备。</w:t>
      </w:r>
    </w:p>
    <w:p>
      <w:pPr>
        <w:spacing w:line="240" w:lineRule="auto" w:before="10"/>
        <w:rPr>
          <w:rFonts w:ascii="宋体" w:hAnsi="宋体" w:cs="宋体" w:eastAsia="宋体" w:hint="default"/>
          <w:sz w:val="20"/>
          <w:szCs w:val="20"/>
        </w:rPr>
      </w:pPr>
    </w:p>
    <w:p>
      <w:pPr>
        <w:pStyle w:val="Heading3"/>
        <w:spacing w:line="240" w:lineRule="auto"/>
        <w:ind w:left="153" w:right="93"/>
        <w:jc w:val="left"/>
        <w:rPr>
          <w:b w:val="0"/>
          <w:bCs w:val="0"/>
        </w:rPr>
      </w:pPr>
      <w:bookmarkStart w:name="16、长期待摊费用" w:id="223"/>
      <w:bookmarkEnd w:id="223"/>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1,543,294.26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3,173,327.07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1,370,411.64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3,346,209.69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企业邮箱</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101,709.43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16,951.55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84,757.88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1,543,294.26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3,275,036.50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1,387,363.19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3,430,967.57</w:t>
            </w:r>
          </w:p>
        </w:tc>
      </w:tr>
    </w:tbl>
    <w:p>
      <w:pPr>
        <w:spacing w:line="240" w:lineRule="auto" w:before="2"/>
        <w:rPr>
          <w:rFonts w:ascii="宋体" w:hAnsi="宋体" w:cs="宋体" w:eastAsia="宋体" w:hint="default"/>
          <w:sz w:val="19"/>
          <w:szCs w:val="19"/>
        </w:rPr>
      </w:pPr>
    </w:p>
    <w:p>
      <w:pPr>
        <w:pStyle w:val="Heading3"/>
        <w:spacing w:line="240" w:lineRule="auto" w:before="35"/>
        <w:ind w:right="93"/>
        <w:jc w:val="left"/>
        <w:rPr>
          <w:b w:val="0"/>
          <w:bCs w:val="0"/>
        </w:rPr>
      </w:pPr>
      <w:bookmarkStart w:name="17、递延所得税资产/递延所得税负债" w:id="224"/>
      <w:bookmarkEnd w:id="224"/>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3"/>
        <w:jc w:val="left"/>
        <w:rPr>
          <w:b w:val="0"/>
          <w:bCs w:val="0"/>
        </w:rPr>
      </w:pPr>
      <w:bookmarkStart w:name="（1）未经抵销的递延所得税资产" w:id="225"/>
      <w:bookmarkEnd w:id="22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17,247,390.33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2,599,208.97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9,651,124.02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1,448,203.05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3,852,171.25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533,447.61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1,668,217.78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166,821.78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8,342,618.15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1,306,477.68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29,442,179.73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4,439,134.26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11,319,341.80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1,615,024.83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26"/>
      <w:bookmarkEnd w:id="22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39,487,717.95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5,923,157.70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39,487,717.95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5,923,157.70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27"/>
      <w:bookmarkEnd w:id="22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4,439,134.26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1,615,024.83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5,923,157.70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其他非流动资产" w:id="228"/>
      <w:bookmarkEnd w:id="228"/>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俱乐部会员证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445,000.00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0"/>
        <w:jc w:val="left"/>
      </w:pPr>
      <w:bookmarkStart w:name="其他说明：" w:id="229"/>
      <w:bookmarkEnd w:id="229"/>
      <w:r>
        <w:rPr/>
      </w:r>
      <w:r>
        <w:rPr/>
        <w:t>其他说明：</w:t>
      </w:r>
    </w:p>
    <w:p>
      <w:pPr>
        <w:pStyle w:val="BodyText"/>
        <w:spacing w:line="477" w:lineRule="auto" w:before="154"/>
        <w:ind w:left="154" w:right="0" w:firstLine="360"/>
        <w:jc w:val="left"/>
      </w:pPr>
      <w:bookmarkStart w:name="俱乐部会员证为公司全资子公司亿美软通购买的北京翡翠湖国标康体俱乐部会员证，该会员" w:id="230"/>
      <w:bookmarkEnd w:id="230"/>
      <w:r>
        <w:rPr/>
      </w:r>
      <w:r>
        <w:rPr>
          <w:spacing w:val="-2"/>
        </w:rPr>
        <w:t>俱乐部会员证为公司全资子公司亿美软通购买的北京翡翠湖国标康体俱乐部会员证，该会员证可增值转让，因此划分为</w:t>
      </w:r>
      <w:r>
        <w:rPr/>
        <w:t> 其他长期资产。</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19、应付账款" w:id="231"/>
      <w:bookmarkEnd w:id="231"/>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32"/>
      <w:bookmarkEnd w:id="23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36,225,526.95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6,973,090.71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844,044.70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60,142.50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37,078,571.65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7,033,233.21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33"/>
      <w:bookmarkEnd w:id="23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预收款项" w:id="234"/>
      <w:bookmarkEnd w:id="234"/>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35"/>
      <w:bookmarkEnd w:id="23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45,898,523.34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17,053,389.06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62,958,365.40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1、应付职工薪酬" w:id="236"/>
      <w:bookmarkEnd w:id="236"/>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37"/>
      <w:bookmarkEnd w:id="23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75,401,308.69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73,940,917.49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1,462,474.74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7,697,269.98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7,326,376.19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370,893.79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83,341,578.67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81,510,293.68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1,833,368.53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38"/>
      <w:bookmarkEnd w:id="23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64,850,623.44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63,492,312.59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1,358,310.85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1,930,325.94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1,930,325.94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3,396,529.81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3,298,632.46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97,897.35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2,986,346.52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2,901,140.49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85,206.03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173,662.42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166,997.09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6,665.33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236,520.87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230,494.88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6,025.99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5,022,959.64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5,018,776.64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4,183.00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2,083.54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、商业保险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137,433.86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137,433.86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75,401,308.69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73,940,917.49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1,462,474.74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39"/>
      <w:bookmarkEnd w:id="23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7,220,655.66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6,858,362.45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362,293.21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424,569.35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415,968.77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8,600.58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52,044.97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52,044.97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7,697,269.98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7,326,376.19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370,893.79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14"/>
          <w:szCs w:val="14"/>
        </w:rPr>
      </w:pPr>
    </w:p>
    <w:p>
      <w:pPr>
        <w:pStyle w:val="BodyText"/>
        <w:spacing w:line="463" w:lineRule="auto"/>
        <w:ind w:right="149" w:firstLine="360"/>
        <w:jc w:val="both"/>
      </w:pPr>
      <w:r>
        <w:rPr>
          <w:spacing w:val="-3"/>
        </w:rPr>
        <w:t>本公司按规定参加由政府机构设立的养老保险、失业保险计划，根据该等计划，本公司分别按员工基本工资的</w:t>
      </w:r>
      <w:r>
        <w:rPr>
          <w:rFonts w:ascii="Times New Roman" w:hAnsi="Times New Roman" w:cs="Times New Roman" w:eastAsia="Times New Roman" w:hint="default"/>
          <w:spacing w:val="-3"/>
        </w:rPr>
        <w:t>20%</w:t>
      </w:r>
      <w:r>
        <w:rPr>
          <w:spacing w:val="-3"/>
        </w:rPr>
        <w:t>、</w:t>
      </w:r>
      <w:r>
        <w:rPr>
          <w:rFonts w:ascii="Times New Roman" w:hAnsi="Times New Roman" w:cs="Times New Roman" w:eastAsia="Times New Roman" w:hint="default"/>
          <w:spacing w:val="-3"/>
        </w:rPr>
        <w:t>2%</w:t>
      </w:r>
      <w:r>
        <w:rPr>
          <w:rFonts w:ascii="Times New Roman" w:hAnsi="Times New Roman" w:cs="Times New Roman" w:eastAsia="Times New Roman" w:hint="default"/>
        </w:rPr>
        <w:t> </w:t>
      </w:r>
      <w:r>
        <w:rPr>
          <w:spacing w:val="-2"/>
        </w:rPr>
        <w:t>每月向该等计划缴存费用。除上述每月缴存费用外，本公司不再承担进一步支付义务。相应的支出于发生时计入当期损益或</w:t>
      </w:r>
      <w:r>
        <w:rPr>
          <w:spacing w:val="-66"/>
        </w:rPr>
        <w:t> </w:t>
      </w:r>
      <w:r>
        <w:rPr>
          <w:spacing w:val="-66"/>
        </w:rPr>
      </w:r>
      <w:r>
        <w:rPr/>
        <w:t>相关资产的成本。</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22、应交税费" w:id="240"/>
      <w:bookmarkEnd w:id="240"/>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2,384,258.22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3,548,225.48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9,305,069.87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637,381.21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243,368.83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137,850.55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483,745.13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200,262.76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345,899.28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141,172.32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12,762,341.33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4,670,292.47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3、其他应付款" w:id="241"/>
      <w:bookmarkEnd w:id="241"/>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42"/>
      <w:bookmarkEnd w:id="24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2,898,660.00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员工报销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262,625.91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572,235.20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913,247.36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630,346.40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2,573,228.76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134,678.71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6,647,762.03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1,337,260.31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股本" w:id="243"/>
      <w:bookmarkEnd w:id="243"/>
      <w:r>
        <w:rPr>
          <w:b w:val="0"/>
          <w:bCs w:val="0"/>
        </w:rPr>
      </w:r>
      <w:r>
        <w:rPr>
          <w:rFonts w:ascii="Times New Roman" w:hAnsi="Times New Roman" w:cs="Times New Roman" w:eastAsia="Times New Roman" w:hint="default"/>
        </w:rPr>
        <w:t>24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121,330,000.00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21,082,219.00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121,330,000.00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-1,020,000.00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141,392,219.00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262,722,219.00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5、资本公积" w:id="244"/>
      <w:bookmarkEnd w:id="244"/>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318,949,500.21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270,225,297.80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467,844,798.01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1,841,678.95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-633,121.05</w:t>
            </w:r>
            <w:r>
              <w:rPr>
                <w:rFonts w:ascii="Times New Roman"/>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318,949,500.21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272,066,976.75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123,804,800.00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467,211,676.96</w:t>
            </w:r>
          </w:p>
        </w:tc>
      </w:tr>
    </w:tbl>
    <w:p>
      <w:pPr>
        <w:pStyle w:val="BodyText"/>
        <w:spacing w:line="436" w:lineRule="auto" w:before="51"/>
        <w:ind w:left="514" w:right="206" w:hanging="360"/>
        <w:jc w:val="left"/>
      </w:pPr>
      <w:r>
        <w:rPr/>
        <w:t>其他说明，包括本期增减变动情况、变动原因说明： 本期资本公积增加</w:t>
      </w:r>
      <w:r>
        <w:rPr>
          <w:rFonts w:ascii="Times New Roman" w:hAnsi="Times New Roman" w:cs="Times New Roman" w:eastAsia="Times New Roman" w:hint="default"/>
        </w:rPr>
        <w:t>270,225,297.80</w:t>
      </w:r>
      <w:r>
        <w:rPr/>
        <w:t>元，形成原因系公司本年度非公开发行股份</w:t>
      </w:r>
      <w:r>
        <w:rPr>
          <w:rFonts w:ascii="Times New Roman" w:hAnsi="Times New Roman" w:cs="Times New Roman" w:eastAsia="Times New Roman" w:hint="default"/>
        </w:rPr>
        <w:t>21082219</w:t>
      </w:r>
      <w:r>
        <w:rPr>
          <w:rFonts w:ascii="Times New Roman" w:hAnsi="Times New Roman" w:cs="Times New Roman" w:eastAsia="Times New Roman" w:hint="default"/>
          <w:spacing w:val="21"/>
        </w:rPr>
        <w:t> </w:t>
      </w:r>
      <w:r>
        <w:rPr/>
        <w:t>股，发行价格为</w:t>
      </w:r>
      <w:r>
        <w:rPr>
          <w:rFonts w:ascii="Times New Roman" w:hAnsi="Times New Roman" w:cs="Times New Roman" w:eastAsia="Times New Roman" w:hint="default"/>
        </w:rPr>
        <w:t>14.23</w:t>
      </w:r>
      <w:r>
        <w:rPr/>
        <w:t>元</w:t>
      </w:r>
      <w:r>
        <w:rPr>
          <w:rFonts w:ascii="Times New Roman" w:hAnsi="Times New Roman" w:cs="Times New Roman" w:eastAsia="Times New Roman" w:hint="default"/>
        </w:rPr>
        <w:t>/</w:t>
      </w:r>
      <w:r>
        <w:rPr/>
        <w:t>股，发</w:t>
      </w:r>
    </w:p>
    <w:p>
      <w:pPr>
        <w:pStyle w:val="BodyText"/>
        <w:spacing w:line="451" w:lineRule="auto" w:before="55"/>
        <w:ind w:right="0"/>
        <w:jc w:val="left"/>
      </w:pPr>
      <w:r>
        <w:rPr>
          <w:spacing w:val="-3"/>
        </w:rPr>
        <w:t>行金额</w:t>
      </w:r>
      <w:r>
        <w:rPr>
          <w:rFonts w:ascii="Times New Roman" w:hAnsi="Times New Roman" w:cs="Times New Roman" w:eastAsia="Times New Roman" w:hint="default"/>
          <w:spacing w:val="-3"/>
        </w:rPr>
        <w:t>299,999,976.37</w:t>
      </w:r>
      <w:r>
        <w:rPr>
          <w:spacing w:val="-3"/>
        </w:rPr>
        <w:t>元，扣除新增股本</w:t>
      </w:r>
      <w:r>
        <w:rPr>
          <w:rFonts w:ascii="Times New Roman" w:hAnsi="Times New Roman" w:cs="Times New Roman" w:eastAsia="Times New Roman" w:hint="default"/>
          <w:spacing w:val="-3"/>
        </w:rPr>
        <w:t>21,082,219.00</w:t>
      </w:r>
      <w:r>
        <w:rPr>
          <w:spacing w:val="-3"/>
        </w:rPr>
        <w:t>元和发行费用</w:t>
      </w:r>
      <w:r>
        <w:rPr>
          <w:rFonts w:ascii="Times New Roman" w:hAnsi="Times New Roman" w:cs="Times New Roman" w:eastAsia="Times New Roman" w:hint="default"/>
          <w:spacing w:val="-3"/>
        </w:rPr>
        <w:t>8,692,459.57</w:t>
      </w:r>
      <w:r>
        <w:rPr>
          <w:spacing w:val="-3"/>
        </w:rPr>
        <w:t>元后，差额</w:t>
      </w:r>
      <w:r>
        <w:rPr>
          <w:rFonts w:ascii="Times New Roman" w:hAnsi="Times New Roman" w:cs="Times New Roman" w:eastAsia="Times New Roman" w:hint="default"/>
          <w:spacing w:val="-3"/>
        </w:rPr>
        <w:t>270,225,297.80</w:t>
      </w:r>
      <w:r>
        <w:rPr>
          <w:spacing w:val="-3"/>
        </w:rPr>
        <w:t>元计入资本公积（股</w:t>
      </w:r>
      <w:r>
        <w:rPr>
          <w:spacing w:val="-20"/>
        </w:rPr>
        <w:t> </w:t>
      </w:r>
      <w:r>
        <w:rPr>
          <w:spacing w:val="-20"/>
        </w:rPr>
      </w:r>
      <w:r>
        <w:rPr/>
        <w:t>本溢价）。</w:t>
      </w:r>
    </w:p>
    <w:p>
      <w:pPr>
        <w:spacing w:line="240" w:lineRule="auto" w:before="10"/>
        <w:rPr>
          <w:rFonts w:ascii="宋体" w:hAnsi="宋体" w:cs="宋体" w:eastAsia="宋体" w:hint="default"/>
          <w:sz w:val="20"/>
          <w:szCs w:val="20"/>
        </w:rPr>
      </w:pPr>
    </w:p>
    <w:p>
      <w:pPr>
        <w:pStyle w:val="Heading3"/>
        <w:spacing w:line="240" w:lineRule="auto"/>
        <w:ind w:left="153" w:right="0"/>
        <w:jc w:val="left"/>
        <w:rPr>
          <w:b w:val="0"/>
          <w:bCs w:val="0"/>
        </w:rPr>
      </w:pPr>
      <w:bookmarkStart w:name="26、盈余公积" w:id="245"/>
      <w:bookmarkEnd w:id="245"/>
      <w:r>
        <w:rPr>
          <w:b w:val="0"/>
          <w:bCs w:val="0"/>
        </w:rPr>
      </w:r>
      <w:r>
        <w:rPr>
          <w:rFonts w:ascii="Times New Roman" w:hAnsi="Times New Roman" w:cs="Times New Roman" w:eastAsia="Times New Roman" w:hint="default"/>
        </w:rPr>
        <w:t>26</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16,638,005.05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1,206,072.76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17,844,077.81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16,638,005.05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1,206,072.76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17,844,077.81</w:t>
            </w:r>
          </w:p>
        </w:tc>
      </w:tr>
    </w:tbl>
    <w:p>
      <w:pPr>
        <w:pStyle w:val="BodyText"/>
        <w:spacing w:line="477" w:lineRule="auto" w:before="88"/>
        <w:ind w:left="514" w:right="0"/>
        <w:jc w:val="left"/>
      </w:pPr>
      <w:r>
        <w:rPr/>
        <w:t>盈余公积说明，包括本期增减变动情况、变动原因说明： </w:t>
      </w:r>
      <w:r>
        <w:rPr>
          <w:spacing w:val="-1"/>
        </w:rPr>
        <w:t>根据公司法、章程的规定，本公司按净利润的</w:t>
      </w:r>
      <w:r>
        <w:rPr>
          <w:rFonts w:ascii="Times New Roman" w:hAnsi="Times New Roman" w:cs="Times New Roman" w:eastAsia="Times New Roman" w:hint="default"/>
          <w:spacing w:val="-1"/>
        </w:rPr>
        <w:t>10%</w:t>
      </w:r>
      <w:r>
        <w:rPr>
          <w:spacing w:val="-1"/>
        </w:rPr>
        <w:t>提取法定盈余公积金。法定盈余公积累计额为本公司注册资本</w:t>
      </w:r>
      <w:r>
        <w:rPr>
          <w:rFonts w:ascii="Times New Roman" w:hAnsi="Times New Roman" w:cs="Times New Roman" w:eastAsia="Times New Roman" w:hint="default"/>
          <w:spacing w:val="-1"/>
        </w:rPr>
        <w:t>50%</w:t>
      </w:r>
      <w:r>
        <w:rPr>
          <w:spacing w:val="-1"/>
        </w:rPr>
        <w:t>以</w:t>
      </w:r>
    </w:p>
    <w:p>
      <w:pPr>
        <w:pStyle w:val="BodyText"/>
        <w:spacing w:line="240" w:lineRule="auto" w:before="22"/>
        <w:ind w:left="154" w:right="0"/>
        <w:jc w:val="left"/>
      </w:pPr>
      <w:r>
        <w:rPr/>
        <w:t>上的，可不再提取。</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27、未分配利润" w:id="246"/>
      <w:bookmarkEnd w:id="246"/>
      <w:r>
        <w:rPr>
          <w:b w:val="0"/>
          <w:bCs w:val="0"/>
        </w:rPr>
      </w:r>
      <w:r>
        <w:rPr>
          <w:rFonts w:ascii="Times New Roman" w:hAnsi="Times New Roman" w:cs="Times New Roman" w:eastAsia="Times New Roman" w:hint="default"/>
        </w:rPr>
        <w:t>27</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65,145,548.56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66,977,069.36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65,145,548.56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66,977,069.36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27,686,672.11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14,446,722.90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1,206,072.76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1,878,243.70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6,066,500.00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85,559,647.91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65,145,548.56</w:t>
            </w:r>
          </w:p>
        </w:tc>
      </w:tr>
    </w:tbl>
    <w:p>
      <w:pPr>
        <w:pStyle w:val="BodyText"/>
        <w:spacing w:line="240" w:lineRule="auto" w:before="88"/>
        <w:ind w:left="514" w:right="0"/>
        <w:jc w:val="left"/>
      </w:pPr>
      <w:r>
        <w:rPr/>
        <w:t>调整期初未分配利润明细：</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0.00</w:t>
      </w:r>
      <w:r>
        <w:rPr/>
        <w:t>元。</w:t>
      </w:r>
    </w:p>
    <w:p>
      <w:pPr>
        <w:spacing w:line="240" w:lineRule="auto" w:before="10"/>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5)</w:t>
      </w:r>
      <w:r>
        <w:rPr/>
        <w:t>、其他调整合计影响期初未分配利润</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28、营业收入和营业成本" w:id="247"/>
      <w:bookmarkEnd w:id="247"/>
      <w:r>
        <w:rPr>
          <w:b w:val="0"/>
          <w:bCs w:val="0"/>
        </w:rPr>
      </w:r>
      <w:r>
        <w:rPr>
          <w:rFonts w:ascii="Times New Roman" w:hAnsi="Times New Roman" w:cs="Times New Roman" w:eastAsia="Times New Roman" w:hint="default"/>
        </w:rPr>
        <w:t>28</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188,201,061.61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94,162,159.92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107,517,941.86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49,958,656.83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3,922,979.36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1,157,844.48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2,556,787.40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1,157,841.20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192,124,040.97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95,320,004.40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110,074,729.26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51,116,498.03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营业税金及附加" w:id="248"/>
      <w:bookmarkEnd w:id="248"/>
      <w:r>
        <w:rPr>
          <w:b w:val="0"/>
          <w:bCs w:val="0"/>
        </w:rPr>
      </w:r>
      <w:r>
        <w:rPr>
          <w:rFonts w:ascii="Times New Roman" w:hAnsi="Times New Roman" w:cs="Times New Roman" w:eastAsia="Times New Roman" w:hint="default"/>
        </w:rPr>
        <w:t>29</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249,085.24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130,566.82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526,381.21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531,794.63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375,986.54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379,853.29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15,223.27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1,156,927.27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1,057,438.01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销售费用" w:id="249"/>
      <w:bookmarkEnd w:id="249"/>
      <w:r>
        <w:rPr>
          <w:b w:val="0"/>
          <w:bCs w:val="0"/>
        </w:rPr>
      </w:r>
      <w:r>
        <w:rPr>
          <w:rFonts w:ascii="Times New Roman" w:hAnsi="Times New Roman" w:cs="Times New Roman" w:eastAsia="Times New Roman" w:hint="default"/>
        </w:rPr>
        <w:t>30</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5,953,976.66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11,642,742.26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4,352,917.29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2,852,255.47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7,378,831.69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5,374,700.45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245,199.70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393,408.56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1,697,857.00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315,133.13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2,078,184.61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2,101,527.49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平台服务费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2,045,864.24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317,132.85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38,543.45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24,069,964.04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22,718,310.81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管理费用" w:id="250"/>
      <w:bookmarkEnd w:id="250"/>
      <w:r>
        <w:rPr>
          <w:b w:val="0"/>
          <w:bCs w:val="0"/>
        </w:rPr>
      </w:r>
      <w:r>
        <w:rPr>
          <w:rFonts w:ascii="Times New Roman" w:hAnsi="Times New Roman" w:cs="Times New Roman" w:eastAsia="Times New Roman" w:hint="default"/>
        </w:rPr>
        <w:t>31</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5,758,046.53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4,338,103.33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3,342,561.65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1,597,473.15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1,409,967.19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1,404,489.66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14,838,088.78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13,488,082.99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6,556,095.73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5,451,605.85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601,417.09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412,015.42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9,779,137.17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4,707,781.95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1,981,989.98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1,734,179.57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724,014.63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841,402.21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新产品试制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1,045,028.74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328,778.23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2,396,386.99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372,490.03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48,432,734.48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34,676,402.39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2、财务费用" w:id="251"/>
      <w:bookmarkEnd w:id="251"/>
      <w:r>
        <w:rPr>
          <w:b w:val="0"/>
          <w:bCs w:val="0"/>
        </w:rPr>
      </w:r>
      <w:r>
        <w:rPr>
          <w:rFonts w:ascii="Times New Roman" w:hAnsi="Times New Roman" w:cs="Times New Roman" w:eastAsia="Times New Roman" w:hint="default"/>
        </w:rPr>
        <w:t>32</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7,043,082.29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10,553,133.66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169,535.79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43,361.92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355,294.70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-6,518,251.80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-10,509,771.74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资产减值损失" w:id="252"/>
      <w:bookmarkEnd w:id="252"/>
      <w:r>
        <w:rPr>
          <w:b w:val="0"/>
          <w:bCs w:val="0"/>
        </w:rPr>
      </w:r>
      <w:r>
        <w:rPr>
          <w:rFonts w:ascii="Times New Roman" w:hAnsi="Times New Roman" w:cs="Times New Roman" w:eastAsia="Times New Roman" w:hint="default"/>
        </w:rPr>
        <w:t>33</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2,001,342.18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2,535,947.29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2,001,342.18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2,535,947.29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投资收益" w:id="253"/>
      <w:bookmarkEnd w:id="253"/>
      <w:r>
        <w:rPr>
          <w:b w:val="0"/>
          <w:bCs w:val="0"/>
        </w:rPr>
      </w:r>
      <w:r>
        <w:rPr>
          <w:rFonts w:ascii="Times New Roman" w:hAnsi="Times New Roman" w:cs="Times New Roman" w:eastAsia="Times New Roman" w:hint="default"/>
        </w:rPr>
        <w:t>34</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-1,249,912.60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-2,009.35</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-1,249,748.22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-2,009.35</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营业外收入" w:id="254"/>
      <w:bookmarkEnd w:id="254"/>
      <w:r>
        <w:rPr>
          <w:b w:val="0"/>
          <w:bCs w:val="0"/>
        </w:rPr>
      </w:r>
      <w:r>
        <w:rPr>
          <w:rFonts w:ascii="Times New Roman" w:hAnsi="Times New Roman" w:cs="Times New Roman" w:eastAsia="Times New Roman" w:hint="default"/>
        </w:rPr>
        <w:t>35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4,400,129.34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6,057,656.40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4,403,139.34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6,057,707.82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left="154" w:right="0"/>
        <w:jc w:val="left"/>
      </w:pPr>
      <w:r>
        <w:rPr/>
        <w:t>计入当期损益的政府补助：</w:t>
      </w:r>
    </w:p>
    <w:p>
      <w:pPr>
        <w:spacing w:line="240" w:lineRule="auto" w:before="9"/>
        <w:rPr>
          <w:rFonts w:ascii="宋体" w:hAnsi="宋体" w:cs="宋体" w:eastAsia="宋体" w:hint="default"/>
          <w:sz w:val="11"/>
          <w:szCs w:val="11"/>
        </w:rPr>
      </w:pPr>
    </w:p>
    <w:p>
      <w:pPr>
        <w:pStyle w:val="BodyText"/>
        <w:spacing w:line="240" w:lineRule="auto" w:before="44"/>
        <w:ind w:left="0" w:right="150"/>
        <w:jc w:val="right"/>
      </w:pPr>
      <w:r>
        <w:rPr/>
        <w:t>单位： 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科技研究经费补贴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4,027,429.34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3,646,056.40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4,400,129.34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6,057,656.40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营业外支出" w:id="255"/>
      <w:bookmarkEnd w:id="255"/>
      <w:r>
        <w:rPr>
          <w:b w:val="0"/>
          <w:bCs w:val="0"/>
        </w:rPr>
      </w:r>
      <w:r>
        <w:rPr>
          <w:rFonts w:ascii="Times New Roman" w:hAnsi="Times New Roman" w:cs="Times New Roman" w:eastAsia="Times New Roman" w:hint="default"/>
        </w:rPr>
        <w:t>36</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税收罚款及滞纳金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1,466.96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所得税费用" w:id="256"/>
      <w:bookmarkEnd w:id="256"/>
      <w:r>
        <w:rPr>
          <w:b w:val="0"/>
          <w:bCs w:val="0"/>
        </w:rPr>
      </w:r>
      <w:r>
        <w:rPr>
          <w:rFonts w:ascii="Times New Roman" w:hAnsi="Times New Roman" w:cs="Times New Roman" w:eastAsia="Times New Roman" w:hint="default"/>
        </w:rPr>
        <w:t>37</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57"/>
      <w:bookmarkEnd w:id="25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4,625,543.34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635,244.88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-2,030,324.29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-547,831.80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2,595,219.05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87,413.08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58"/>
      <w:bookmarkEnd w:id="25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30,803,007.82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7,700,751.95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-4,948,832.20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312,478.15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-469,178.85</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2,595,219.05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8、现金流量表项目" w:id="259"/>
      <w:bookmarkEnd w:id="259"/>
      <w:r>
        <w:rPr>
          <w:b w:val="0"/>
          <w:bCs w:val="0"/>
        </w:rPr>
      </w:r>
      <w:r>
        <w:rPr>
          <w:rFonts w:ascii="Times New Roman" w:hAnsi="Times New Roman" w:cs="Times New Roman" w:eastAsia="Times New Roman" w:hint="default"/>
        </w:rPr>
        <w:t>38</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60"/>
      <w:bookmarkEnd w:id="26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372,700.00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2,411,600.00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3,923,489.36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2,611,336.40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6,421,300.08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9,602,000.33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8,338,360.24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881,658.03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19,055,849.68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15,506,594.76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2）支付的其他与经营活动有关的现金" w:id="261"/>
      <w:bookmarkEnd w:id="26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163,085.79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43,361.92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除工资外付现销售费用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19,753,438.18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17,305,066.91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除工资、税金外付现管理费用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19,588,690.55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14,136,236.04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除工资、采购成本劳务外付现营业成本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9,291,513.27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8,908,710.65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745,314.37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3,048,590.30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101,184.08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31,479.71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49,643,226.24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43,473,445.53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3）支付的其他与投资活动有关的现金" w:id="262"/>
      <w:bookmarkEnd w:id="262"/>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5,810,354.23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5,810,354.23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4）支付的其他与筹资活动有关的现金" w:id="263"/>
      <w:bookmarkEnd w:id="263"/>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476.469971pt;width:151.25pt;height:40.9pt;mso-position-horizontal-relative:page;mso-position-vertical-relative:page;z-index:-755536" coordorigin="4467,9529" coordsize="3025,818">
            <v:group style="position:absolute;left:4478;top:9541;width:2;height:393" coordorigin="4478,9541" coordsize="2,393">
              <v:shape style="position:absolute;left:4478;top:9541;width:2;height:393" coordorigin="4478,9541" coordsize="0,393" path="m4478,9541l4478,9933e" filled="false" stroked="true" strokeweight="1.140pt" strokecolor="#ffffff">
                <v:path arrowok="t"/>
              </v:shape>
            </v:group>
            <v:group style="position:absolute;left:4490;top:9541;width:3002;height:393" coordorigin="4490,9541" coordsize="3002,393">
              <v:shape style="position:absolute;left:4490;top:9541;width:3002;height:393" coordorigin="4490,9541" coordsize="3002,393" path="m4490,9933l7491,9933,7491,9541,4490,9541,4490,9933xe" filled="true" fillcolor="#ffffff" stroked="false">
                <v:path arrowok="t"/>
                <v:fill type="solid"/>
              </v:shape>
            </v:group>
            <v:group style="position:absolute;left:4478;top:9943;width:2;height:393" coordorigin="4478,9943" coordsize="2,393">
              <v:shape style="position:absolute;left:4478;top:9943;width:2;height:393" coordorigin="4478,9943" coordsize="0,393" path="m4478,9943l4478,10335e" filled="false" stroked="true" strokeweight="1.140pt" strokecolor="#ffffff">
                <v:path arrowok="t"/>
              </v:shape>
            </v:group>
            <v:group style="position:absolute;left:4490;top:9943;width:3002;height:393" coordorigin="4490,9943" coordsize="3002,393">
              <v:shape style="position:absolute;left:4490;top:9943;width:3002;height:393" coordorigin="4490,9943" coordsize="3002,393" path="m4490,10335l7491,10335,7491,9943,4490,9943,4490,1033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退还股权激励投资款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2,391,900.00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支付股利分配各项费用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126,875.92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2,518,775.92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13,219.35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39、现金流量表补充资料" w:id="264"/>
      <w:bookmarkEnd w:id="264"/>
      <w:r>
        <w:rPr>
          <w:b w:val="0"/>
          <w:bCs w:val="0"/>
        </w:rPr>
      </w:r>
      <w:r>
        <w:rPr>
          <w:rFonts w:ascii="Times New Roman" w:hAnsi="Times New Roman" w:cs="Times New Roman" w:eastAsia="Times New Roman" w:hint="default"/>
        </w:rPr>
        <w:t>39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265"/>
      <w:bookmarkEnd w:id="26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28,207,788.77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14,446,722.90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2,001,342.18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2,535,947.29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3,405,288.73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3,077,491.20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9,157,543.11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4,196,321.94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623,759.69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507,576.51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8,993.70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1,404.26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-33,949.20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1,249,748.22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2,009.35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-2,060,981.52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-547,831.80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-136,164.54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35" w:right="0"/>
              <w:jc w:val="left"/>
              <w:rPr>
                <w:rFonts w:ascii="Times New Roman" w:hAnsi="Times New Roman" w:cs="Times New Roman" w:eastAsia="Times New Roman" w:hint="default"/>
                <w:sz w:val="18"/>
                <w:szCs w:val="18"/>
              </w:rPr>
            </w:pPr>
            <w:r>
              <w:rPr>
                <w:rFonts w:ascii="Times New Roman"/>
                <w:sz w:val="18"/>
              </w:rPr>
              <w:t>-11,161,777.87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-1,025,498.55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-24,721,204.04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-27,156,535.40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23,571,170.84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-1,126,310.50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1,757,985.31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952,824.37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31,869,543.38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-4,135,878.43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345,044,566.58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263,732,521.77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263,732,521.77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353,108,632.82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81,312,044.81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-89,376,111.05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本期支付的取得子公司的现金净额" w:id="266"/>
      <w:bookmarkEnd w:id="26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56,147,967.49</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53,868,345.16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2,279,622.33</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-52,147,967.49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3）现金和现金等价物的构成" w:id="267"/>
      <w:bookmarkEnd w:id="267"/>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345,044,566.58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263,732,521.77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82,205.90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54,657.71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260,865,738.76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263,651,304.39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84,096,621.92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26,559.67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345,044,566.58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263,732,521.77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40、外币货币性项目" w:id="268"/>
      <w:bookmarkEnd w:id="268"/>
      <w:r>
        <w:rPr>
          <w:b w:val="0"/>
          <w:bCs w:val="0"/>
        </w:rPr>
      </w:r>
      <w:r>
        <w:rPr>
          <w:rFonts w:ascii="Times New Roman" w:hAnsi="Times New Roman" w:cs="Times New Roman" w:eastAsia="Times New Roman" w:hint="default"/>
        </w:rPr>
        <w:t>40</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269"/>
      <w:bookmarkEnd w:id="26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1,365,095.81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223,078.27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1,365,016.01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left="154" w:right="0"/>
        <w:jc w:val="left"/>
        <w:rPr>
          <w:b w:val="0"/>
          <w:bCs w:val="0"/>
        </w:rPr>
      </w:pPr>
      <w:bookmarkStart w:name="八、合并范围的变更" w:id="270"/>
      <w:bookmarkEnd w:id="270"/>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271"/>
      <w:bookmarkEnd w:id="27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272"/>
      <w:bookmarkEnd w:id="27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北京亿美软 通科技有限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299,999,976.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发行股票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73,186,559.7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24,708,924.6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深圳市科安 数字有限公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4,000,000.00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8,149,663.79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1,063,503.38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2）合并成本及商誉" w:id="273"/>
      <w:bookmarkEnd w:id="27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4251"/>
        <w:gridCol w:w="2836"/>
        <w:gridCol w:w="2410"/>
      </w:tblGrid>
      <w:tr>
        <w:trPr>
          <w:trHeight w:val="332" w:hRule="exact"/>
        </w:trPr>
        <w:tc>
          <w:tcPr>
            <w:tcW w:w="4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0"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r>
      <w:tr>
        <w:trPr>
          <w:trHeight w:val="342" w:hRule="exact"/>
        </w:trPr>
        <w:tc>
          <w:tcPr>
            <w:tcW w:w="4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836"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18"/>
                <w:szCs w:val="18"/>
              </w:rPr>
            </w:pPr>
            <w:r>
              <w:rPr>
                <w:rFonts w:ascii="Times New Roman"/>
                <w:spacing w:val="-1"/>
                <w:sz w:val="18"/>
              </w:rPr>
              <w:t>299,999,976.37</w:t>
            </w:r>
          </w:p>
        </w:tc>
        <w:tc>
          <w:tcPr>
            <w:tcW w:w="24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42" w:hRule="exact"/>
        </w:trPr>
        <w:tc>
          <w:tcPr>
            <w:tcW w:w="4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83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42" w:hRule="exact"/>
        </w:trPr>
        <w:tc>
          <w:tcPr>
            <w:tcW w:w="4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283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299,999,976.37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83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299,999,976.37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42" w:hRule="exact"/>
        </w:trPr>
        <w:tc>
          <w:tcPr>
            <w:tcW w:w="4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83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148,261,051.25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3,062,564.77</w:t>
            </w:r>
          </w:p>
        </w:tc>
      </w:tr>
      <w:tr>
        <w:trPr>
          <w:trHeight w:val="342" w:hRule="exact"/>
        </w:trPr>
        <w:tc>
          <w:tcPr>
            <w:tcW w:w="4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3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151,738,925.12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937,435.23</w:t>
            </w:r>
          </w:p>
        </w:tc>
      </w:tr>
    </w:tbl>
    <w:p>
      <w:pPr>
        <w:pStyle w:val="BodyText"/>
        <w:spacing w:line="477" w:lineRule="auto" w:before="88"/>
        <w:ind w:left="514" w:right="142"/>
        <w:jc w:val="left"/>
      </w:pPr>
      <w:r>
        <w:rPr/>
        <w:t>合并成本公允价值的确定方法、或有对价及其变动的说明： 本公司发行人民币普通股</w:t>
      </w:r>
      <w:r>
        <w:rPr>
          <w:rFonts w:ascii="Times New Roman" w:hAnsi="Times New Roman" w:cs="Times New Roman" w:eastAsia="Times New Roman" w:hint="default"/>
        </w:rPr>
        <w:t>21082219</w:t>
      </w:r>
      <w:r>
        <w:rPr/>
        <w:t>股，发行价格</w:t>
      </w:r>
      <w:r>
        <w:rPr>
          <w:rFonts w:ascii="Times New Roman" w:hAnsi="Times New Roman" w:cs="Times New Roman" w:eastAsia="Times New Roman" w:hint="default"/>
        </w:rPr>
        <w:t>14.23</w:t>
      </w:r>
      <w:r>
        <w:rPr/>
        <w:t>元，发行股份公允价值为</w:t>
      </w:r>
      <w:r>
        <w:rPr>
          <w:rFonts w:ascii="Times New Roman" w:hAnsi="Times New Roman" w:cs="Times New Roman" w:eastAsia="Times New Roman" w:hint="default"/>
        </w:rPr>
        <w:t>299,999,976.37</w:t>
      </w:r>
      <w:r>
        <w:rPr/>
        <w:t>元，作为合并成本，取得</w:t>
      </w:r>
    </w:p>
    <w:p>
      <w:pPr>
        <w:pStyle w:val="BodyText"/>
        <w:spacing w:line="451" w:lineRule="auto" w:before="21"/>
        <w:ind w:left="513" w:right="6248" w:hanging="360"/>
        <w:jc w:val="left"/>
      </w:pPr>
      <w:r>
        <w:rPr/>
        <w:t>北京亿美软通科技有限公司</w:t>
      </w:r>
      <w:r>
        <w:rPr>
          <w:rFonts w:ascii="Times New Roman" w:hAnsi="Times New Roman" w:cs="Times New Roman" w:eastAsia="Times New Roman" w:hint="default"/>
        </w:rPr>
        <w:t>100.00%</w:t>
      </w:r>
      <w:r>
        <w:rPr/>
        <w:t>的股权。 大额商誉形成的主要原因：</w:t>
      </w:r>
    </w:p>
    <w:p>
      <w:pPr>
        <w:pStyle w:val="BodyText"/>
        <w:spacing w:line="451" w:lineRule="auto" w:before="74"/>
        <w:ind w:left="154" w:right="187" w:firstLine="360"/>
        <w:jc w:val="left"/>
      </w:pPr>
      <w:r>
        <w:rPr/>
        <w:t>公司实际取得北京亿美软通科技有限公司可辨认净资产在合并日的公允价值为人民币</w:t>
      </w:r>
      <w:r>
        <w:rPr>
          <w:rFonts w:ascii="Times New Roman" w:hAnsi="Times New Roman" w:cs="Times New Roman" w:eastAsia="Times New Roman" w:hint="default"/>
        </w:rPr>
        <w:t>148,261,051.25</w:t>
      </w:r>
      <w:r>
        <w:rPr/>
        <w:t>元，两者的差额人 民币</w:t>
      </w:r>
      <w:r>
        <w:rPr>
          <w:rFonts w:ascii="Times New Roman" w:hAnsi="Times New Roman" w:cs="Times New Roman" w:eastAsia="Times New Roman" w:hint="default"/>
        </w:rPr>
        <w:t>151,738,925.12</w:t>
      </w:r>
      <w:r>
        <w:rPr/>
        <w:t>元确认为商誉。</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3）被购买方于购买日可辨认资产、负债" w:id="274"/>
      <w:bookmarkEnd w:id="27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10"/>
        <w:gridCol w:w="1844"/>
        <w:gridCol w:w="1843"/>
        <w:gridCol w:w="1702"/>
        <w:gridCol w:w="1703"/>
      </w:tblGrid>
      <w:tr>
        <w:trPr>
          <w:trHeight w:val="34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58"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3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05"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r>
      <w:tr>
        <w:trPr>
          <w:trHeight w:val="342"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购买日</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980"/>
        </w:sectPr>
      </w:pPr>
    </w:p>
    <w:p>
      <w:pPr>
        <w:spacing w:line="240" w:lineRule="auto" w:before="4"/>
        <w:rPr>
          <w:rFonts w:ascii="宋体" w:hAnsi="宋体" w:cs="宋体" w:eastAsia="宋体" w:hint="default"/>
          <w:b/>
          <w:bCs/>
          <w:sz w:val="29"/>
          <w:szCs w:val="29"/>
        </w:rPr>
      </w:pPr>
    </w:p>
    <w:tbl>
      <w:tblPr>
        <w:tblW w:w="0" w:type="auto"/>
        <w:jc w:val="left"/>
        <w:tblInd w:w="151" w:type="dxa"/>
        <w:tblLayout w:type="fixed"/>
        <w:tblCellMar>
          <w:top w:w="0" w:type="dxa"/>
          <w:left w:w="0" w:type="dxa"/>
          <w:bottom w:w="0" w:type="dxa"/>
          <w:right w:w="0" w:type="dxa"/>
        </w:tblCellMar>
        <w:tblLook w:val="01E0"/>
      </w:tblPr>
      <w:tblGrid>
        <w:gridCol w:w="2408"/>
        <w:gridCol w:w="1843"/>
        <w:gridCol w:w="1843"/>
        <w:gridCol w:w="1702"/>
        <w:gridCol w:w="1700"/>
      </w:tblGrid>
      <w:tr>
        <w:trPr>
          <w:trHeight w:val="33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6"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43" w:type="dxa"/>
            <w:tcBorders>
              <w:top w:val="single" w:sz="8" w:space="0" w:color="000000"/>
              <w:left w:val="single" w:sz="4" w:space="0" w:color="000000"/>
              <w:bottom w:val="single" w:sz="4" w:space="0" w:color="000000"/>
              <w:right w:val="single" w:sz="4" w:space="0" w:color="000000"/>
            </w:tcBorders>
          </w:tcPr>
          <w:p>
            <w:pPr/>
          </w:p>
        </w:tc>
        <w:tc>
          <w:tcPr>
            <w:tcW w:w="1843" w:type="dxa"/>
            <w:tcBorders>
              <w:top w:val="single" w:sz="8" w:space="0" w:color="000000"/>
              <w:left w:val="single" w:sz="4" w:space="0" w:color="000000"/>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
        </w:tc>
        <w:tc>
          <w:tcPr>
            <w:tcW w:w="1700"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53,868,345.16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53,868,345.16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2,279,622.33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2,279,622.33</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55,523,664.87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55,523,664.87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2,728,198.94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2,728,198.94</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46,516,261.41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46,516,261.41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53,930.00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53,930.00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19,192,446.16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19,192,446.16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1,416,479.44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1,416,479.44</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6,917,426.62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6,917,426.62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1,972,288.80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1,972,288.80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7,586,720.85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7,586,720.85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17,490.44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17,490.44</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2,730,374.03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2,730,374.03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154,546.51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154,546.51</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42,768,051.75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2,372,570.18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2,281.55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2,281.55</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2,285,244.17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2,285,244.17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820,100.23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820,100.23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109,849.46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109,849.46</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445,000.00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445,000.00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238,653,635.25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198,258,153.68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8,734,687.47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8,734,687.47</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13,338,644.94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13,338,644.94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60,996,859.34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60,996,859.34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2,382,970.38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2,382,970.38</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1,772,108.84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1,772,108.84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118,500.00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118,500.00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7,930,797.83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7,930,797.83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-71,811.88</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-71,811.88</w:t>
            </w:r>
            <w:r>
              <w:rPr>
                <w:rFonts w:ascii="Times New Roman"/>
                <w:sz w:val="18"/>
              </w:rPr>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294,850.81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294,850.81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300,000.00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6,059,322.24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148,261,051.25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113,924,891.92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6,005,028.97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6,005,028.97</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2,942,464.20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2,942,464.20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148,261,051.25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113,924,891.92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3,062,564.77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3,062,564.77</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九、在其他主体中的权益" w:id="275"/>
      <w:bookmarkEnd w:id="275"/>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276"/>
      <w:bookmarkEnd w:id="27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277"/>
      <w:bookmarkEnd w:id="27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深圳市银之杰金 融设备有限公司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金融信息化行业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深圳市银之杰技 术开发有限公司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金融信息化行业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北京亿美软通科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移动信息服务行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非同控制下合并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深圳市科安数字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非同控制下合并</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安尼数码（香港</w:t>
            </w:r>
            <w:r>
              <w:rPr>
                <w:rFonts w:ascii="宋体" w:hAnsi="宋体" w:cs="宋体" w:eastAsia="宋体" w:hint="default"/>
                <w:sz w:val="18"/>
                <w:szCs w:val="18"/>
              </w:rPr>
              <w:t>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非同控制下合并</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在合营安排或联营企业中的权益" w:id="278"/>
      <w:bookmarkEnd w:id="278"/>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279"/>
      <w:bookmarkEnd w:id="27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深圳票联金融服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金融设备、软件 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北京华道征信有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个人征信服务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477" w:lineRule="auto" w:before="88"/>
        <w:ind w:left="514" w:right="2092"/>
        <w:jc w:val="left"/>
      </w:pPr>
      <w:r>
        <w:rPr/>
        <w:t>在合营企业或联营企业的持股比例不同于表决权比例的说明： 持有</w:t>
      </w:r>
      <w:r>
        <w:rPr>
          <w:rFonts w:ascii="Times New Roman" w:hAnsi="Times New Roman" w:cs="Times New Roman" w:eastAsia="Times New Roman" w:hint="default"/>
        </w:rPr>
        <w:t>20%</w:t>
      </w:r>
      <w:r>
        <w:rPr/>
        <w:t>以下表决权但具有重大影响，或者持有</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14"/>
          <w:szCs w:val="14"/>
        </w:rPr>
      </w:pPr>
    </w:p>
    <w:p>
      <w:pPr>
        <w:pStyle w:val="Heading2"/>
        <w:spacing w:line="240" w:lineRule="auto"/>
        <w:ind w:right="0"/>
        <w:jc w:val="left"/>
        <w:rPr>
          <w:b w:val="0"/>
          <w:bCs w:val="0"/>
        </w:rPr>
      </w:pPr>
      <w:bookmarkStart w:name="十、与金融工具相关的风险" w:id="280"/>
      <w:bookmarkEnd w:id="280"/>
      <w:r>
        <w:rPr>
          <w:b w:val="0"/>
          <w:bCs w:val="0"/>
        </w:rPr>
      </w:r>
      <w:r>
        <w:rPr/>
        <w:t>十、与金融工具相关的风险</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51" w:firstLine="360"/>
        <w:jc w:val="both"/>
      </w:pPr>
      <w:r>
        <w:rPr>
          <w:spacing w:val="-2"/>
        </w:rPr>
        <w:t>本公司的主要金融工具包括股权投资、债权投资、应收账款、应付账款等，各项金融工具的详细情况说明见本附注六相</w:t>
      </w:r>
      <w:r>
        <w:rPr/>
        <w:t> </w:t>
      </w:r>
      <w:r>
        <w:rPr>
          <w:spacing w:val="-2"/>
        </w:rPr>
        <w:t>关项目。与这些金融工具有关的风险，以及本公司为降低这些风险所采取的风险管理政策如下所述。本公司管理层对这些风</w:t>
      </w:r>
      <w:r>
        <w:rPr>
          <w:spacing w:val="-66"/>
        </w:rPr>
        <w:t> </w:t>
      </w:r>
      <w:r>
        <w:rPr>
          <w:spacing w:val="-66"/>
        </w:rPr>
      </w:r>
      <w:r>
        <w:rPr/>
        <w:t>险敞口进行管理和监控以确保将上述风险控制在限定的范围之内。</w:t>
      </w:r>
    </w:p>
    <w:p>
      <w:pPr>
        <w:pStyle w:val="BodyText"/>
        <w:spacing w:line="477" w:lineRule="auto" w:before="54"/>
        <w:ind w:left="154" w:right="0" w:firstLine="360"/>
        <w:jc w:val="left"/>
      </w:pPr>
      <w:r>
        <w:rPr/>
        <w:t>本公司从事风险管理的目标是在风险和收益之间取得适当的平衡，将风险对本公司经营业绩的负面影响降低到最低水 </w:t>
      </w: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240" w:lineRule="auto" w:before="54"/>
        <w:ind w:left="514" w:right="0"/>
        <w:jc w:val="left"/>
      </w:pPr>
      <w:r>
        <w:rPr>
          <w:rFonts w:ascii="Times New Roman" w:hAnsi="Times New Roman" w:cs="Times New Roman" w:eastAsia="Times New Roman" w:hint="default"/>
        </w:rPr>
        <w:t>1</w:t>
      </w:r>
      <w:r>
        <w:rPr/>
        <w:t>、市场风险</w:t>
      </w:r>
    </w:p>
    <w:p>
      <w:pPr>
        <w:spacing w:line="240" w:lineRule="auto" w:before="9"/>
        <w:rPr>
          <w:rFonts w:ascii="宋体" w:hAnsi="宋体" w:cs="宋体" w:eastAsia="宋体" w:hint="default"/>
          <w:sz w:val="16"/>
          <w:szCs w:val="16"/>
        </w:rPr>
      </w:pPr>
    </w:p>
    <w:p>
      <w:pPr>
        <w:pStyle w:val="BodyText"/>
        <w:spacing w:line="451" w:lineRule="auto"/>
        <w:ind w:left="513" w:right="0"/>
        <w:jc w:val="left"/>
      </w:pPr>
      <w:r>
        <w:rPr/>
        <w:t>（</w:t>
      </w:r>
      <w:r>
        <w:rPr>
          <w:rFonts w:ascii="Times New Roman" w:hAnsi="Times New Roman" w:cs="Times New Roman" w:eastAsia="Times New Roman" w:hint="default"/>
        </w:rPr>
        <w:t>1</w:t>
      </w:r>
      <w:r>
        <w:rPr/>
        <w:t>）外汇风险 </w:t>
      </w:r>
      <w:r>
        <w:rPr>
          <w:spacing w:val="-2"/>
        </w:rPr>
        <w:t>外汇风险指因汇率变动产生损失的风险。公司承受外汇风险主要与美元有关，除公司极少数业务以美元进行结算外，公</w:t>
      </w:r>
    </w:p>
    <w:p>
      <w:pPr>
        <w:pStyle w:val="BodyText"/>
        <w:spacing w:line="451" w:lineRule="auto" w:before="74"/>
        <w:ind w:left="154" w:right="0"/>
        <w:jc w:val="left"/>
      </w:pPr>
      <w:r>
        <w:rPr>
          <w:spacing w:val="-2"/>
        </w:rPr>
        <w:t>司的其他主要业务活动以人民币计价结算。于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日，除下表所述资产及负债为外币余额外，公司其他资产及负债</w:t>
      </w:r>
      <w:r>
        <w:rPr>
          <w:spacing w:val="-58"/>
        </w:rPr>
        <w:t> </w:t>
      </w:r>
      <w:r>
        <w:rPr>
          <w:spacing w:val="-58"/>
        </w:rPr>
      </w:r>
      <w:r>
        <w:rPr/>
        <w:t>均为记账本位币余额。该等外币余额的资产和负债产生的外汇风险可能对公司的经营业绩产生影响。</w:t>
      </w:r>
    </w:p>
    <w:tbl>
      <w:tblPr>
        <w:tblW w:w="0" w:type="auto"/>
        <w:jc w:val="left"/>
        <w:tblInd w:w="786" w:type="dxa"/>
        <w:tblLayout w:type="fixed"/>
        <w:tblCellMar>
          <w:top w:w="0" w:type="dxa"/>
          <w:left w:w="0" w:type="dxa"/>
          <w:bottom w:w="0" w:type="dxa"/>
          <w:right w:w="0" w:type="dxa"/>
        </w:tblCellMar>
        <w:tblLook w:val="01E0"/>
      </w:tblPr>
      <w:tblGrid>
        <w:gridCol w:w="3402"/>
        <w:gridCol w:w="2551"/>
        <w:gridCol w:w="2410"/>
      </w:tblGrid>
      <w:tr>
        <w:trPr>
          <w:trHeight w:val="34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18"/>
                <w:szCs w:val="18"/>
              </w:rPr>
            </w:pPr>
            <w:r>
              <w:rPr>
                <w:rFonts w:ascii="Times New Roman"/>
                <w:sz w:val="18"/>
              </w:rPr>
              <w:t>141,222.91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74"/>
        <w:ind w:left="514" w:right="0"/>
        <w:jc w:val="left"/>
      </w:pPr>
      <w:r>
        <w:rPr/>
        <w:t>公司密切关注汇率变动对公司外汇风险的影响。</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w:t>
      </w:r>
      <w:r>
        <w:rPr>
          <w:rFonts w:ascii="Times New Roman" w:hAnsi="Times New Roman" w:cs="Times New Roman" w:eastAsia="Times New Roman" w:hint="default"/>
        </w:rPr>
        <w:t>2</w:t>
      </w:r>
      <w:r>
        <w:rPr/>
        <w:t>）利率风险－现金流量变动风险</w:t>
      </w:r>
    </w:p>
    <w:p>
      <w:pPr>
        <w:spacing w:after="0" w:line="240"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2033"/>
        <w:jc w:val="left"/>
      </w:pPr>
      <w:r>
        <w:rPr/>
        <w:t>利率风险是指因利率变动引起金融工具现金流量变动的风险，主要与浮动利率银行借款有关。 本公司目前无向金融机构借款，不承担浮动利率风险。</w:t>
      </w:r>
    </w:p>
    <w:p>
      <w:pPr>
        <w:pStyle w:val="BodyText"/>
        <w:spacing w:line="451" w:lineRule="auto" w:before="54"/>
        <w:ind w:left="514" w:right="7882"/>
        <w:jc w:val="left"/>
      </w:pPr>
      <w:r>
        <w:rPr/>
        <w:t>（</w:t>
      </w:r>
      <w:r>
        <w:rPr>
          <w:rFonts w:ascii="Times New Roman" w:hAnsi="Times New Roman" w:cs="Times New Roman" w:eastAsia="Times New Roman" w:hint="default"/>
        </w:rPr>
        <w:t>3</w:t>
      </w:r>
      <w:r>
        <w:rPr/>
        <w:t>）其他价格风险 无</w:t>
      </w:r>
    </w:p>
    <w:p>
      <w:pPr>
        <w:pStyle w:val="BodyText"/>
        <w:spacing w:line="240" w:lineRule="auto" w:before="74"/>
        <w:ind w:left="514" w:right="0"/>
        <w:jc w:val="left"/>
      </w:pPr>
      <w:r>
        <w:rPr>
          <w:rFonts w:ascii="Times New Roman" w:hAnsi="Times New Roman" w:cs="Times New Roman" w:eastAsia="Times New Roman" w:hint="default"/>
        </w:rPr>
        <w:t>2</w:t>
      </w:r>
      <w:r>
        <w:rPr/>
        <w:t>、信用风险</w:t>
      </w:r>
    </w:p>
    <w:p>
      <w:pPr>
        <w:spacing w:line="240" w:lineRule="auto" w:before="9"/>
        <w:rPr>
          <w:rFonts w:ascii="宋体" w:hAnsi="宋体" w:cs="宋体" w:eastAsia="宋体" w:hint="default"/>
          <w:sz w:val="16"/>
          <w:szCs w:val="16"/>
        </w:rPr>
      </w:pPr>
    </w:p>
    <w:p>
      <w:pPr>
        <w:pStyle w:val="BodyText"/>
        <w:spacing w:line="477" w:lineRule="auto"/>
        <w:ind w:left="154" w:right="151" w:firstLine="360"/>
        <w:jc w:val="both"/>
      </w:pP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日，可能引起本公司财务损失的最大信用风险敞口主要来自于合同另一方未能履行义务而导致本公司金融</w:t>
      </w:r>
      <w:r>
        <w:rPr/>
        <w:t> 资产产生的损失以及本公司承担的财务担保，具体包括：合并资产负债表中已确认的金融资产的账面金额。</w:t>
      </w:r>
    </w:p>
    <w:p>
      <w:pPr>
        <w:pStyle w:val="BodyText"/>
        <w:spacing w:line="477" w:lineRule="auto" w:before="54"/>
        <w:ind w:right="153" w:firstLine="360"/>
        <w:jc w:val="both"/>
      </w:pPr>
      <w:r>
        <w:rPr>
          <w:spacing w:val="-2"/>
        </w:rPr>
        <w:t>为降低信用风险，本公司对每项金融资产确定信用额度、进行信用审批，并执行其他监控程序以确保采取必要的措施回</w:t>
      </w:r>
      <w:r>
        <w:rPr/>
        <w:t> </w:t>
      </w:r>
      <w:r>
        <w:rPr>
          <w:spacing w:val="-2"/>
        </w:rPr>
        <w:t>收过期债权。此外，本公司于每个资产负债表日审核每一单项应收款的回收情况，以确保就无法回收的款项计提充分的坏账</w:t>
      </w:r>
      <w:r>
        <w:rPr>
          <w:spacing w:val="-66"/>
        </w:rPr>
        <w:t> </w:t>
      </w:r>
      <w:r>
        <w:rPr>
          <w:spacing w:val="-66"/>
        </w:rPr>
      </w:r>
      <w:r>
        <w:rPr/>
        <w:t>准备。因此，本公司管理层认为本公司所承担的信用风险已经大为降低。</w:t>
      </w:r>
    </w:p>
    <w:p>
      <w:pPr>
        <w:pStyle w:val="BodyText"/>
        <w:spacing w:line="477" w:lineRule="auto" w:before="54"/>
        <w:ind w:left="513" w:right="1673"/>
        <w:jc w:val="left"/>
      </w:pPr>
      <w:r>
        <w:rPr/>
        <w:t>本公司的流动资金存放在信用评级较高的银行，故流动资金的信用风险较低。 本公司采用了必要的政策确保所有销售客户均具有良好的信用记录。本公司无重大信用集中风险。 </w:t>
      </w:r>
      <w:r>
        <w:rPr>
          <w:rFonts w:ascii="Times New Roman" w:hAnsi="Times New Roman" w:cs="Times New Roman" w:eastAsia="Times New Roman" w:hint="default"/>
        </w:rPr>
        <w:t>3</w:t>
      </w:r>
      <w:r>
        <w:rPr/>
        <w:t>、流动风险</w:t>
      </w:r>
    </w:p>
    <w:p>
      <w:pPr>
        <w:pStyle w:val="BodyText"/>
        <w:spacing w:line="477" w:lineRule="auto" w:before="21"/>
        <w:ind w:right="153" w:firstLine="360"/>
        <w:jc w:val="both"/>
      </w:pPr>
      <w:r>
        <w:rPr>
          <w:spacing w:val="-2"/>
        </w:rPr>
        <w:t>管理流动风险时，本公司保持管理层认为充分的现金及现金等价物并对其进行监控，以满足本公司经营需要，并降低现</w:t>
      </w:r>
      <w:r>
        <w:rPr/>
        <w:t> 金流量波动的影响。</w:t>
      </w:r>
    </w:p>
    <w:p>
      <w:pPr>
        <w:pStyle w:val="BodyText"/>
        <w:spacing w:line="240" w:lineRule="auto" w:before="54"/>
        <w:ind w:left="513" w:right="0"/>
        <w:jc w:val="left"/>
      </w:pPr>
      <w:r>
        <w:rPr/>
        <w:t>本公司持有的金融负债按未折现剩余合同义务的到期期限分析如下：</w:t>
      </w:r>
    </w:p>
    <w:p>
      <w:pPr>
        <w:spacing w:line="240" w:lineRule="auto" w:before="10"/>
        <w:rPr>
          <w:rFonts w:ascii="宋体" w:hAnsi="宋体" w:cs="宋体" w:eastAsia="宋体" w:hint="default"/>
          <w:sz w:val="11"/>
          <w:szCs w:val="11"/>
        </w:rPr>
      </w:pPr>
    </w:p>
    <w:tbl>
      <w:tblPr>
        <w:tblW w:w="0" w:type="auto"/>
        <w:jc w:val="left"/>
        <w:tblInd w:w="151" w:type="dxa"/>
        <w:tblLayout w:type="fixed"/>
        <w:tblCellMar>
          <w:top w:w="0" w:type="dxa"/>
          <w:left w:w="0" w:type="dxa"/>
          <w:bottom w:w="0" w:type="dxa"/>
          <w:right w:w="0" w:type="dxa"/>
        </w:tblCellMar>
        <w:tblLook w:val="01E0"/>
      </w:tblPr>
      <w:tblGrid>
        <w:gridCol w:w="4393"/>
        <w:gridCol w:w="4819"/>
      </w:tblGrid>
      <w:tr>
        <w:trPr>
          <w:trHeight w:val="332" w:hRule="exact"/>
        </w:trPr>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r>
      <w:tr>
        <w:trPr>
          <w:trHeight w:val="342" w:hRule="exact"/>
        </w:trPr>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4819" w:type="dxa"/>
            <w:tcBorders>
              <w:top w:val="single" w:sz="8" w:space="0" w:color="000000"/>
              <w:left w:val="single" w:sz="6" w:space="0" w:color="000000"/>
              <w:bottom w:val="single" w:sz="4" w:space="0" w:color="000000"/>
              <w:right w:val="single" w:sz="4" w:space="0" w:color="000000"/>
            </w:tcBorders>
          </w:tcPr>
          <w:p>
            <w:pPr/>
          </w:p>
        </w:tc>
      </w:tr>
      <w:tr>
        <w:trPr>
          <w:trHeight w:val="342" w:hRule="exact"/>
        </w:trPr>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81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37,078,571.65</w:t>
            </w:r>
          </w:p>
        </w:tc>
      </w:tr>
      <w:tr>
        <w:trPr>
          <w:trHeight w:val="342" w:hRule="exact"/>
        </w:trPr>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81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20,500.00</w:t>
            </w:r>
          </w:p>
        </w:tc>
      </w:tr>
      <w:tr>
        <w:trPr>
          <w:trHeight w:val="342" w:hRule="exact"/>
        </w:trPr>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81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6,647,762.03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十一、关联方及关联交易" w:id="281"/>
      <w:bookmarkEnd w:id="281"/>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282"/>
      <w:bookmarkEnd w:id="28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5812"/>
        <w:jc w:val="left"/>
      </w:pPr>
      <w:r>
        <w:rPr/>
        <w:t>本企业的母公司情况的说明 本企业最终控制方是张学君、陈向军、李军。 其他说明：</w:t>
      </w:r>
    </w:p>
    <w:p>
      <w:pPr>
        <w:pStyle w:val="BodyText"/>
        <w:spacing w:line="240" w:lineRule="auto" w:before="54"/>
        <w:ind w:left="514" w:right="0"/>
        <w:jc w:val="left"/>
      </w:pPr>
      <w:r>
        <w:rPr/>
        <w:t>张学君、陈向军、李军三人以一致行动的方式对公司实施共同控制，为本公司控股股东和实际控制人。</w:t>
      </w:r>
    </w:p>
    <w:p>
      <w:pPr>
        <w:spacing w:after="0" w:line="240" w:lineRule="auto"/>
        <w:jc w:val="left"/>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本企业的子公司情况" w:id="283"/>
      <w:bookmarkEnd w:id="28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本企业子公司的情况详见附注八、</w:t>
      </w:r>
      <w:r>
        <w:rPr>
          <w:rFonts w:ascii="Times New Roman" w:hAnsi="Times New Roman" w:cs="Times New Roman" w:eastAsia="Times New Roman" w:hint="default"/>
        </w:rPr>
        <w:t>1</w:t>
      </w:r>
      <w:r>
        <w:rPr/>
        <w:t>、在子公司中的权益。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3、本企业合营和联营企业情况" w:id="284"/>
      <w:bookmarkEnd w:id="28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本企业重要的合营或联营企业详见附注八、</w:t>
      </w:r>
      <w:r>
        <w:rPr>
          <w:rFonts w:ascii="Times New Roman" w:hAnsi="Times New Roman" w:cs="Times New Roman" w:eastAsia="Times New Roman" w:hint="default"/>
        </w:rPr>
        <w:t>3</w:t>
      </w:r>
      <w:r>
        <w:rPr/>
        <w:t>、在合营企业或联营企业中的权益</w:t>
      </w:r>
      <w:r>
        <w:rPr>
          <w:spacing w:val="-90"/>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4、关联交易情况" w:id="285"/>
      <w:bookmarkEnd w:id="285"/>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286"/>
      <w:bookmarkEnd w:id="28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19,247.00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0"/>
        <w:rPr>
          <w:rFonts w:ascii="宋体" w:hAnsi="宋体" w:cs="宋体" w:eastAsia="宋体" w:hint="default"/>
          <w:sz w:val="15"/>
          <w:szCs w:val="15"/>
        </w:rPr>
      </w:pPr>
    </w:p>
    <w:p>
      <w:pPr>
        <w:pStyle w:val="BodyText"/>
        <w:spacing w:line="240" w:lineRule="auto" w:before="44"/>
        <w:ind w:left="154" w:right="0"/>
        <w:jc w:val="left"/>
      </w:pPr>
      <w:r>
        <w:rPr/>
        <w:t>出售商品</w:t>
      </w:r>
      <w:r>
        <w:rPr>
          <w:rFonts w:ascii="Times New Roman" w:hAnsi="Times New Roman" w:cs="Times New Roman" w:eastAsia="Times New Roman" w:hint="default"/>
        </w:rPr>
        <w:t>/</w:t>
      </w:r>
      <w:r>
        <w:rPr/>
        <w:t>提供劳务情况表</w:t>
      </w:r>
    </w:p>
    <w:p>
      <w:pPr>
        <w:spacing w:line="240" w:lineRule="auto" w:before="9"/>
        <w:rPr>
          <w:rFonts w:ascii="宋体" w:hAnsi="宋体" w:cs="宋体" w:eastAsia="宋体" w:hint="default"/>
          <w:sz w:val="10"/>
          <w:szCs w:val="10"/>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82"/>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深圳票联金融服务有限公司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4"/>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1" w:right="0"/>
              <w:jc w:val="left"/>
              <w:rPr>
                <w:rFonts w:ascii="Times New Roman" w:hAnsi="Times New Roman" w:cs="Times New Roman" w:eastAsia="Times New Roman" w:hint="default"/>
                <w:sz w:val="18"/>
                <w:szCs w:val="18"/>
              </w:rPr>
            </w:pPr>
            <w:r>
              <w:rPr>
                <w:rFonts w:ascii="Times New Roman"/>
                <w:sz w:val="18"/>
              </w:rPr>
              <w:t>5,498,274.00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联方应收应付款项" w:id="287"/>
      <w:bookmarkEnd w:id="287"/>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288"/>
      <w:bookmarkEnd w:id="28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深圳票联金融服务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5,498,274.00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北京华道征信有限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19,247.00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股份支付" w:id="289"/>
      <w:bookmarkEnd w:id="289"/>
      <w:r>
        <w:rPr>
          <w:b w:val="0"/>
          <w:bCs w:val="0"/>
        </w:rPr>
      </w:r>
      <w:r>
        <w:rPr/>
        <w:t>十二、股份支付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支付总体情况" w:id="290"/>
      <w:bookmarkEnd w:id="290"/>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公司发行在外激励计划股票期权数量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万份，行权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价格为 </w:t>
            </w:r>
            <w:r>
              <w:rPr>
                <w:rFonts w:ascii="Times New Roman" w:hAnsi="Times New Roman" w:cs="Times New Roman" w:eastAsia="Times New Roman" w:hint="default"/>
                <w:sz w:val="18"/>
                <w:szCs w:val="18"/>
              </w:rPr>
              <w:t>5.67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2、以权益结算的股份支付情况" w:id="291"/>
      <w:bookmarkEnd w:id="29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经授予时评估确定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激励对象期末在职情况</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无重大差异</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1,841,678.95</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1,841,678.95</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14"/>
          <w:szCs w:val="14"/>
        </w:rPr>
      </w:pPr>
    </w:p>
    <w:p>
      <w:pPr>
        <w:pStyle w:val="BodyText"/>
        <w:spacing w:line="451" w:lineRule="auto"/>
        <w:ind w:right="150" w:firstLine="360"/>
        <w:jc w:val="both"/>
      </w:pPr>
      <w:r>
        <w:rPr>
          <w:spacing w:val="-4"/>
        </w:rPr>
        <w:t>公司于</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20</w:t>
      </w:r>
      <w:r>
        <w:rPr>
          <w:spacing w:val="-4"/>
        </w:rPr>
        <w:t>日第二届董事会第十八次会议审议通过了《关于调整股权激励对象名单及授予数量的议案》以及《关</w:t>
      </w:r>
      <w:r>
        <w:rPr/>
        <w:t> 于向激励对象授予股票期权与限制性股票的议案》，授予</w:t>
      </w:r>
      <w:r>
        <w:rPr>
          <w:rFonts w:ascii="Times New Roman" w:hAnsi="Times New Roman" w:cs="Times New Roman" w:eastAsia="Times New Roman" w:hint="default"/>
        </w:rPr>
        <w:t>28</w:t>
      </w:r>
      <w:r>
        <w:rPr/>
        <w:t>名激励对象</w:t>
      </w:r>
      <w:r>
        <w:rPr>
          <w:rFonts w:ascii="Times New Roman" w:hAnsi="Times New Roman" w:cs="Times New Roman" w:eastAsia="Times New Roman" w:hint="default"/>
        </w:rPr>
        <w:t>133</w:t>
      </w:r>
      <w:r>
        <w:rPr/>
        <w:t>万股限制性股票和</w:t>
      </w:r>
      <w:r>
        <w:rPr>
          <w:rFonts w:ascii="Times New Roman" w:hAnsi="Times New Roman" w:cs="Times New Roman" w:eastAsia="Times New Roman" w:hint="default"/>
        </w:rPr>
        <w:t>32</w:t>
      </w:r>
      <w:r>
        <w:rPr/>
        <w:t>万份股票期权。由于</w:t>
      </w:r>
      <w:r>
        <w:rPr>
          <w:rFonts w:ascii="Times New Roman" w:hAnsi="Times New Roman" w:cs="Times New Roman" w:eastAsia="Times New Roman" w:hint="default"/>
        </w:rPr>
        <w:t>2013</w:t>
      </w:r>
      <w:r>
        <w:rPr/>
        <w:t>年 公司未达到《限制性股票激励计划（修订案）》规定的业绩考核目标，本报告期回购注销尚未解锁限制性股票</w:t>
      </w:r>
      <w:r>
        <w:rPr>
          <w:rFonts w:ascii="Times New Roman" w:hAnsi="Times New Roman" w:cs="Times New Roman" w:eastAsia="Times New Roman" w:hint="default"/>
        </w:rPr>
        <w:t>102</w:t>
      </w:r>
      <w:r>
        <w:rPr>
          <w:rFonts w:ascii="Times New Roman" w:hAnsi="Times New Roman" w:cs="Times New Roman" w:eastAsia="Times New Roman" w:hint="default"/>
          <w:spacing w:val="-20"/>
        </w:rPr>
        <w:t> </w:t>
      </w:r>
      <w:r>
        <w:rPr>
          <w:spacing w:val="-3"/>
        </w:rPr>
        <w:t>万股。公</w:t>
      </w:r>
      <w:r>
        <w:rPr/>
        <w:t> </w:t>
      </w:r>
      <w:r>
        <w:rPr>
          <w:spacing w:val="-4"/>
        </w:rPr>
        <w:t>司</w:t>
      </w:r>
      <w:r>
        <w:rPr>
          <w:rFonts w:ascii="Times New Roman" w:hAnsi="Times New Roman" w:cs="Times New Roman" w:eastAsia="Times New Roman" w:hint="default"/>
          <w:spacing w:val="-4"/>
        </w:rPr>
        <w:t>2014</w:t>
      </w:r>
      <w:r>
        <w:rPr>
          <w:spacing w:val="-4"/>
        </w:rPr>
        <w:t>年业绩考核要求为：以</w:t>
      </w:r>
      <w:r>
        <w:rPr>
          <w:rFonts w:ascii="Times New Roman" w:hAnsi="Times New Roman" w:cs="Times New Roman" w:eastAsia="Times New Roman" w:hint="default"/>
          <w:spacing w:val="-4"/>
        </w:rPr>
        <w:t>2012</w:t>
      </w:r>
      <w:r>
        <w:rPr>
          <w:spacing w:val="-4"/>
        </w:rPr>
        <w:t>年的净利润和营业收入为基数，公司</w:t>
      </w:r>
      <w:r>
        <w:rPr>
          <w:rFonts w:ascii="Times New Roman" w:hAnsi="Times New Roman" w:cs="Times New Roman" w:eastAsia="Times New Roman" w:hint="default"/>
          <w:spacing w:val="-4"/>
        </w:rPr>
        <w:t>2014</w:t>
      </w:r>
      <w:r>
        <w:rPr>
          <w:spacing w:val="-4"/>
        </w:rPr>
        <w:t>年净利润较</w:t>
      </w:r>
      <w:r>
        <w:rPr>
          <w:rFonts w:ascii="Times New Roman" w:hAnsi="Times New Roman" w:cs="Times New Roman" w:eastAsia="Times New Roman" w:hint="default"/>
          <w:spacing w:val="-4"/>
        </w:rPr>
        <w:t>2012</w:t>
      </w:r>
      <w:r>
        <w:rPr>
          <w:spacing w:val="-4"/>
        </w:rPr>
        <w:t>年增长分别不低于</w:t>
      </w:r>
      <w:r>
        <w:rPr>
          <w:rFonts w:ascii="Times New Roman" w:hAnsi="Times New Roman" w:cs="Times New Roman" w:eastAsia="Times New Roman" w:hint="default"/>
          <w:spacing w:val="-4"/>
        </w:rPr>
        <w:t>65%</w:t>
      </w:r>
      <w:r>
        <w:rPr>
          <w:spacing w:val="-4"/>
        </w:rPr>
        <w:t>；公司</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4"/>
        </w:rPr>
        <w:t> </w:t>
      </w:r>
      <w:r>
        <w:rPr/>
        <w:t>年营业收入较</w:t>
      </w:r>
      <w:r>
        <w:rPr>
          <w:rFonts w:ascii="Times New Roman" w:hAnsi="Times New Roman" w:cs="Times New Roman" w:eastAsia="Times New Roman" w:hint="default"/>
        </w:rPr>
        <w:t>2012</w:t>
      </w:r>
      <w:r>
        <w:rPr/>
        <w:t>年增长不低于</w:t>
      </w:r>
      <w:r>
        <w:rPr>
          <w:rFonts w:ascii="Times New Roman" w:hAnsi="Times New Roman" w:cs="Times New Roman" w:eastAsia="Times New Roman" w:hint="default"/>
        </w:rPr>
        <w:t>25%</w:t>
      </w:r>
      <w:r>
        <w:rPr/>
        <w:t>。</w:t>
      </w:r>
    </w:p>
    <w:p>
      <w:pPr>
        <w:pStyle w:val="BodyText"/>
        <w:spacing w:line="451" w:lineRule="auto" w:before="43"/>
        <w:ind w:right="152" w:firstLine="360"/>
        <w:jc w:val="both"/>
      </w:pPr>
      <w:r>
        <w:rPr>
          <w:rFonts w:ascii="Times New Roman" w:hAnsi="Times New Roman" w:cs="Times New Roman" w:eastAsia="Times New Roman" w:hint="default"/>
          <w:spacing w:val="-2"/>
        </w:rPr>
        <w:t>2014</w:t>
      </w:r>
      <w:r>
        <w:rPr>
          <w:spacing w:val="-2"/>
        </w:rPr>
        <w:t>年公司达到《限制性股票激励计划（修订案）》规定的业绩考核目标，该股权激励计划影响公司本报告期的财务状</w:t>
      </w:r>
      <w:r>
        <w:rPr/>
        <w:t> 况和经营成果金额为人民币</w:t>
      </w:r>
      <w:r>
        <w:rPr>
          <w:rFonts w:ascii="Times New Roman" w:hAnsi="Times New Roman" w:cs="Times New Roman" w:eastAsia="Times New Roman" w:hint="default"/>
        </w:rPr>
        <w:t>1,841,678.95</w:t>
      </w:r>
      <w:r>
        <w:rPr/>
        <w:t>元。</w:t>
      </w:r>
    </w:p>
    <w:p>
      <w:pPr>
        <w:spacing w:line="240" w:lineRule="auto" w:before="6"/>
        <w:rPr>
          <w:rFonts w:ascii="宋体" w:hAnsi="宋体" w:cs="宋体" w:eastAsia="宋体" w:hint="default"/>
          <w:sz w:val="18"/>
          <w:szCs w:val="18"/>
        </w:rPr>
      </w:pPr>
    </w:p>
    <w:p>
      <w:pPr>
        <w:pStyle w:val="Heading3"/>
        <w:spacing w:line="240" w:lineRule="auto"/>
        <w:ind w:left="153" w:right="0"/>
        <w:jc w:val="left"/>
        <w:rPr>
          <w:b w:val="0"/>
          <w:bCs w:val="0"/>
        </w:rPr>
      </w:pPr>
      <w:bookmarkStart w:name="3、以现金结算的股份支付情况" w:id="292"/>
      <w:bookmarkEnd w:id="292"/>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股份支付的修改、终止情况" w:id="293"/>
      <w:bookmarkEnd w:id="293"/>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其他" w:id="294"/>
      <w:bookmarkEnd w:id="294"/>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t>无。</w:t>
      </w:r>
    </w:p>
    <w:p>
      <w:pPr>
        <w:spacing w:after="0" w:line="240" w:lineRule="auto"/>
        <w:jc w:val="left"/>
        <w:sectPr>
          <w:pgSz w:w="11910" w:h="16840"/>
          <w:pgMar w:header="87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left="154" w:right="0"/>
        <w:jc w:val="left"/>
        <w:rPr>
          <w:b w:val="0"/>
          <w:bCs w:val="0"/>
        </w:rPr>
      </w:pPr>
      <w:bookmarkStart w:name="十三、承诺及或有事项" w:id="295"/>
      <w:bookmarkEnd w:id="295"/>
      <w:r>
        <w:rPr>
          <w:b w:val="0"/>
          <w:bCs w:val="0"/>
        </w:rPr>
      </w: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296"/>
      <w:bookmarkEnd w:id="296"/>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4732"/>
        <w:jc w:val="left"/>
      </w:pPr>
      <w:r>
        <w:rPr/>
        <w:t>资产负债表日存在的重要承诺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bookmarkStart w:name="2、或有事项" w:id="297"/>
      <w:bookmarkEnd w:id="29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298"/>
      <w:bookmarkEnd w:id="298"/>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2）公司没有需要披露的重要或有事项，也应予以说明" w:id="299"/>
      <w:bookmarkEnd w:id="29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bookmarkStart w:name="十四、资产负债表日后事项" w:id="300"/>
      <w:bookmarkEnd w:id="300"/>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利润分配情况" w:id="301"/>
      <w:bookmarkEnd w:id="301"/>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7,881,666.57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7,881,666.57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资产负债表日后事项说明" w:id="302"/>
      <w:bookmarkEnd w:id="302"/>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截至本财务报表签发日（董事会批准报出日），本公司不存在应披露的资产负债表日后事项。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bookmarkStart w:name="十五、母公司财务报表主要项目注释" w:id="303"/>
      <w:bookmarkEnd w:id="303"/>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304"/>
      <w:bookmarkEnd w:id="30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305"/>
      <w:bookmarkEnd w:id="30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119,955,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767.33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11,460,8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74.86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108,494,8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92.47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100,409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,846.85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8,941,741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91,468,105.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119,955,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767.33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11,460,8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74.86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108,494,8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92.47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100,409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,846.85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8,941,741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91,468,105.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880" w:bottom="28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72,424,955.51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3,621,247.78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30,922,729.45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3,092,272.94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11,855,623.50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2,371,124.70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4,752,458.87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2,376,229.44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119,955,767.33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11,460,874.86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9.55%</w:t>
            </w:r>
          </w:p>
        </w:tc>
      </w:tr>
    </w:tbl>
    <w:p>
      <w:pPr>
        <w:pStyle w:val="BodyText"/>
        <w:spacing w:line="240" w:lineRule="auto" w:before="51"/>
        <w:ind w:left="154" w:right="0"/>
        <w:jc w:val="left"/>
      </w:pPr>
      <w:r>
        <w:rPr/>
        <w:t>组合中，采用余额百分比法计提坏账准备的应收账款：</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306"/>
      <w:bookmarkEnd w:id="30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本期计提坏账准备金额</w:t>
      </w:r>
      <w:r>
        <w:rPr>
          <w:rFonts w:ascii="Times New Roman" w:hAnsi="Times New Roman" w:cs="Times New Roman" w:eastAsia="Times New Roman" w:hint="default"/>
        </w:rPr>
        <w:t>2,519,133.75</w:t>
      </w:r>
      <w:r>
        <w:rPr/>
        <w:t>元；本期收回或转回坏账准备金额</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3）按欠款方归集的期末余额前五吊的应收账款情况" w:id="307"/>
      <w:bookmarkEnd w:id="30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54" w:right="0" w:firstLine="360"/>
        <w:jc w:val="left"/>
      </w:pPr>
      <w:r>
        <w:rPr>
          <w:spacing w:val="-1"/>
        </w:rPr>
        <w:t>本公司本年按欠款方归集的年末余额前五名应收账款汇总金额为人民币</w:t>
      </w:r>
      <w:r>
        <w:rPr>
          <w:rFonts w:ascii="Times New Roman" w:hAnsi="Times New Roman" w:cs="Times New Roman" w:eastAsia="Times New Roman" w:hint="default"/>
          <w:spacing w:val="-1"/>
        </w:rPr>
        <w:t>20,053,422.50</w:t>
      </w:r>
      <w:r>
        <w:rPr>
          <w:spacing w:val="-1"/>
        </w:rPr>
        <w:t>元，占应收账款年末余额合计数的</w:t>
      </w:r>
      <w:r>
        <w:rPr/>
        <w:t> 比例</w:t>
      </w:r>
      <w:r>
        <w:rPr>
          <w:rFonts w:ascii="Times New Roman" w:hAnsi="Times New Roman" w:cs="Times New Roman" w:eastAsia="Times New Roman" w:hint="default"/>
        </w:rPr>
        <w:t>16.72%</w:t>
      </w:r>
      <w:r>
        <w:rPr/>
        <w:t>，相应计提的坏账准备年末余额汇总金额为人民币</w:t>
      </w:r>
      <w:r>
        <w:rPr>
          <w:rFonts w:ascii="Times New Roman" w:hAnsi="Times New Roman" w:cs="Times New Roman" w:eastAsia="Times New Roman" w:hint="default"/>
        </w:rPr>
        <w:t>1,323,267.03</w:t>
      </w:r>
      <w:r>
        <w:rPr/>
        <w:t>元。</w:t>
      </w:r>
    </w:p>
    <w:p>
      <w:pPr>
        <w:spacing w:line="240" w:lineRule="auto" w:before="6"/>
        <w:rPr>
          <w:rFonts w:ascii="宋体" w:hAnsi="宋体" w:cs="宋体" w:eastAsia="宋体" w:hint="default"/>
          <w:sz w:val="18"/>
          <w:szCs w:val="18"/>
        </w:rPr>
      </w:pPr>
    </w:p>
    <w:p>
      <w:pPr>
        <w:pStyle w:val="Heading3"/>
        <w:spacing w:line="240" w:lineRule="auto"/>
        <w:ind w:left="153" w:right="0"/>
        <w:jc w:val="left"/>
        <w:rPr>
          <w:b w:val="0"/>
          <w:bCs w:val="0"/>
        </w:rPr>
      </w:pPr>
      <w:bookmarkStart w:name="2、其他应收款" w:id="308"/>
      <w:bookmarkEnd w:id="30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309"/>
      <w:bookmarkEnd w:id="30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880" w:bottom="2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7,056,54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546,907.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6,509,634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8,734,9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27.31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703,615.6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8,031,311.6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7,056,54</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1.79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546,907.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6,509,634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8,734,9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27.31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703,615.6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8.06%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8,031,311.6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880" w:bottom="280" w:left="980" w:right="980"/>
          <w:cols w:num="2" w:equalWidth="0">
            <w:col w:w="4475" w:space="4355"/>
            <w:col w:w="112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5,150,022.79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207,501.14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1,287,134.00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128,713.40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289,385.00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144,692.50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7,056,541.79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546,907.04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w:t>
            </w:r>
          </w:p>
        </w:tc>
      </w:tr>
    </w:tbl>
    <w:p>
      <w:pPr>
        <w:pStyle w:val="BodyText"/>
        <w:spacing w:line="240" w:lineRule="auto" w:before="51"/>
        <w:ind w:left="154" w:right="0"/>
        <w:jc w:val="left"/>
      </w:pPr>
      <w:r>
        <w:rPr/>
        <w:t>组合中，采用余额百分比法计提坏账准备的其他应收款：</w:t>
      </w:r>
    </w:p>
    <w:p>
      <w:pPr>
        <w:pStyle w:val="BodyText"/>
        <w:spacing w:line="338" w:lineRule="auto" w:before="117"/>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310"/>
      <w:bookmarkEnd w:id="3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4" w:right="0"/>
        <w:jc w:val="left"/>
      </w:pPr>
      <w:r>
        <w:rPr/>
        <w:t>本期计提坏账准备金额</w:t>
      </w:r>
      <w:r>
        <w:rPr>
          <w:rFonts w:ascii="Times New Roman" w:hAnsi="Times New Roman" w:cs="Times New Roman" w:eastAsia="Times New Roman" w:hint="default"/>
        </w:rPr>
        <w:t>0.00</w:t>
      </w:r>
      <w:r>
        <w:rPr/>
        <w:t>元；本期收回或转回坏账准备金额</w:t>
      </w:r>
      <w:r>
        <w:rPr>
          <w:rFonts w:ascii="Times New Roman" w:hAnsi="Times New Roman" w:cs="Times New Roman" w:eastAsia="Times New Roman" w:hint="default"/>
        </w:rPr>
        <w:t>156,708.62</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3）其他应收款按款项性质分类情况" w:id="311"/>
      <w:bookmarkEnd w:id="31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1,373,758.70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1,512,612.11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2,411,129.00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3,262,044.00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1,115,181.16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1,058,252.78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办事处借款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883,422.89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2,690,275.66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273,050.04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211,742.76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7,056,541.79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8,734,927.31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312"/>
      <w:bookmarkEnd w:id="31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559"/>
        <w:gridCol w:w="1094"/>
        <w:gridCol w:w="1614"/>
        <w:gridCol w:w="161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海口农村商业银行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一至两年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深圳市科安数字有限公司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北京豪威大厦有限公司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338,181.06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16,909.05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冯苏军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322,519.68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16,125.98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江苏万佳科技开发有限公司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207,646.50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10,382.33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2,968,347.24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203,417.36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13"/>
      <w:bookmarkEnd w:id="31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307,999,976.37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307,999,976.37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26,098,078.05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26,098,078.05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24,897,990.65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24,897,990.65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334,098,054.42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334,098,054.42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28,897,990.65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28,897,990.65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14"/>
      <w:bookmarkEnd w:id="31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深圳市银之杰金 融设备有限公司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深圳市银之杰技 术开发有限公司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北京亿美软通科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299,999,976.37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299,999,976.37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深圳市科安数字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38"/>
        <w:gridCol w:w="1348"/>
        <w:gridCol w:w="1336"/>
        <w:gridCol w:w="1334"/>
        <w:gridCol w:w="1336"/>
        <w:gridCol w:w="1389"/>
        <w:gridCol w:w="1390"/>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3" w:right="0"/>
              <w:jc w:val="left"/>
              <w:rPr>
                <w:rFonts w:ascii="Times New Roman" w:hAnsi="Times New Roman" w:cs="Times New Roman" w:eastAsia="Times New Roman" w:hint="default"/>
                <w:sz w:val="18"/>
                <w:szCs w:val="18"/>
              </w:rPr>
            </w:pPr>
            <w:r>
              <w:rPr>
                <w:rFonts w:ascii="Times New Roman"/>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303,999,976.37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307,999,976.37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15"/>
      <w:bookmarkEnd w:id="31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106,438,962.89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67,761,932.38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107,517,941.86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61,426,718.54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3,922,979.36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1,157,844.48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8,065,389.91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6,666,443.71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110,361,942.25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68,919,776.86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115,583,331.77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68,093,162.25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5、投资收益" w:id="316"/>
      <w:bookmarkEnd w:id="31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-1,249,912.60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-2,009.35</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18,250,087.40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6,497,990.65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317"/>
      <w:bookmarkEnd w:id="317"/>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18"/>
      <w:bookmarkEnd w:id="31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-8,993.70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372,700.00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35,921.60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328,084.70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净资产收益率及每股收益" w:id="319"/>
      <w:bookmarkEnd w:id="31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0.1125</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0.1116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4"/>
                <w:sz w:val="18"/>
              </w:rPr>
              <w:t>0.1111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会计政策变更相关补充资料" w:id="320"/>
      <w:bookmarkEnd w:id="320"/>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right="1313"/>
        <w:jc w:val="center"/>
        <w:rPr>
          <w:b w:val="0"/>
          <w:bCs w:val="0"/>
        </w:rPr>
      </w:pPr>
      <w:bookmarkStart w:name="第十节 备查文件目录" w:id="321"/>
      <w:bookmarkEnd w:id="321"/>
      <w:r>
        <w:rPr>
          <w:b w:val="0"/>
          <w:bCs w:val="0"/>
        </w:rPr>
      </w:r>
      <w:bookmarkStart w:name="_bookmark9" w:id="322"/>
      <w:bookmarkEnd w:id="322"/>
      <w:r>
        <w:rPr>
          <w:b w:val="0"/>
          <w:bCs w:val="0"/>
        </w:rPr>
      </w:r>
      <w:r>
        <w:rPr/>
        <w:t>第十节</w:t>
      </w:r>
      <w:r>
        <w:rPr>
          <w:spacing w:val="-7"/>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5"/>
        <w:ind w:left="514" w:right="0"/>
        <w:jc w:val="left"/>
      </w:pPr>
      <w:r>
        <w:rPr>
          <w:rFonts w:ascii="Times New Roman" w:hAnsi="Times New Roman" w:cs="Times New Roman" w:eastAsia="Times New Roman" w:hint="default"/>
        </w:rPr>
        <w:t>1</w:t>
      </w:r>
      <w:r>
        <w:rPr/>
        <w:t>．载有公司法定代表人陈向军、主管会计工作负责人许秋江、会计机构负责人张春雷签名并盖章的财务报表。</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w:t>
      </w:r>
      <w:r>
        <w:rPr/>
        <w:t>．载有瑞华会计师事务所盖章、注册会计师梅月欣、蒙世权签名并盖章的审计报告原件。</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3</w:t>
      </w:r>
      <w:r>
        <w:rPr/>
        <w:t>．载有公司董事长陈向军签名的公司</w:t>
      </w:r>
      <w:r>
        <w:rPr>
          <w:rFonts w:ascii="Times New Roman" w:hAnsi="Times New Roman" w:cs="Times New Roman" w:eastAsia="Times New Roman" w:hint="default"/>
        </w:rPr>
        <w:t>2014</w:t>
      </w:r>
      <w:r>
        <w:rPr/>
        <w:t>年年度报告。</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4</w:t>
      </w:r>
      <w:r>
        <w:rPr/>
        <w:t>．报告期内公司在中国证监会指定网站上公开披露过的所有文件的正本及公告的原件。</w:t>
      </w:r>
    </w:p>
    <w:p>
      <w:pPr>
        <w:spacing w:line="240" w:lineRule="auto" w:before="9"/>
        <w:rPr>
          <w:rFonts w:ascii="宋体" w:hAnsi="宋体" w:cs="宋体" w:eastAsia="宋体" w:hint="default"/>
          <w:sz w:val="16"/>
          <w:szCs w:val="16"/>
        </w:rPr>
      </w:pPr>
    </w:p>
    <w:p>
      <w:pPr>
        <w:pStyle w:val="BodyText"/>
        <w:spacing w:line="451" w:lineRule="auto"/>
        <w:ind w:left="513" w:right="201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其他有关资料。 以上备查文件的备置地点：深圳市福田区天安数码城天祥大厦</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10A</w:t>
      </w:r>
      <w:r>
        <w:rPr/>
        <w:t>，公司董事会办公室。</w:t>
      </w:r>
    </w:p>
    <w:sectPr>
      <w:pgSz w:w="11910" w:h="16840"/>
      <w:pgMar w:header="87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81.957947pt;width:8.5pt;height:11pt;mso-position-horizontal-relative:page;mso-position-vertical-relative:page;z-index:-756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81.957947pt;width:17.5pt;height:11pt;mso-position-horizontal-relative:page;mso-position-vertical-relative:page;z-index:-755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81.957947pt;width:13pt;height:11pt;mso-position-horizontal-relative:page;mso-position-vertical-relative:page;z-index:-756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81.957947pt;width:13pt;height:11pt;mso-position-horizontal-relative:page;mso-position-vertical-relative:page;z-index:-756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81.957947pt;width:13pt;height:11pt;mso-position-horizontal-relative:page;mso-position-vertical-relative:page;z-index:-756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81.957947pt;width:13pt;height:11pt;mso-position-horizontal-relative:page;mso-position-vertical-relative:page;z-index:-756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81.957947pt;width:13pt;height:11pt;mso-position-horizontal-relative:page;mso-position-vertical-relative:page;z-index:-756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81.957947pt;width:13pt;height:11pt;mso-position-horizontal-relative:page;mso-position-vertical-relative:page;z-index:-756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81.957947pt;width:13pt;height:11pt;mso-position-horizontal-relative:page;mso-position-vertical-relative:page;z-index:-756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0013pt;margin-top:781.957947pt;width:15.5pt;height:11pt;mso-position-horizontal-relative:page;mso-position-vertical-relative:page;z-index:-7560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75625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160004pt;margin-top:42.865608pt;width:213.55pt;height:11.5pt;mso-position-horizontal-relative:page;mso-position-vertical-relative:page;z-index:-756232" type="#_x0000_t202" filled="false" stroked="false">
          <v:textbox inset="0,0,0,0">
            <w:txbxContent>
              <w:p>
                <w:pPr>
                  <w:pStyle w:val="BodyText"/>
                  <w:spacing w:line="214" w:lineRule="exact"/>
                  <w:ind w:left="20" w:right="0"/>
                  <w:jc w:val="left"/>
                </w:pPr>
                <w:r>
                  <w:rPr/>
                  <w:t>深圳市银之杰科技股份有限公司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31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yinzhijie.com/" TargetMode="External"/><Relationship Id="rId9" Type="http://schemas.openxmlformats.org/officeDocument/2006/relationships/hyperlink" Target="mailto:invest@yinzhijie.com" TargetMode="External"/><Relationship Id="rId10" Type="http://schemas.openxmlformats.org/officeDocument/2006/relationships/hyperlink" Target="mailto:liuyi@yinzhijie.com" TargetMode="External"/><Relationship Id="rId11" Type="http://schemas.openxmlformats.org/officeDocument/2006/relationships/hyperlink" Target="mailto:linli@yinzhijie.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www.cninfo.c/" TargetMode="External"/><Relationship Id="rId17" Type="http://schemas.openxmlformats.org/officeDocument/2006/relationships/image" Target="media/image2.png"/><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2020-05-06T18:43:17Z</dcterms:created>
  <dcterms:modified xsi:type="dcterms:W3CDTF">2020-05-06T18:43:17Z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Microsoft® Office Word 2007</vt:lpwstr>
  </property>
  <property fmtid="{D5CDD505-2E9C-101B-9397-08002B2CF9AE}" pid="4" name="LastSaved">
    <vt:filetime>2020-05-06T00:00:00Z</vt:filetime>
  </property>
</Properties>
</file>