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p>
      <w:pPr>
        <w:spacing w:line="932" w:lineRule="exact"/>
        <w:ind w:left="212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740544" cy="59207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40544" cy="592074"/>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620" w:lineRule="exact" w:before="0"/>
        <w:ind w:left="612" w:right="612" w:firstLine="0"/>
        <w:jc w:val="center"/>
        <w:rPr>
          <w:rFonts w:ascii="黑体" w:hAnsi="黑体" w:cs="黑体" w:eastAsia="黑体" w:hint="default"/>
          <w:sz w:val="52"/>
          <w:szCs w:val="52"/>
        </w:rPr>
      </w:pPr>
      <w:r>
        <w:rPr>
          <w:rFonts w:ascii="黑体" w:hAnsi="黑体" w:cs="黑体" w:eastAsia="黑体" w:hint="default"/>
          <w:sz w:val="52"/>
          <w:szCs w:val="52"/>
        </w:rPr>
        <w:t>深圳市银之杰科技股份有限公司</w:t>
      </w:r>
    </w:p>
    <w:p>
      <w:pPr>
        <w:spacing w:before="198"/>
        <w:ind w:left="612" w:right="609" w:firstLine="0"/>
        <w:jc w:val="center"/>
        <w:rPr>
          <w:rFonts w:ascii="Times New Roman" w:hAnsi="Times New Roman" w:cs="Times New Roman" w:eastAsia="Times New Roman" w:hint="default"/>
          <w:sz w:val="30"/>
          <w:szCs w:val="30"/>
        </w:rPr>
      </w:pPr>
      <w:r>
        <w:rPr>
          <w:rFonts w:ascii="Times New Roman"/>
          <w:b/>
          <w:sz w:val="30"/>
        </w:rPr>
        <w:t>SHENZHEN INFOGEM TECHNOLOGIES CO.,</w:t>
      </w:r>
      <w:r>
        <w:rPr>
          <w:rFonts w:ascii="Times New Roman"/>
          <w:b/>
          <w:spacing w:val="-3"/>
          <w:sz w:val="30"/>
        </w:rPr>
        <w:t> </w:t>
      </w:r>
      <w:r>
        <w:rPr>
          <w:rFonts w:ascii="Times New Roman"/>
          <w:b/>
          <w:spacing w:val="-8"/>
          <w:sz w:val="30"/>
        </w:rPr>
        <w:t>LTD.</w:t>
      </w:r>
      <w:r>
        <w:rPr>
          <w:rFonts w:ascii="Times New Roman"/>
          <w:spacing w:val="-8"/>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6"/>
        <w:rPr>
          <w:rFonts w:ascii="Times New Roman" w:hAnsi="Times New Roman" w:cs="Times New Roman" w:eastAsia="Times New Roman" w:hint="default"/>
          <w:b/>
          <w:bCs/>
          <w:sz w:val="33"/>
          <w:szCs w:val="33"/>
        </w:rPr>
      </w:pPr>
    </w:p>
    <w:p>
      <w:pPr>
        <w:spacing w:before="0"/>
        <w:ind w:left="612" w:right="611" w:firstLine="0"/>
        <w:jc w:val="center"/>
        <w:rPr>
          <w:rFonts w:ascii="黑体" w:hAnsi="黑体" w:cs="黑体" w:eastAsia="黑体" w:hint="default"/>
          <w:sz w:val="52"/>
          <w:szCs w:val="52"/>
        </w:rPr>
      </w:pPr>
      <w:r>
        <w:rPr>
          <w:rFonts w:ascii="黑体" w:hAnsi="黑体" w:cs="黑体" w:eastAsia="黑体" w:hint="default"/>
          <w:sz w:val="52"/>
          <w:szCs w:val="52"/>
        </w:rPr>
        <w:t>2015</w:t>
      </w:r>
      <w:r>
        <w:rPr>
          <w:rFonts w:ascii="黑体" w:hAnsi="黑体" w:cs="黑体" w:eastAsia="黑体" w:hint="default"/>
          <w:spacing w:val="-134"/>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440"/>
        <w:ind w:left="612" w:right="6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790" w:right="2866"/>
        <w:jc w:val="center"/>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left="153" w:right="228" w:firstLine="482"/>
        <w:jc w:val="both"/>
        <w:rPr>
          <w:b w:val="0"/>
          <w:bCs w:val="0"/>
        </w:rPr>
      </w:pPr>
      <w:r>
        <w:rPr/>
        <w:t>本公司董事会、监事会及董事、监事、高级管理人员保证年度报告内容的真实、准确、</w:t>
      </w:r>
      <w:r>
        <w:rPr>
          <w:spacing w:val="1"/>
          <w:w w:val="99"/>
        </w:rPr>
        <w:t> </w:t>
      </w:r>
      <w:r>
        <w:rPr/>
        <w:t>完整，不存在虚假记载、误导性陈述或重大遗漏，并承担个别和连带的法律责任。</w:t>
      </w:r>
      <w:r>
        <w:rPr>
          <w:b w:val="0"/>
          <w:bCs w:val="0"/>
        </w:rPr>
      </w:r>
    </w:p>
    <w:p>
      <w:pPr>
        <w:pStyle w:val="Heading2"/>
        <w:spacing w:line="357" w:lineRule="auto" w:before="134"/>
        <w:ind w:left="153" w:right="229" w:firstLine="482"/>
        <w:jc w:val="both"/>
        <w:rPr>
          <w:b w:val="0"/>
          <w:bCs w:val="0"/>
        </w:rPr>
      </w:pPr>
      <w:r>
        <w:rPr/>
        <w:t>公司负责人陈向军、主管会计工作负责人许秋江及会计机构负责人(会计主管人员)张春</w:t>
      </w:r>
      <w:r>
        <w:rPr>
          <w:spacing w:val="1"/>
          <w:w w:val="99"/>
        </w:rPr>
        <w:t> </w:t>
      </w:r>
      <w:r>
        <w:rPr/>
        <w:t>雷声明：保证年度报告中财务报告的真实、准确、完整。</w:t>
      </w:r>
      <w:r>
        <w:rPr>
          <w:b w:val="0"/>
          <w:bCs w:val="0"/>
        </w:rPr>
      </w:r>
    </w:p>
    <w:p>
      <w:pPr>
        <w:pStyle w:val="Heading2"/>
        <w:spacing w:line="432" w:lineRule="auto" w:before="137"/>
        <w:ind w:left="636" w:right="212"/>
        <w:jc w:val="left"/>
        <w:rPr>
          <w:b w:val="0"/>
          <w:bCs w:val="0"/>
        </w:rPr>
      </w:pPr>
      <w:r>
        <w:rPr/>
        <w:t>所有董事均已出席了审议本报告的董事会会议。</w:t>
      </w:r>
      <w:r>
        <w:rPr>
          <w:spacing w:val="1"/>
          <w:w w:val="99"/>
        </w:rPr>
        <w:t> </w:t>
      </w:r>
      <w:r>
        <w:rPr/>
        <w:t>本报告中如有涉及未来计划、业绩预测等方面的内容，均不构成公司对任何投资者及相</w:t>
      </w:r>
      <w:r>
        <w:rPr>
          <w:b w:val="0"/>
          <w:bCs w:val="0"/>
        </w:rPr>
      </w:r>
    </w:p>
    <w:p>
      <w:pPr>
        <w:pStyle w:val="Heading2"/>
        <w:spacing w:line="276" w:lineRule="exact"/>
        <w:ind w:left="153" w:right="93"/>
        <w:jc w:val="left"/>
        <w:rPr>
          <w:b w:val="0"/>
          <w:bCs w:val="0"/>
        </w:rPr>
      </w:pPr>
      <w:r>
        <w:rPr/>
        <w:t>关人士的实质承诺，投资者及相关人士均应对此保持足够的风险认识，并且应当理解计划、</w:t>
      </w:r>
      <w:r>
        <w:rPr>
          <w:b w:val="0"/>
          <w:bCs w:val="0"/>
        </w:rPr>
      </w:r>
    </w:p>
    <w:p>
      <w:pPr>
        <w:pStyle w:val="Heading2"/>
        <w:spacing w:line="432" w:lineRule="auto" w:before="155"/>
        <w:ind w:left="636" w:right="212" w:hanging="483"/>
        <w:jc w:val="left"/>
        <w:rPr>
          <w:b w:val="0"/>
          <w:bCs w:val="0"/>
        </w:rPr>
      </w:pPr>
      <w:r>
        <w:rPr/>
        <w:t>预测与承诺之间的差异。</w:t>
      </w:r>
      <w:r>
        <w:rPr>
          <w:spacing w:val="1"/>
          <w:w w:val="99"/>
        </w:rPr>
        <w:t> </w:t>
      </w:r>
      <w:r>
        <w:rPr/>
        <w:t>公司在本报告第四节“管理层分析与讨论”之“九、公司未来发展的展望”部分，详细</w:t>
      </w:r>
      <w:r>
        <w:rPr>
          <w:b w:val="0"/>
          <w:bCs w:val="0"/>
        </w:rPr>
      </w:r>
    </w:p>
    <w:p>
      <w:pPr>
        <w:pStyle w:val="Heading2"/>
        <w:spacing w:line="277" w:lineRule="exact"/>
        <w:ind w:left="153" w:right="212"/>
        <w:jc w:val="left"/>
        <w:rPr>
          <w:b w:val="0"/>
          <w:bCs w:val="0"/>
        </w:rPr>
      </w:pPr>
      <w:r>
        <w:rPr/>
        <w:t>描述了公司经营中可能存在的风险及应对措施，并提请投资者特别注意下列风险因素：</w:t>
      </w:r>
      <w:r>
        <w:rPr>
          <w:b w:val="0"/>
          <w:bCs w:val="0"/>
        </w:rPr>
      </w:r>
    </w:p>
    <w:p>
      <w:pPr>
        <w:spacing w:line="240" w:lineRule="auto" w:before="6"/>
        <w:rPr>
          <w:rFonts w:ascii="宋体" w:hAnsi="宋体" w:cs="宋体" w:eastAsia="宋体" w:hint="default"/>
          <w:b/>
          <w:bCs/>
          <w:sz w:val="19"/>
          <w:szCs w:val="19"/>
        </w:rPr>
      </w:pPr>
    </w:p>
    <w:p>
      <w:pPr>
        <w:spacing w:line="432" w:lineRule="auto" w:before="0"/>
        <w:ind w:left="633" w:right="212" w:firstLine="0"/>
        <w:jc w:val="left"/>
        <w:rPr>
          <w:rFonts w:ascii="宋体" w:hAnsi="宋体" w:cs="宋体" w:eastAsia="宋体" w:hint="default"/>
          <w:sz w:val="24"/>
          <w:szCs w:val="24"/>
        </w:rPr>
      </w:pPr>
      <w:r>
        <w:rPr>
          <w:rFonts w:ascii="宋体" w:hAnsi="宋体" w:cs="宋体" w:eastAsia="宋体" w:hint="default"/>
          <w:sz w:val="24"/>
          <w:szCs w:val="24"/>
        </w:rPr>
        <w:t>1、新业务发展不达预期的风险 公司按照既定的战略发展规划，持续开拓新的业务领域，推进公司业务向互联网金融综</w:t>
      </w:r>
    </w:p>
    <w:p>
      <w:pPr>
        <w:spacing w:line="276" w:lineRule="exact" w:before="0"/>
        <w:ind w:left="153" w:right="212" w:firstLine="0"/>
        <w:jc w:val="left"/>
        <w:rPr>
          <w:rFonts w:ascii="宋体" w:hAnsi="宋体" w:cs="宋体" w:eastAsia="宋体" w:hint="default"/>
          <w:sz w:val="24"/>
          <w:szCs w:val="24"/>
        </w:rPr>
      </w:pPr>
      <w:r>
        <w:rPr>
          <w:rFonts w:ascii="宋体" w:hAnsi="宋体" w:cs="宋体" w:eastAsia="宋体" w:hint="default"/>
          <w:sz w:val="24"/>
          <w:szCs w:val="24"/>
        </w:rPr>
        <w:t>合服务领域延伸发展。已经开展或布局的业务包括：合资成立华道征信发展个人征信服务业</w:t>
      </w:r>
    </w:p>
    <w:p>
      <w:pPr>
        <w:spacing w:line="357" w:lineRule="auto" w:before="154"/>
        <w:ind w:left="153" w:right="93" w:firstLine="0"/>
        <w:jc w:val="left"/>
        <w:rPr>
          <w:rFonts w:ascii="宋体" w:hAnsi="宋体" w:cs="宋体" w:eastAsia="宋体" w:hint="default"/>
          <w:sz w:val="24"/>
          <w:szCs w:val="24"/>
        </w:rPr>
      </w:pPr>
      <w:r>
        <w:rPr>
          <w:rFonts w:ascii="宋体" w:hAnsi="宋体" w:cs="宋体" w:eastAsia="宋体" w:hint="default"/>
          <w:sz w:val="24"/>
          <w:szCs w:val="24"/>
        </w:rPr>
        <w:t>务；发起设立互联网财产保险公司等。目前，华道征信已经被中国人民银行列入“开展个人</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3"/>
          <w:sz w:val="24"/>
          <w:szCs w:val="24"/>
        </w:rPr>
        <w:t>征信业务准备工作的机构名单”；易安保险已获得中国保监会核发的《保险公司法人许可证》</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5"/>
          <w:sz w:val="24"/>
          <w:szCs w:val="24"/>
        </w:rPr>
        <w:t>和深圳市市场监督管理局颁发的《营业执照》。但是鉴于：华道征信的个人征信业务尚处于准</w:t>
      </w:r>
      <w:r>
        <w:rPr>
          <w:rFonts w:ascii="宋体" w:hAnsi="宋体" w:cs="宋体" w:eastAsia="宋体" w:hint="default"/>
          <w:sz w:val="24"/>
          <w:szCs w:val="24"/>
        </w:rPr>
        <w:t> 备工作阶段，尚未正式获得中国人民银行开展个人征信业务的经营许可；发起设立的互联网</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财产保险公司近期刚获得中国保监会的验收并取得经营许可，开展业务处于起步阶段。因此，</w:t>
      </w:r>
      <w:r>
        <w:rPr>
          <w:rFonts w:ascii="宋体" w:hAnsi="宋体" w:cs="宋体" w:eastAsia="宋体" w:hint="default"/>
          <w:sz w:val="24"/>
          <w:szCs w:val="24"/>
        </w:rPr>
        <w:t> 公司新业务的发展仍有较大的不确定性，存在新业务发展不达预期的风险。</w:t>
      </w:r>
    </w:p>
    <w:p>
      <w:pPr>
        <w:spacing w:line="357" w:lineRule="auto" w:before="134"/>
        <w:ind w:left="153" w:right="228" w:firstLine="480"/>
        <w:jc w:val="both"/>
        <w:rPr>
          <w:rFonts w:ascii="宋体" w:hAnsi="宋体" w:cs="宋体" w:eastAsia="宋体" w:hint="default"/>
          <w:sz w:val="24"/>
          <w:szCs w:val="24"/>
        </w:rPr>
      </w:pPr>
      <w:r>
        <w:rPr>
          <w:rFonts w:ascii="宋体" w:hAnsi="宋体" w:cs="宋体" w:eastAsia="宋体" w:hint="default"/>
          <w:sz w:val="24"/>
          <w:szCs w:val="24"/>
        </w:rPr>
        <w:t>针对上述风险，公司将从战略高度充分重视新业务的发展，充分调集公司人才、技术、</w:t>
      </w:r>
      <w:r>
        <w:rPr>
          <w:rFonts w:ascii="宋体" w:hAnsi="宋体" w:cs="宋体" w:eastAsia="宋体" w:hint="default"/>
          <w:spacing w:val="1"/>
          <w:sz w:val="24"/>
          <w:szCs w:val="24"/>
        </w:rPr>
        <w:t> </w:t>
      </w:r>
      <w:r>
        <w:rPr>
          <w:rFonts w:ascii="宋体" w:hAnsi="宋体" w:cs="宋体" w:eastAsia="宋体" w:hint="default"/>
          <w:sz w:val="24"/>
          <w:szCs w:val="24"/>
        </w:rPr>
        <w:t>资金和平台资源，发挥公司各项业务的整合优势，与各合作方一起，努力推进新业务的快速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发展。</w:t>
      </w:r>
    </w:p>
    <w:p>
      <w:pPr>
        <w:spacing w:line="432" w:lineRule="auto" w:before="137"/>
        <w:ind w:left="633" w:right="212" w:firstLine="0"/>
        <w:jc w:val="left"/>
        <w:rPr>
          <w:rFonts w:ascii="宋体" w:hAnsi="宋体" w:cs="宋体" w:eastAsia="宋体" w:hint="default"/>
          <w:sz w:val="24"/>
          <w:szCs w:val="24"/>
        </w:rPr>
      </w:pPr>
      <w:r>
        <w:rPr>
          <w:rFonts w:ascii="宋体" w:hAnsi="宋体" w:cs="宋体" w:eastAsia="宋体" w:hint="default"/>
          <w:sz w:val="24"/>
          <w:szCs w:val="24"/>
        </w:rPr>
        <w:t>2、短期盈利能力风险 近年来，公司按照战略发展规划推进公司业务向互联网金融综合服务领域延伸发展，已</w:t>
      </w:r>
    </w:p>
    <w:p>
      <w:pPr>
        <w:spacing w:line="276" w:lineRule="exact" w:before="0"/>
        <w:ind w:left="153" w:right="212" w:firstLine="0"/>
        <w:jc w:val="left"/>
        <w:rPr>
          <w:rFonts w:ascii="宋体" w:hAnsi="宋体" w:cs="宋体" w:eastAsia="宋体" w:hint="default"/>
          <w:sz w:val="24"/>
          <w:szCs w:val="24"/>
        </w:rPr>
      </w:pPr>
      <w:r>
        <w:rPr>
          <w:rFonts w:ascii="宋体" w:hAnsi="宋体" w:cs="宋体" w:eastAsia="宋体" w:hint="default"/>
          <w:sz w:val="24"/>
          <w:szCs w:val="24"/>
        </w:rPr>
        <w:t>经开展和布局的业务包括：个人征信业务、互联网保险业务、移动支付服务业务等，并且公</w:t>
      </w:r>
    </w:p>
    <w:p>
      <w:pPr>
        <w:spacing w:after="0" w:line="276" w:lineRule="exact"/>
        <w:jc w:val="left"/>
        <w:rPr>
          <w:rFonts w:ascii="宋体" w:hAnsi="宋体" w:cs="宋体" w:eastAsia="宋体" w:hint="default"/>
          <w:sz w:val="24"/>
          <w:szCs w:val="24"/>
        </w:rPr>
        <w:sectPr>
          <w:headerReference w:type="default" r:id="rId6"/>
          <w:footerReference w:type="default" r:id="rId7"/>
          <w:pgSz w:w="11910" w:h="16840"/>
          <w:pgMar w:header="877" w:footer="982" w:top="1100" w:bottom="1180" w:left="980" w:right="900"/>
          <w:pgNumType w:start="2"/>
        </w:sectPr>
      </w:pPr>
    </w:p>
    <w:p>
      <w:pPr>
        <w:spacing w:line="240" w:lineRule="auto" w:before="7"/>
        <w:rPr>
          <w:rFonts w:ascii="宋体" w:hAnsi="宋体" w:cs="宋体" w:eastAsia="宋体" w:hint="default"/>
          <w:sz w:val="25"/>
          <w:szCs w:val="25"/>
        </w:rPr>
      </w:pPr>
    </w:p>
    <w:p>
      <w:pPr>
        <w:spacing w:line="357" w:lineRule="auto" w:before="26"/>
        <w:ind w:left="153" w:right="228" w:firstLine="0"/>
        <w:jc w:val="both"/>
        <w:rPr>
          <w:rFonts w:ascii="宋体" w:hAnsi="宋体" w:cs="宋体" w:eastAsia="宋体" w:hint="default"/>
          <w:sz w:val="24"/>
          <w:szCs w:val="24"/>
        </w:rPr>
      </w:pPr>
      <w:r>
        <w:rPr>
          <w:rFonts w:ascii="宋体" w:hAnsi="宋体" w:cs="宋体" w:eastAsia="宋体" w:hint="default"/>
          <w:sz w:val="24"/>
          <w:szCs w:val="24"/>
        </w:rPr>
        <w:t>司仍在按照战略规划继续推进在互联网金融以及大数据运营领域的业务布局。公司实施以上</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战略布局，是公司为企业长远发展而采取的积极措施，并且在各项战略投资实施之前，公司</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已对新兴业务的市场空间和项目可行性进行了充分的论证。但是由于部分新业务，如个人征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信服务、票联通业务、互联网保险业务等，在业务开展初期阶段需要比较高的投入，可能在</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一定时期内不具备盈利能力，因此可能致使公司存在短期盈利能力下降的风险，一定时期内</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影响公司整体的盈利能力。针对上述风险，公司一方面将从战略高度充分重视新兴业务的进</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展，全力推进新业务的健康发展，科学把控新兴业务投资进度，降低投资风险；另一方面将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努力推进成熟业务的业绩提升，保持公司整体盈利情况的合理性。</w:t>
      </w:r>
    </w:p>
    <w:p>
      <w:pPr>
        <w:spacing w:line="434" w:lineRule="auto" w:before="136"/>
        <w:ind w:left="633" w:right="212" w:firstLine="0"/>
        <w:jc w:val="left"/>
        <w:rPr>
          <w:rFonts w:ascii="宋体" w:hAnsi="宋体" w:cs="宋体" w:eastAsia="宋体" w:hint="default"/>
          <w:sz w:val="24"/>
          <w:szCs w:val="24"/>
        </w:rPr>
      </w:pPr>
      <w:r>
        <w:rPr>
          <w:rFonts w:ascii="宋体" w:hAnsi="宋体" w:cs="宋体" w:eastAsia="宋体" w:hint="default"/>
          <w:sz w:val="24"/>
          <w:szCs w:val="24"/>
        </w:rPr>
        <w:t>3、运营资金短缺风险 随着公司新业务板块持续拓展，经营规模不断扩大，公司对运营资金的需求日益扩大。</w:t>
      </w:r>
    </w:p>
    <w:p>
      <w:pPr>
        <w:spacing w:line="274" w:lineRule="exact" w:before="0"/>
        <w:ind w:left="153" w:right="0" w:firstLine="0"/>
        <w:jc w:val="both"/>
        <w:rPr>
          <w:rFonts w:ascii="宋体" w:hAnsi="宋体" w:cs="宋体" w:eastAsia="宋体" w:hint="default"/>
          <w:sz w:val="24"/>
          <w:szCs w:val="24"/>
        </w:rPr>
      </w:pPr>
      <w:r>
        <w:rPr>
          <w:rFonts w:ascii="宋体" w:hAnsi="宋体" w:cs="宋体" w:eastAsia="宋体" w:hint="default"/>
          <w:sz w:val="24"/>
          <w:szCs w:val="24"/>
        </w:rPr>
        <w:t>如果不能及时解决资金需求，将给公司的业务运营和后续发展带来风险。针对该项风险，公</w:t>
      </w:r>
    </w:p>
    <w:p>
      <w:pPr>
        <w:spacing w:line="357" w:lineRule="auto" w:before="154"/>
        <w:ind w:left="153" w:right="228" w:firstLine="0"/>
        <w:jc w:val="both"/>
        <w:rPr>
          <w:rFonts w:ascii="宋体" w:hAnsi="宋体" w:cs="宋体" w:eastAsia="宋体" w:hint="default"/>
          <w:sz w:val="24"/>
          <w:szCs w:val="24"/>
        </w:rPr>
      </w:pPr>
      <w:r>
        <w:rPr>
          <w:rFonts w:ascii="宋体" w:hAnsi="宋体" w:cs="宋体" w:eastAsia="宋体" w:hint="default"/>
          <w:sz w:val="24"/>
          <w:szCs w:val="24"/>
        </w:rPr>
        <w:t>司首先将加强应收账款的管理，加强自有资金和募集资金的有效利用，持续改善公司现金流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情况，确保日常运营资金充足；同时充分利用上市公司融资平台和其他融资渠道，积极筹措</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运营发展资金，降低公司运营资金短缺的风险。</w:t>
      </w:r>
    </w:p>
    <w:p>
      <w:pPr>
        <w:spacing w:before="136"/>
        <w:ind w:left="633" w:right="212" w:firstLine="0"/>
        <w:jc w:val="left"/>
        <w:rPr>
          <w:rFonts w:ascii="宋体" w:hAnsi="宋体" w:cs="宋体" w:eastAsia="宋体" w:hint="default"/>
          <w:sz w:val="24"/>
          <w:szCs w:val="24"/>
        </w:rPr>
      </w:pPr>
      <w:r>
        <w:rPr>
          <w:rFonts w:ascii="宋体" w:hAnsi="宋体" w:cs="宋体" w:eastAsia="宋体" w:hint="default"/>
          <w:sz w:val="24"/>
          <w:szCs w:val="24"/>
        </w:rPr>
        <w:t>4、非公开发行股票募集资金的相关风险</w:t>
      </w:r>
    </w:p>
    <w:p>
      <w:pPr>
        <w:spacing w:line="240" w:lineRule="auto" w:before="4"/>
        <w:rPr>
          <w:rFonts w:ascii="宋体" w:hAnsi="宋体" w:cs="宋体" w:eastAsia="宋体" w:hint="default"/>
          <w:sz w:val="19"/>
          <w:szCs w:val="19"/>
        </w:rPr>
      </w:pPr>
    </w:p>
    <w:p>
      <w:pPr>
        <w:spacing w:line="357" w:lineRule="auto" w:before="0"/>
        <w:ind w:left="153" w:right="93" w:firstLine="48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52"/>
          <w:sz w:val="24"/>
          <w:szCs w:val="24"/>
        </w:rPr>
        <w:t> </w:t>
      </w:r>
      <w:r>
        <w:rPr>
          <w:rFonts w:ascii="宋体" w:hAnsi="宋体" w:cs="宋体" w:eastAsia="宋体" w:hint="default"/>
          <w:sz w:val="24"/>
          <w:szCs w:val="24"/>
        </w:rPr>
        <w:t>2015</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10</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30</w:t>
      </w:r>
      <w:r>
        <w:rPr>
          <w:rFonts w:ascii="宋体" w:hAnsi="宋体" w:cs="宋体" w:eastAsia="宋体" w:hint="default"/>
          <w:spacing w:val="-52"/>
          <w:sz w:val="24"/>
          <w:szCs w:val="24"/>
        </w:rPr>
        <w:t> </w:t>
      </w:r>
      <w:r>
        <w:rPr>
          <w:rFonts w:ascii="宋体" w:hAnsi="宋体" w:cs="宋体" w:eastAsia="宋体" w:hint="default"/>
          <w:sz w:val="24"/>
          <w:szCs w:val="24"/>
        </w:rPr>
        <w:t>日和</w:t>
      </w:r>
      <w:r>
        <w:rPr>
          <w:rFonts w:ascii="宋体" w:hAnsi="宋体" w:cs="宋体" w:eastAsia="宋体" w:hint="default"/>
          <w:spacing w:val="-52"/>
          <w:sz w:val="24"/>
          <w:szCs w:val="24"/>
        </w:rPr>
        <w:t> </w:t>
      </w:r>
      <w:r>
        <w:rPr>
          <w:rFonts w:ascii="宋体" w:hAnsi="宋体" w:cs="宋体" w:eastAsia="宋体" w:hint="default"/>
          <w:sz w:val="24"/>
          <w:szCs w:val="24"/>
        </w:rPr>
        <w:t>11</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宋体" w:hAnsi="宋体" w:cs="宋体" w:eastAsia="宋体" w:hint="default"/>
          <w:sz w:val="24"/>
          <w:szCs w:val="24"/>
        </w:rPr>
        <w:t>16</w:t>
      </w:r>
      <w:r>
        <w:rPr>
          <w:rFonts w:ascii="宋体" w:hAnsi="宋体" w:cs="宋体" w:eastAsia="宋体" w:hint="default"/>
          <w:spacing w:val="-52"/>
          <w:sz w:val="24"/>
          <w:szCs w:val="24"/>
        </w:rPr>
        <w:t> </w:t>
      </w:r>
      <w:r>
        <w:rPr>
          <w:rFonts w:ascii="宋体" w:hAnsi="宋体" w:cs="宋体" w:eastAsia="宋体" w:hint="default"/>
          <w:sz w:val="24"/>
          <w:szCs w:val="24"/>
        </w:rPr>
        <w:t>日分别召开了第三届董事会第十七次会议和</w:t>
      </w:r>
      <w:r>
        <w:rPr>
          <w:rFonts w:ascii="宋体" w:hAnsi="宋体" w:cs="宋体" w:eastAsia="宋体" w:hint="default"/>
          <w:spacing w:val="-52"/>
          <w:sz w:val="24"/>
          <w:szCs w:val="24"/>
        </w:rPr>
        <w:t> </w:t>
      </w:r>
      <w:r>
        <w:rPr>
          <w:rFonts w:ascii="宋体" w:hAnsi="宋体" w:cs="宋体" w:eastAsia="宋体" w:hint="default"/>
          <w:sz w:val="24"/>
          <w:szCs w:val="24"/>
        </w:rPr>
        <w:t>2015</w:t>
      </w:r>
      <w:r>
        <w:rPr>
          <w:rFonts w:ascii="宋体" w:hAnsi="宋体" w:cs="宋体" w:eastAsia="宋体" w:hint="default"/>
          <w:sz w:val="24"/>
          <w:szCs w:val="24"/>
        </w:rPr>
        <w:t> 年第四次临时股东大会，审议通过了《公司非公开发行股票预案》等相关议案，拟募集资金</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总额不超过 82,970.88</w:t>
      </w:r>
      <w:r>
        <w:rPr>
          <w:rFonts w:ascii="宋体" w:hAnsi="宋体" w:cs="宋体" w:eastAsia="宋体" w:hint="default"/>
          <w:spacing w:val="-82"/>
          <w:sz w:val="24"/>
          <w:szCs w:val="24"/>
        </w:rPr>
        <w:t> </w:t>
      </w:r>
      <w:r>
        <w:rPr>
          <w:rFonts w:ascii="宋体" w:hAnsi="宋体" w:cs="宋体" w:eastAsia="宋体" w:hint="default"/>
          <w:sz w:val="24"/>
          <w:szCs w:val="24"/>
        </w:rPr>
        <w:t>万元。本次非公开发行股票尚需中国证监会核准，能否取得中国证监</w:t>
      </w:r>
      <w:r>
        <w:rPr>
          <w:rFonts w:ascii="宋体" w:hAnsi="宋体" w:cs="宋体" w:eastAsia="宋体" w:hint="default"/>
          <w:sz w:val="24"/>
          <w:szCs w:val="24"/>
        </w:rPr>
        <w:t> 会的核准以及最终取得核准的时间存在不确定性。同时，本次非公开发行股票募集资金扣除</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5"/>
          <w:sz w:val="24"/>
          <w:szCs w:val="24"/>
        </w:rPr>
        <w:t>发行费用后将全部用于“互联网金融大数据服务平台（一期）”项目，本次募集资金投资项目</w:t>
      </w:r>
      <w:r>
        <w:rPr>
          <w:rFonts w:ascii="宋体" w:hAnsi="宋体" w:cs="宋体" w:eastAsia="宋体" w:hint="default"/>
          <w:sz w:val="24"/>
          <w:szCs w:val="24"/>
        </w:rPr>
        <w:t> 的可行性分析是基于当前市场环境、技术发展趋势等因素做出的，投资项目经过充分的可行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性研究论证；但是仍存在因市场环境发生较大变化、项目实施过程中发生不可预见因素等导</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致募集资金投资项目不达预期的风险。公司将紧跟行业发展趋势，把握产品和技术研发方向，</w:t>
      </w:r>
      <w:r>
        <w:rPr>
          <w:rFonts w:ascii="宋体" w:hAnsi="宋体" w:cs="宋体" w:eastAsia="宋体" w:hint="default"/>
          <w:sz w:val="24"/>
          <w:szCs w:val="24"/>
        </w:rPr>
        <w:t> 及时顺应市场变化，避免或者降低募集资金投资项目不达预期的风险。</w:t>
      </w:r>
    </w:p>
    <w:p>
      <w:pPr>
        <w:spacing w:line="357" w:lineRule="auto" w:before="136"/>
        <w:ind w:left="153" w:right="93" w:firstLine="480"/>
        <w:jc w:val="left"/>
        <w:rPr>
          <w:rFonts w:ascii="宋体" w:hAnsi="宋体" w:cs="宋体" w:eastAsia="宋体" w:hint="default"/>
          <w:sz w:val="24"/>
          <w:szCs w:val="24"/>
        </w:rPr>
      </w:pPr>
      <w:r>
        <w:rPr>
          <w:rFonts w:ascii="宋体" w:hAnsi="宋体" w:cs="宋体" w:eastAsia="宋体" w:hint="default"/>
          <w:sz w:val="24"/>
          <w:szCs w:val="24"/>
        </w:rPr>
        <w:t>针对上述风险，公司将集合公司内部及外部中介机构等多方力量积极推动非公开发行股</w:t>
      </w:r>
      <w:r>
        <w:rPr>
          <w:rFonts w:ascii="宋体" w:hAnsi="宋体" w:cs="宋体" w:eastAsia="宋体" w:hint="default"/>
          <w:spacing w:val="1"/>
          <w:sz w:val="24"/>
          <w:szCs w:val="24"/>
        </w:rPr>
        <w:t> </w:t>
      </w:r>
      <w:r>
        <w:rPr>
          <w:rFonts w:ascii="宋体" w:hAnsi="宋体" w:cs="宋体" w:eastAsia="宋体" w:hint="default"/>
          <w:sz w:val="24"/>
          <w:szCs w:val="24"/>
        </w:rPr>
        <w:t>票事项的进展，争取早日完成募集资金计划。如果非公发行募集资金计划得以实现，公司将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全力推进募投项目的实施与市场推广，充分保障募集资金使用效率，努力达到项目预期收益，</w:t>
      </w:r>
      <w:r>
        <w:rPr>
          <w:rFonts w:ascii="宋体" w:hAnsi="宋体" w:cs="宋体" w:eastAsia="宋体" w:hint="default"/>
          <w:sz w:val="24"/>
          <w:szCs w:val="24"/>
        </w:rPr>
        <w:t> 进一步提升公司经营业绩。</w:t>
      </w:r>
    </w:p>
    <w:p>
      <w:pPr>
        <w:spacing w:after="0" w:line="357" w:lineRule="auto"/>
        <w:jc w:val="left"/>
        <w:rPr>
          <w:rFonts w:ascii="宋体" w:hAnsi="宋体" w:cs="宋体" w:eastAsia="宋体" w:hint="default"/>
          <w:sz w:val="24"/>
          <w:szCs w:val="24"/>
        </w:rPr>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2"/>
        <w:spacing w:line="240" w:lineRule="auto" w:before="26"/>
        <w:ind w:left="636" w:right="0"/>
        <w:jc w:val="left"/>
        <w:rPr>
          <w:b w:val="0"/>
          <w:bCs w:val="0"/>
        </w:rPr>
      </w:pPr>
      <w:r>
        <w:rPr/>
        <w:t>公司经本次董事会审议通过的利润分配预案为：以</w:t>
      </w:r>
      <w:r>
        <w:rPr>
          <w:spacing w:val="-64"/>
        </w:rPr>
        <w:t> </w:t>
      </w:r>
      <w:r>
        <w:rPr/>
        <w:t>525,804,438</w:t>
      </w:r>
      <w:r>
        <w:rPr>
          <w:spacing w:val="-64"/>
        </w:rPr>
        <w:t> </w:t>
      </w:r>
      <w:r>
        <w:rPr/>
        <w:t>为基数，向全体股东每</w:t>
      </w:r>
      <w:r>
        <w:rPr>
          <w:b w:val="0"/>
          <w:bCs w:val="0"/>
        </w:rPr>
      </w:r>
    </w:p>
    <w:p>
      <w:pPr>
        <w:pStyle w:val="Heading2"/>
        <w:spacing w:line="357" w:lineRule="auto" w:before="154"/>
        <w:ind w:right="0"/>
        <w:jc w:val="left"/>
        <w:rPr>
          <w:b w:val="0"/>
          <w:bCs w:val="0"/>
        </w:rPr>
      </w:pPr>
      <w:r>
        <w:rPr>
          <w:w w:val="99"/>
        </w:rPr>
        <w:t>10</w:t>
      </w:r>
      <w:r>
        <w:rPr>
          <w:spacing w:val="-49"/>
          <w:w w:val="99"/>
        </w:rPr>
        <w:t> </w:t>
      </w:r>
      <w:r>
        <w:rPr>
          <w:w w:val="99"/>
        </w:rPr>
        <w:t>股派发现金红利</w:t>
      </w:r>
      <w:r>
        <w:rPr>
          <w:spacing w:val="-50"/>
          <w:w w:val="99"/>
        </w:rPr>
        <w:t> </w:t>
      </w:r>
      <w:r>
        <w:rPr>
          <w:w w:val="99"/>
        </w:rPr>
        <w:t>0.3</w:t>
      </w:r>
      <w:r>
        <w:rPr>
          <w:spacing w:val="-49"/>
          <w:w w:val="99"/>
        </w:rPr>
        <w:t> </w:t>
      </w:r>
      <w:r>
        <w:rPr>
          <w:spacing w:val="-13"/>
          <w:w w:val="99"/>
        </w:rPr>
        <w:t>元（含税），送红股</w:t>
      </w:r>
      <w:r>
        <w:rPr>
          <w:spacing w:val="-50"/>
          <w:w w:val="99"/>
        </w:rPr>
        <w:t> </w:t>
      </w:r>
      <w:r>
        <w:rPr>
          <w:w w:val="99"/>
        </w:rPr>
        <w:t>0</w:t>
      </w:r>
      <w:r>
        <w:rPr>
          <w:spacing w:val="-49"/>
          <w:w w:val="99"/>
        </w:rPr>
        <w:t> </w:t>
      </w:r>
      <w:r>
        <w:rPr>
          <w:spacing w:val="-7"/>
          <w:w w:val="99"/>
        </w:rPr>
        <w:t>股（含税），以资本公积金向全体股东每</w:t>
      </w:r>
      <w:r>
        <w:rPr>
          <w:spacing w:val="-50"/>
          <w:w w:val="99"/>
        </w:rPr>
        <w:t> </w:t>
      </w:r>
      <w:r>
        <w:rPr>
          <w:w w:val="99"/>
        </w:rPr>
        <w:t>10</w:t>
      </w:r>
      <w:r>
        <w:rPr>
          <w:spacing w:val="-49"/>
          <w:w w:val="99"/>
        </w:rPr>
        <w:t> </w:t>
      </w:r>
      <w:r>
        <w:rPr>
          <w:w w:val="99"/>
        </w:rPr>
        <w:t>股</w:t>
      </w:r>
      <w:r>
        <w:rPr>
          <w:w w:val="99"/>
        </w:rPr>
        <w:t> </w:t>
      </w:r>
      <w:r>
        <w:rPr>
          <w:spacing w:val="20"/>
        </w:rPr>
        <w:t>转增3</w:t>
      </w:r>
      <w:r>
        <w:rPr>
          <w:spacing w:val="-62"/>
        </w:rPr>
        <w:t> </w:t>
      </w:r>
      <w:r>
        <w:rPr/>
        <w:t>股。</w:t>
      </w:r>
      <w:r>
        <w:rPr>
          <w:b w:val="0"/>
          <w:bCs w:val="0"/>
        </w:rPr>
      </w:r>
    </w:p>
    <w:p>
      <w:pPr>
        <w:spacing w:after="0" w:line="357"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 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 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管理层讨论与分析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董事、监事、高级管理人员和员工情况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2" w:top="1100" w:bottom="1180" w:left="980" w:right="980"/>
        </w:sectPr>
      </w:pPr>
    </w:p>
    <w:p>
      <w:pPr>
        <w:spacing w:before="893"/>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1"/>
          <w:szCs w:val="21"/>
        </w:rPr>
      </w:pPr>
    </w:p>
    <w:p>
      <w:pPr>
        <w:pStyle w:val="BodyText"/>
        <w:spacing w:line="240" w:lineRule="auto"/>
        <w:ind w:left="0" w:right="158"/>
        <w:jc w:val="right"/>
      </w:pPr>
      <w:r>
        <w:rPr/>
        <w:pict>
          <v:shape style="position:absolute;margin-left:56.459999pt;margin-top:-536.447937pt;width:479.2pt;height:605.3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银之杰金融设备</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深圳市银之杰金融设备有限公司，本公司全资子公司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银之杰技术开发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深圳市银之杰技术开发有限公司，本公司全资子公司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亿美软通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科安数字</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深圳市科安数字有限公司，本公司控股子公司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票联金服</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深圳票联金融服务有限公司，本公司参股子公司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北京华道征信有限公司，本公司参股子公司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易安财产保险股份有限公司，本公司参股子公司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依托互联网、移动通信和大数据处理等技术手段，实现资金融通、支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付、信息中介等业务的一种新兴金融，以及与之相关的互联网应用。 </w:t>
                        </w:r>
                        <w:r>
                          <w:rPr>
                            <w:rFonts w:ascii="宋体" w:hAnsi="宋体" w:cs="宋体" w:eastAsia="宋体" w:hint="default"/>
                            <w:spacing w:val="-2"/>
                            <w:sz w:val="18"/>
                            <w:szCs w:val="18"/>
                          </w:rPr>
                          <w:t>包括不限于第三方支付、移动支付、网络信贷、金融产品销售、信用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评价、金融中介、金融电子商务等。</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征信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通过专业化的、独立的第三方机构为个人或企业建立信用档案，依法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采集、整理、保存、加工其信用信息，并对使用者提供信用信息服务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的活动。根据信用评价对象的不同，分为企业征信和个人征信。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个人征信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依法设立的个人信用征信机构对个人信用信息进行采集和加工，并根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据用户要求提供个人信用信息查询和评估服务的活动。</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互联网保险</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实现保险信息咨询、产品设计、投保、交费、核保、承保、保单信息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查询、保全变更和理赔等保险全过程的网络化，以互联网和电子商务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技术为工具来支持保险销售的经营管理活动的新型保险业态。</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达到足够量级的，经过新的处理模式能够具有更强的决策力、洞察发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现力和流程优化能力，从而产生更广泛的市场价值的信息资产。</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以大数据资源为基础，经过数据分析、挖掘和处理，为特定的市场需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求提供以市场推广和精准营销为目标的有价值信息的服务活动。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支票、汇票、本票等。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票联通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本公司参股子公司深圳票联金融服务有限公司为商业银行提供的票 据自助结算金融服务业务。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影像技术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对通过摄像、扫描等方式获得的数字图像进行传输、图像处理、识别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存储、管理等一系列信息化应用的技术。</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验印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银行在受理诸如支票等涉及客户签章的业务时，核对客户签章与预留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银行的签章是否相符的业务操作程序。</w:t>
                        </w:r>
                      </w:p>
                    </w:tc>
                  </w:tr>
                </w:tbl>
                <w:p>
                  <w:pPr/>
                </w:p>
              </w:txbxContent>
            </v:textbox>
            <w10:wrap type="none"/>
          </v:shape>
        </w:pict>
      </w:r>
      <w:r>
        <w:rPr/>
        <w:t>、</w:t>
      </w:r>
    </w:p>
    <w:p>
      <w:pPr>
        <w:spacing w:after="0" w:line="240" w:lineRule="auto"/>
        <w:jc w:val="right"/>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358"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通过重新构造银行的业务流程、组织流程、管理流程，改造传统的银</w:t>
            </w:r>
          </w:p>
        </w:tc>
      </w:tr>
      <w:tr>
        <w:trPr>
          <w:trHeight w:val="313"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流程银行</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行模式，形成以流程为核心的全新的银行模式。本报告中多特指商业</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银行为达到以上变革目的而进行的信息化建设。</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38pt;margin-top:114.735939pt;width:396.9pt;height:19.6pt;mso-position-horizontal-relative:page;mso-position-vertical-relative:paragraph;z-index:-757792"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300085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Shenzhen InfoGem Technologies Co.,</w:t>
            </w:r>
            <w:r>
              <w:rPr>
                <w:rFonts w:ascii="Times New Roman"/>
                <w:spacing w:val="-24"/>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INFOGEM</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陈向军</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www.yinzhijie.com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invest@yinzhijie.com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林丽</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0755-83930085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0755-83930085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0755-83562955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0755-83562955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liuyi@yinzhijie.com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linli@yinzhijie.com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梅月欣、昝丽涛</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第一创业摩根大通证券有限 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北京市西城区武定侯街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号卓</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著中心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王晓丹、熊顺祥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至公司首次募集资金使用完 毕为止。</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中国（上海）自由贸易试验区</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公司非公开发行股票上市当</w:t>
            </w: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长江证券承销保荐有限公司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1589 </w:t>
            </w:r>
            <w:r>
              <w:rPr>
                <w:rFonts w:ascii="宋体" w:hAnsi="宋体" w:cs="宋体" w:eastAsia="宋体" w:hint="default"/>
                <w:sz w:val="18"/>
                <w:szCs w:val="18"/>
              </w:rPr>
              <w:t>号长泰国际金</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王茜、周依黎</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年的剩余时间及其后的两个</w:t>
            </w: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完整会计年度。</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长江证券承销保荐有限公司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中国（上海）自由贸易试验区 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1589 </w:t>
            </w:r>
            <w:r>
              <w:rPr>
                <w:rFonts w:ascii="宋体" w:hAnsi="宋体" w:cs="宋体" w:eastAsia="宋体" w:hint="default"/>
                <w:sz w:val="18"/>
                <w:szCs w:val="18"/>
              </w:rPr>
              <w:t>号长泰国际金</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孙益刚、王江豫</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619,663,715.53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192,124,040.97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110,074,729.26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72,960,653.41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27,686,672.11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14,446,722.90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74,794,234.04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27,358,587.41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12,277,076.89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33,243,219.10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31,869,543.38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-4,135,878.43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0.0300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0.0300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1,178,502,005.60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963,205,269.18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535,112,376.35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899,659,563.49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832,517,621.68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522,063,053.82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92,646,669.74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130,415,056.71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178,929,472.17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217,672,516.91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5,034,367.34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5,353,398.27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30,575,882.72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31,997,005.08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5,110,264.56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7,090,242.97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30,635,281.22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31,958,445.29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-32,875,860.83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-9,508,339.61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-15,692,889.52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91,320,309.06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4" w:right="13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13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-9,829.00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372,700.00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2,411,600.00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-2,208,872.31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-302,450.87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35,921.60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240,538.45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减：少数股东损益影响</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-2,369.81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-1,833,580.63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328,084.70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2,169,646.01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2" w:lineRule="auto" w:before="44"/>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412" w:lineRule="auto" w:before="69"/>
        <w:ind w:left="514" w:right="14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公司报告期不存在将根据《公开发行证券的公司信息披露解释性公告第1号——非经常性损益》定义、列举的非经常性</w:t>
      </w:r>
    </w:p>
    <w:p>
      <w:pPr>
        <w:pStyle w:val="BodyText"/>
        <w:spacing w:line="240" w:lineRule="auto" w:before="103"/>
        <w:ind w:right="0"/>
        <w:jc w:val="left"/>
      </w:pPr>
      <w:r>
        <w:rPr/>
        <w:t>损益项目界定为经常性损益的项目的情形。</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6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t>本公司成立于1998年10月，公司创始业务是为银行等金融机构提供金融信息化服务，2010年5月在深圳证券交易所创业 </w:t>
      </w:r>
      <w:r>
        <w:rPr>
          <w:spacing w:val="-4"/>
        </w:rPr>
        <w:t>板上市。上市以来，公司董事会和管理层积极进取、勇于开拓，一方面继续在金融信息化领域深挖市场需求，研发创新产品，</w:t>
      </w:r>
      <w:r>
        <w:rPr>
          <w:spacing w:val="-44"/>
        </w:rPr>
        <w:t> </w:t>
      </w:r>
      <w:r>
        <w:rPr>
          <w:spacing w:val="-44"/>
        </w:rPr>
      </w:r>
      <w:r>
        <w:rPr>
          <w:spacing w:val="-2"/>
        </w:rPr>
        <w:t>持续提高行业竞争力；另一方面积极通过对外投资、收购兼并等资本市场手段，大力拓展新业务，在互联网金融综合服务领</w:t>
      </w:r>
      <w:r>
        <w:rPr>
          <w:spacing w:val="-66"/>
        </w:rPr>
        <w:t> </w:t>
      </w:r>
      <w:r>
        <w:rPr>
          <w:spacing w:val="-66"/>
        </w:rPr>
      </w:r>
      <w:r>
        <w:rPr>
          <w:spacing w:val="-2"/>
        </w:rPr>
        <w:t>域进行了一系列的业务布局，为企业打开了全新的发展局面。至本报告期末，公司已经开展的主要业务包括金融信息化、移</w:t>
      </w:r>
      <w:r>
        <w:rPr>
          <w:spacing w:val="-66"/>
        </w:rPr>
        <w:t> </w:t>
      </w:r>
      <w:r>
        <w:rPr>
          <w:spacing w:val="-66"/>
        </w:rPr>
      </w:r>
      <w:r>
        <w:rPr>
          <w:spacing w:val="-2"/>
        </w:rPr>
        <w:t>动商务服务、数据服务、电子商务等，并积极筹划和准备个人征信、互联网保险、移动支付服务等创新业务，不断夯实公司</w:t>
      </w:r>
      <w:r>
        <w:rPr>
          <w:spacing w:val="-68"/>
        </w:rPr>
        <w:t> </w:t>
      </w:r>
      <w:r>
        <w:rPr>
          <w:spacing w:val="-68"/>
        </w:rPr>
      </w:r>
      <w:r>
        <w:rPr/>
        <w:t>长远业务发展的基础。</w:t>
      </w:r>
    </w:p>
    <w:p>
      <w:pPr>
        <w:pStyle w:val="BodyText"/>
        <w:spacing w:line="477" w:lineRule="auto" w:before="54"/>
        <w:ind w:left="514" w:right="90"/>
        <w:jc w:val="left"/>
      </w:pPr>
      <w:r>
        <w:rPr/>
        <w:t>（一）金融信息化 </w:t>
      </w:r>
      <w:r>
        <w:rPr>
          <w:spacing w:val="-2"/>
        </w:rPr>
        <w:t>在金融信息化业务领域，公司主要为银行等金融行业客户提供与支付结算、风险防控、业务流程再造、自助服务等业务</w:t>
      </w:r>
    </w:p>
    <w:p>
      <w:pPr>
        <w:pStyle w:val="BodyText"/>
        <w:spacing w:line="477" w:lineRule="auto" w:before="54"/>
        <w:ind w:right="191"/>
        <w:jc w:val="both"/>
      </w:pPr>
      <w:r>
        <w:rPr>
          <w:spacing w:val="-2"/>
        </w:rPr>
        <w:t>相关的软件产品、软件开发、金融专用设备和技术服务。主要软件产品和服务业务包括：电脑验印系统、票据影像交换业务</w:t>
      </w:r>
      <w:r>
        <w:rPr>
          <w:spacing w:val="-66"/>
        </w:rPr>
        <w:t> </w:t>
      </w:r>
      <w:r>
        <w:rPr>
          <w:spacing w:val="-66"/>
        </w:rPr>
      </w:r>
      <w:r>
        <w:rPr>
          <w:spacing w:val="-2"/>
        </w:rPr>
        <w:t>系统、银企对账管理系统、流程银行集中作业平台、非结构化内容管理系统、销售面签系统、机房监控管理系统等软件产品</w:t>
      </w:r>
      <w:r>
        <w:rPr>
          <w:spacing w:val="-66"/>
        </w:rPr>
        <w:t> </w:t>
      </w:r>
      <w:r>
        <w:rPr>
          <w:spacing w:val="-66"/>
        </w:rPr>
      </w:r>
      <w:r>
        <w:rPr/>
        <w:t>和软件开发服务。主要金融专用设备产品包括：智能印章控制机、票据自助受理机、高拍仪、回单自助打印机等。</w:t>
      </w:r>
    </w:p>
    <w:p>
      <w:pPr>
        <w:pStyle w:val="BodyText"/>
        <w:spacing w:line="477" w:lineRule="auto" w:before="54"/>
        <w:ind w:right="90" w:firstLine="360"/>
        <w:jc w:val="left"/>
      </w:pPr>
      <w:r>
        <w:rPr/>
        <w:t>经过长期的耕耘和发展，公司以上金融信息化产品和服务已经在国内银行业得到广泛应用，客户遍及国内31个省、市、 自治区的300余家银行或分行，涵盖三大政策性银行、五大国有商业银行、主要全国性股份制银行以及部分城市商业银行、 </w:t>
      </w:r>
      <w:r>
        <w:rPr>
          <w:spacing w:val="-2"/>
        </w:rPr>
        <w:t>农村商业银行和农村信用联社，覆盖超过8万个银行营业网点，约占全国银行业金融机构营业网点总数的40%。客户基础、技</w:t>
      </w:r>
      <w:r>
        <w:rPr>
          <w:spacing w:val="-62"/>
        </w:rPr>
        <w:t> </w:t>
      </w:r>
      <w:r>
        <w:rPr>
          <w:spacing w:val="-62"/>
        </w:rPr>
      </w:r>
      <w:r>
        <w:rPr/>
        <w:t>术与服务能力、核心产品市场占有率在国内同行业中居于领先地位。</w:t>
      </w:r>
    </w:p>
    <w:p>
      <w:pPr>
        <w:pStyle w:val="BodyText"/>
        <w:spacing w:line="477" w:lineRule="auto" w:before="54"/>
        <w:ind w:right="189" w:firstLine="360"/>
        <w:jc w:val="both"/>
      </w:pPr>
      <w:r>
        <w:rPr>
          <w:spacing w:val="-2"/>
        </w:rPr>
        <w:t>报告期内，公司立足于传统优势产品领域，紧密围绕行业热点、市场需求进行深度挖掘和创新，持续落实新产品开发和</w:t>
      </w:r>
      <w:r>
        <w:rPr/>
        <w:t> </w:t>
      </w:r>
      <w:r>
        <w:rPr>
          <w:spacing w:val="-2"/>
        </w:rPr>
        <w:t>市场推广计划，推动公司主营业务业绩提升。报告期内公司金融专用设备重点创新产品智能印章控制机，在市场推广方面取</w:t>
      </w:r>
      <w:r>
        <w:rPr>
          <w:spacing w:val="-66"/>
        </w:rPr>
        <w:t> </w:t>
      </w:r>
      <w:r>
        <w:rPr>
          <w:spacing w:val="-66"/>
        </w:rPr>
      </w:r>
      <w:r>
        <w:rPr>
          <w:spacing w:val="-2"/>
        </w:rPr>
        <w:t>得了突破性的成绩，产品在中国农业银行、中国银行、中国光大银行、中信银行、交通银行、中国民生银行等银行取得了招</w:t>
      </w:r>
      <w:r>
        <w:rPr>
          <w:spacing w:val="-68"/>
        </w:rPr>
        <w:t> </w:t>
      </w:r>
      <w:r>
        <w:rPr>
          <w:spacing w:val="-68"/>
        </w:rPr>
      </w:r>
      <w:r>
        <w:rPr/>
        <w:t>标入围或市场应用，推动了报告期内公司金融信息化业务的增长，并为今后公司经营业绩的增长打下了良好的基础。</w:t>
      </w:r>
    </w:p>
    <w:p>
      <w:pPr>
        <w:pStyle w:val="BodyText"/>
        <w:spacing w:line="477" w:lineRule="auto" w:before="54"/>
        <w:ind w:left="514" w:right="90"/>
        <w:jc w:val="left"/>
      </w:pPr>
      <w:r>
        <w:rPr/>
        <w:t>（二）移动商务服务 </w:t>
      </w:r>
      <w:r>
        <w:rPr>
          <w:spacing w:val="-2"/>
        </w:rPr>
        <w:t>在移动商务服务领域，公司2014年10月完成对北京亿美软通科技有限公司的重大资产重组，全资收购国内领先的移动商</w:t>
      </w:r>
    </w:p>
    <w:p>
      <w:pPr>
        <w:pStyle w:val="BodyText"/>
        <w:spacing w:line="477" w:lineRule="auto" w:before="54"/>
        <w:ind w:right="189"/>
        <w:jc w:val="both"/>
      </w:pPr>
      <w:r>
        <w:rPr>
          <w:spacing w:val="-2"/>
        </w:rPr>
        <w:t>务平台技术和应用方案提供商亿美软通，全面进入移动商务服务和移动互联网领域。亿美软通主要为国内外企业提供移动商</w:t>
      </w:r>
      <w:r>
        <w:rPr>
          <w:spacing w:val="-64"/>
        </w:rPr>
        <w:t> </w:t>
      </w:r>
      <w:r>
        <w:rPr>
          <w:spacing w:val="-64"/>
        </w:rPr>
      </w:r>
      <w:r>
        <w:rPr>
          <w:spacing w:val="-2"/>
        </w:rPr>
        <w:t>务平台及运营服务，包括为客户提供移动信息服务、移动个性服务、移动数据采集、移动高效管理等方面的各类移动商务产</w:t>
      </w:r>
      <w:r>
        <w:rPr>
          <w:spacing w:val="-66"/>
        </w:rPr>
        <w:t> </w:t>
      </w:r>
      <w:r>
        <w:rPr>
          <w:spacing w:val="-66"/>
        </w:rPr>
      </w:r>
      <w:r>
        <w:rPr/>
        <w:t>品和通讯服务，主要产品类型包括移动通讯产品、移动互联产品、移动应用产品等。</w:t>
      </w:r>
    </w:p>
    <w:p>
      <w:pPr>
        <w:pStyle w:val="BodyText"/>
        <w:spacing w:line="240" w:lineRule="auto" w:before="54"/>
        <w:ind w:left="514" w:right="90"/>
        <w:jc w:val="left"/>
      </w:pPr>
      <w:r>
        <w:rPr>
          <w:spacing w:val="-4"/>
        </w:rPr>
        <w:t>报告期内，亿美软通依托移动互联网时代的发展趋势，发挥在市场渠道、技术、人才、行业品牌等方面的核心竞争优势，</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0"/>
        <w:jc w:val="left"/>
      </w:pPr>
      <w:r>
        <w:rPr>
          <w:spacing w:val="-2"/>
        </w:rPr>
        <w:t>充分利用本公司各项业务协同发展资源，在移动商务服务领域不断渗透，移动商务服务业务业绩大幅提升。同时，亿美软通</w:t>
      </w:r>
      <w:r>
        <w:rPr>
          <w:spacing w:val="-66"/>
        </w:rPr>
        <w:t> </w:t>
      </w:r>
      <w:r>
        <w:rPr>
          <w:spacing w:val="-66"/>
        </w:rPr>
      </w:r>
      <w:r>
        <w:rPr/>
        <w:t>与本公司在本报告期的完整会计年度内合并报告，推动公司整体业绩大幅增长。</w:t>
      </w:r>
    </w:p>
    <w:p>
      <w:pPr>
        <w:pStyle w:val="BodyText"/>
        <w:spacing w:line="477" w:lineRule="auto" w:before="54"/>
        <w:ind w:left="514" w:right="90"/>
        <w:jc w:val="left"/>
      </w:pPr>
      <w:r>
        <w:rPr/>
        <w:t>（三）数据服务 </w:t>
      </w:r>
      <w:r>
        <w:rPr>
          <w:spacing w:val="-2"/>
        </w:rPr>
        <w:t>报告期内，公司利用在金融信息化业务中积累的广泛的银行客户资源，以及亿美软通的大数据应用技术和行业经验，协</w:t>
      </w:r>
    </w:p>
    <w:p>
      <w:pPr>
        <w:pStyle w:val="BodyText"/>
        <w:spacing w:line="477" w:lineRule="auto" w:before="54"/>
        <w:ind w:left="514" w:right="180" w:hanging="360"/>
        <w:jc w:val="left"/>
      </w:pPr>
      <w:r>
        <w:rPr/>
        <w:t>同发展数据服务业务。 公司全资子公司亿美软通在十余年的行业经验中，积累了覆盖200个城市的30余个行业的超过45万家企业客户，同时，</w:t>
      </w:r>
    </w:p>
    <w:p>
      <w:pPr>
        <w:pStyle w:val="BodyText"/>
        <w:spacing w:line="477" w:lineRule="auto" w:before="54"/>
        <w:ind w:right="90"/>
        <w:jc w:val="left"/>
      </w:pPr>
      <w:r>
        <w:rPr>
          <w:spacing w:val="-2"/>
        </w:rPr>
        <w:t>与全球领先的信用局Experian进行过长达三年的战略合作，并藉此积累了大数据应用技术及丰富的数据运营经验。基于上述</w:t>
      </w:r>
      <w:r>
        <w:rPr>
          <w:spacing w:val="-56"/>
        </w:rPr>
        <w:t> </w:t>
      </w:r>
      <w:r>
        <w:rPr>
          <w:spacing w:val="-56"/>
        </w:rPr>
      </w:r>
      <w:r>
        <w:rPr>
          <w:spacing w:val="-2"/>
        </w:rPr>
        <w:t>客户资源、技术能力和行业经验，报告期内公司与亿美软通协作为金融机构客户提供数据分析服务、消费及风险评级服务及</w:t>
      </w:r>
      <w:r>
        <w:rPr>
          <w:spacing w:val="-66"/>
        </w:rPr>
        <w:t> </w:t>
      </w:r>
      <w:r>
        <w:rPr>
          <w:spacing w:val="-66"/>
        </w:rPr>
      </w:r>
      <w:r>
        <w:rPr/>
        <w:t>精准营销服务等相关数据应用服务。报告期内，公司已就上述服务与华融湘江银行、中国农业银行深圳市分行、廊坊银行、 宜宾市商业银行等金融行业客户建立了良好的业务合作关系。</w:t>
      </w:r>
    </w:p>
    <w:p>
      <w:pPr>
        <w:pStyle w:val="BodyText"/>
        <w:spacing w:line="477" w:lineRule="auto" w:before="54"/>
        <w:ind w:left="514" w:right="180"/>
        <w:jc w:val="left"/>
      </w:pPr>
      <w:r>
        <w:rPr/>
        <w:t>（四）电子商务 在电子商务服务领域，2014年10月公司通过增资控股方式收购了深圳市科安数字有限公司51%的股权，从而进入电子商</w:t>
      </w:r>
    </w:p>
    <w:p>
      <w:pPr>
        <w:pStyle w:val="BodyText"/>
        <w:spacing w:line="477" w:lineRule="auto" w:before="54"/>
        <w:ind w:left="514" w:right="90" w:hanging="360"/>
        <w:jc w:val="left"/>
      </w:pPr>
      <w:r>
        <w:rPr>
          <w:spacing w:val="-2"/>
        </w:rPr>
        <w:t>务服务领域。科安数字主要经营家居安防产品的跨境电子商务，以B2C的业务模式向家庭、企业、商铺等客户提供产品销售。</w:t>
      </w:r>
      <w:r>
        <w:rPr>
          <w:spacing w:val="-62"/>
        </w:rPr>
        <w:t> </w:t>
      </w:r>
      <w:r>
        <w:rPr>
          <w:spacing w:val="-62"/>
        </w:rPr>
      </w:r>
      <w:r>
        <w:rPr>
          <w:spacing w:val="-2"/>
        </w:rPr>
        <w:t>报告期内，借助科安数字在产品解决方案和电商渠道方面的优势，以及本公司上市公司的平台优势，科安数字电子商务</w:t>
      </w:r>
    </w:p>
    <w:p>
      <w:pPr>
        <w:pStyle w:val="BodyText"/>
        <w:spacing w:line="477" w:lineRule="auto" w:before="54"/>
        <w:ind w:right="90"/>
        <w:jc w:val="left"/>
      </w:pPr>
      <w:r>
        <w:rPr>
          <w:spacing w:val="-2"/>
        </w:rPr>
        <w:t>业务迅速发展。截至报告期末，科安数字的电商产品服务区域已覆盖美国、英国、德国、法国、澳大利亚、西班牙和俄罗斯</w:t>
      </w:r>
      <w:r>
        <w:rPr>
          <w:spacing w:val="-65"/>
        </w:rPr>
        <w:t> </w:t>
      </w:r>
      <w:r>
        <w:rPr>
          <w:spacing w:val="-65"/>
        </w:rPr>
      </w:r>
      <w:r>
        <w:rPr/>
        <w:t>等多个国家，经营业绩增速较快，相应推动了公司整体经营业绩的增长。</w:t>
      </w:r>
    </w:p>
    <w:p>
      <w:pPr>
        <w:pStyle w:val="BodyText"/>
        <w:spacing w:line="477" w:lineRule="auto" w:before="54"/>
        <w:ind w:left="514" w:right="5490"/>
        <w:jc w:val="left"/>
      </w:pPr>
      <w:r>
        <w:rPr/>
        <w:t>（五）其他在本报告期积极筹划和准备的创新业务 1.个人征信业务</w:t>
      </w:r>
    </w:p>
    <w:p>
      <w:pPr>
        <w:pStyle w:val="BodyText"/>
        <w:spacing w:line="477" w:lineRule="auto" w:before="54"/>
        <w:ind w:right="90" w:firstLine="360"/>
        <w:jc w:val="left"/>
      </w:pPr>
      <w:r>
        <w:rPr>
          <w:spacing w:val="-2"/>
        </w:rPr>
        <w:t>2013年12月，公司作为第一大股东（持股40%）投资成立了北京华道征信有限公司。2015年1月，华道征信被中国人民银</w:t>
      </w:r>
      <w:r>
        <w:rPr/>
        <w:t> 行列入“开展个人征信业务准备工作的机构名单”，是国内首批获准开展个人征信业务准备工作的八家民营征信机构之一。 我国个人征信行业处于市场化发展的起步阶段，个人消费的旺盛引发贷款需求的增长，个人征信市场存在巨大的发展空间， 个人征信行业将成为新蓝海（波士顿咨询公司，《中国个人征信行业报告（2015）》，2016年3月）。</w:t>
      </w:r>
    </w:p>
    <w:p>
      <w:pPr>
        <w:pStyle w:val="BodyText"/>
        <w:spacing w:line="477" w:lineRule="auto" w:before="54"/>
        <w:ind w:right="90" w:firstLine="360"/>
        <w:jc w:val="left"/>
      </w:pPr>
      <w:r>
        <w:rPr>
          <w:spacing w:val="-2"/>
        </w:rPr>
        <w:t>报告期内，华道征信继续在中国人民银行的督导下开展个人征信业务的准备工作，包括在信用信息方面积极对接电信运</w:t>
      </w:r>
      <w:r>
        <w:rPr/>
        <w:t> </w:t>
      </w:r>
      <w:r>
        <w:rPr>
          <w:spacing w:val="-2"/>
        </w:rPr>
        <w:t>营商信息、银行卡信息、航旅信息、催收黑名单信息、电商消费信息等多种征信数据源；在产品开发方面开发出个人租房信</w:t>
      </w:r>
      <w:r>
        <w:rPr>
          <w:spacing w:val="-66"/>
        </w:rPr>
        <w:t> </w:t>
      </w:r>
      <w:r>
        <w:rPr>
          <w:spacing w:val="-66"/>
        </w:rPr>
      </w:r>
      <w:r>
        <w:rPr>
          <w:spacing w:val="-2"/>
        </w:rPr>
        <w:t>用分产品（猪猪分）、声纹反欺诈产品、小额消费贷款模型等多种创新产品，并完成了征信服务平台规划；在市场合作方面</w:t>
      </w:r>
      <w:r>
        <w:rPr>
          <w:spacing w:val="-68"/>
        </w:rPr>
        <w:t> </w:t>
      </w:r>
      <w:r>
        <w:rPr>
          <w:spacing w:val="-68"/>
        </w:rPr>
      </w:r>
      <w:r>
        <w:rPr/>
        <w:t>积极与金融机构、互联网金融平台、人力资源机构、生活服务平台等企业和机构建立战略合作关系等。通过以上准备工作， 华道征信开展个人征信业务的综合能力得到进一步加强，也进一步夯实了公司未来发展互联网金融综合服务业务的战略基 石。</w:t>
      </w:r>
    </w:p>
    <w:p>
      <w:pPr>
        <w:pStyle w:val="BodyText"/>
        <w:spacing w:line="240" w:lineRule="auto" w:before="54"/>
        <w:ind w:left="514" w:right="90"/>
        <w:jc w:val="left"/>
      </w:pPr>
      <w:r>
        <w:rPr/>
        <w:t>2.互联网保险业务</w:t>
      </w:r>
    </w:p>
    <w:p>
      <w:pPr>
        <w:spacing w:line="240" w:lineRule="auto" w:before="10"/>
        <w:rPr>
          <w:rFonts w:ascii="宋体" w:hAnsi="宋体" w:cs="宋体" w:eastAsia="宋体" w:hint="default"/>
          <w:sz w:val="17"/>
          <w:szCs w:val="17"/>
        </w:rPr>
      </w:pPr>
    </w:p>
    <w:p>
      <w:pPr>
        <w:pStyle w:val="BodyText"/>
        <w:spacing w:line="240" w:lineRule="auto"/>
        <w:ind w:left="514" w:right="90"/>
        <w:jc w:val="left"/>
      </w:pPr>
      <w:r>
        <w:rPr/>
        <w:t>2014年8月，经公司第三届董事会第四次会议审议，公司投资1.5亿元作为主发起人（持股比例为15%）与其他合作方共</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514" w:right="180" w:hanging="360"/>
        <w:jc w:val="left"/>
      </w:pPr>
      <w:r>
        <w:rPr/>
        <w:t>同发起设立易安财产保险股份有限公司。 报告期内，公司协同其他合作方积极开展易安保险的经营许可申请和筹建工作。2015年6月，易安保险筹备组收到中国</w:t>
      </w:r>
    </w:p>
    <w:p>
      <w:pPr>
        <w:pStyle w:val="BodyText"/>
        <w:spacing w:line="477" w:lineRule="auto" w:before="54"/>
        <w:ind w:right="188"/>
        <w:jc w:val="both"/>
      </w:pPr>
      <w:r>
        <w:rPr>
          <w:spacing w:val="-2"/>
        </w:rPr>
        <w:t>保监会《关于筹建易安财产保险股份有限公司的批复》（保监许可[2015]626号）；2016年2月，易安保险取得中国保监会核</w:t>
      </w:r>
      <w:r>
        <w:rPr>
          <w:spacing w:val="-53"/>
        </w:rPr>
        <w:t> </w:t>
      </w:r>
      <w:r>
        <w:rPr>
          <w:spacing w:val="-53"/>
        </w:rPr>
      </w:r>
      <w:r>
        <w:rPr>
          <w:spacing w:val="-2"/>
        </w:rPr>
        <w:t>发的《关于易安财产保险股份有限公司开业的批复》（保监许可[2016]81号）。目前，易安保险已经取得了深圳市市场监督</w:t>
      </w:r>
      <w:r>
        <w:rPr>
          <w:spacing w:val="-61"/>
        </w:rPr>
        <w:t> </w:t>
      </w:r>
      <w:r>
        <w:rPr>
          <w:spacing w:val="-61"/>
        </w:rPr>
      </w:r>
      <w:r>
        <w:rPr/>
        <w:t>管理局颁发的《营业执照》，完成了工商注册登记手续，将以互联网保险为特色开展筹建和经营企业/家庭财产保险、货运 保险、责任保险、信用保证保险等业务。</w:t>
      </w:r>
    </w:p>
    <w:p>
      <w:pPr>
        <w:pStyle w:val="BodyText"/>
        <w:spacing w:line="477" w:lineRule="auto" w:before="54"/>
        <w:ind w:left="514" w:right="90"/>
        <w:jc w:val="left"/>
      </w:pPr>
      <w:r>
        <w:rPr/>
        <w:t>3.移动支付业务 </w:t>
      </w:r>
      <w:r>
        <w:rPr>
          <w:spacing w:val="-2"/>
        </w:rPr>
        <w:t>公司2013年10月与深圳联合金融服务集团有限公司合资成立深圳票联金融服务公司，开展支票自助金融服务业务。2014</w:t>
      </w:r>
    </w:p>
    <w:p>
      <w:pPr>
        <w:pStyle w:val="BodyText"/>
        <w:spacing w:line="477" w:lineRule="auto" w:before="54"/>
        <w:ind w:left="514" w:right="90" w:hanging="360"/>
        <w:jc w:val="left"/>
      </w:pPr>
      <w:r>
        <w:rPr/>
        <w:t>年7月，以商业银行支票自助金融服务为核心的票联通业务已经在深圳地区开通上线。 </w:t>
      </w:r>
      <w:r>
        <w:rPr>
          <w:spacing w:val="-2"/>
        </w:rPr>
        <w:t>报告期内，票联金融依托深圳联合金融服务集团和本公司的业务与技术资源，研究开发移动支付平台、银网通等创新支</w:t>
      </w:r>
    </w:p>
    <w:p>
      <w:pPr>
        <w:pStyle w:val="BodyText"/>
        <w:spacing w:line="477" w:lineRule="auto" w:before="54"/>
        <w:ind w:right="108"/>
        <w:jc w:val="both"/>
      </w:pPr>
      <w:r>
        <w:rPr>
          <w:spacing w:val="-2"/>
        </w:rPr>
        <w:t>付平台。移动支付平台主要通过移动智能终端实现线下收单业务，打通各种第三方支付平台以及商业银行的支付渠道；银网</w:t>
      </w:r>
      <w:r>
        <w:rPr>
          <w:spacing w:val="-66"/>
        </w:rPr>
        <w:t> </w:t>
      </w:r>
      <w:r>
        <w:rPr>
          <w:spacing w:val="-66"/>
        </w:rPr>
      </w:r>
      <w:r>
        <w:rPr/>
        <w:t>通依托深圳金融结算系统，主要为商业银行的直销平台、电商网站提供跨行快捷支付服务，实现跨区域跨行网络快捷支付。</w:t>
      </w:r>
    </w:p>
    <w:p>
      <w:pPr>
        <w:spacing w:line="240" w:lineRule="auto" w:before="1"/>
        <w:rPr>
          <w:rFonts w:ascii="宋体" w:hAnsi="宋体" w:cs="宋体" w:eastAsia="宋体" w:hint="default"/>
          <w:sz w:val="16"/>
          <w:szCs w:val="16"/>
        </w:rPr>
      </w:pPr>
    </w:p>
    <w:p>
      <w:pPr>
        <w:pStyle w:val="BodyText"/>
        <w:spacing w:line="477" w:lineRule="auto"/>
        <w:ind w:right="189" w:firstLine="357"/>
        <w:jc w:val="both"/>
      </w:pPr>
      <w:r>
        <w:rPr>
          <w:spacing w:val="-2"/>
        </w:rPr>
        <w:t>公司通过以上各主要业务的开展，以及创新业务的筹划和准备，已经逐步在互联网金融综合服务领域形成了比较完整的</w:t>
      </w:r>
      <w:r>
        <w:rPr/>
        <w:t> </w:t>
      </w:r>
      <w:r>
        <w:rPr>
          <w:spacing w:val="-2"/>
        </w:rPr>
        <w:t>业务布局，构建了以金融IT、个人征信、大数据技术及移动支付平台为基石，以风险定价和精准营销为核心能力，向客户提</w:t>
      </w:r>
      <w:r>
        <w:rPr>
          <w:spacing w:val="-64"/>
        </w:rPr>
        <w:t> </w:t>
      </w:r>
      <w:r>
        <w:rPr>
          <w:spacing w:val="-64"/>
        </w:rPr>
      </w:r>
      <w:r>
        <w:rPr>
          <w:spacing w:val="-2"/>
        </w:rPr>
        <w:t>供集软件开发、系统运维、数据服务、金融中介等综合服务的战略业务格局，为公司以金融服务为核心的业务发展开创了广</w:t>
      </w:r>
      <w:r>
        <w:rPr>
          <w:spacing w:val="-66"/>
        </w:rPr>
        <w:t> </w:t>
      </w:r>
      <w:r>
        <w:rPr>
          <w:spacing w:val="-66"/>
        </w:rPr>
      </w:r>
      <w:r>
        <w:rPr/>
        <w:t>阔的发展空间。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2"/>
        <w:spacing w:line="240" w:lineRule="auto"/>
        <w:ind w:right="9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183,387,936.83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602.69%</w:t>
            </w:r>
            <w:r>
              <w:rPr>
                <w:rFonts w:ascii="宋体" w:hAnsi="宋体" w:cs="宋体" w:eastAsia="宋体" w:hint="default"/>
                <w:sz w:val="18"/>
                <w:szCs w:val="18"/>
              </w:rPr>
              <w:t>，主要原因系报告期内本公司实 </w:t>
            </w:r>
            <w:r>
              <w:rPr>
                <w:rFonts w:ascii="宋体" w:hAnsi="宋体" w:cs="宋体" w:eastAsia="宋体" w:hint="default"/>
                <w:spacing w:val="-3"/>
                <w:sz w:val="18"/>
                <w:szCs w:val="18"/>
              </w:rPr>
              <w:t>施了投资设立易安保险，投资金额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万元，及公司子公司亿美软通实施了投资</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福建片仔癀银之杰健康管理有限公司，投资金额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4" w:space="0" w:color="000000"/>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148,076,851.84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元，同比增长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1956.56%</w:t>
            </w:r>
            <w:r>
              <w:rPr>
                <w:rFonts w:ascii="宋体" w:hAnsi="宋体" w:cs="宋体" w:eastAsia="宋体" w:hint="default"/>
                <w:sz w:val="18"/>
                <w:szCs w:val="18"/>
              </w:rPr>
              <w:t>，主要原因系报告期末公司子公 司亿美软通与上年期末相比新增结构化存款理财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18,107,111.74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元，同比增长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307.90%</w:t>
            </w:r>
            <w:r>
              <w:rPr>
                <w:rFonts w:ascii="宋体" w:hAnsi="宋体" w:cs="宋体" w:eastAsia="宋体" w:hint="default"/>
                <w:sz w:val="18"/>
                <w:szCs w:val="18"/>
              </w:rPr>
              <w:t>，主要原因系报告期内本公司股权</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2"/>
        <w:rPr>
          <w:rFonts w:ascii="宋体" w:hAnsi="宋体" w:cs="宋体" w:eastAsia="宋体" w:hint="default"/>
          <w:b/>
          <w:bCs/>
          <w:sz w:val="24"/>
          <w:szCs w:val="24"/>
        </w:rPr>
      </w:pPr>
    </w:p>
    <w:p>
      <w:pPr>
        <w:spacing w:line="693" w:lineRule="exact"/>
        <w:ind w:left="14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35pt;height:34.7pt;mso-position-horizontal-relative:char;mso-position-vertical-relative:line" coordorigin="0,0" coordsize="9587,694">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684" coordorigin="10,5" coordsize="2,684">
              <v:shape style="position:absolute;left:10;top:5;width:2;height:684" coordorigin="10,5" coordsize="0,684" path="m10,5l10,689e" filled="false" stroked="true" strokeweight=".48001pt" strokecolor="#000000">
                <v:path arrowok="t"/>
              </v:shape>
            </v:group>
            <v:group style="position:absolute;left:5;top:684;width:3052;height:2" coordorigin="5,684" coordsize="3052,2">
              <v:shape style="position:absolute;left:5;top:684;width:3052;height:2" coordorigin="5,684" coordsize="3052,0" path="m5,684l3056,684e" filled="false" stroked="true" strokeweight=".47998pt" strokecolor="#000000">
                <v:path arrowok="t"/>
              </v:shape>
            </v:group>
            <v:group style="position:absolute;left:3061;top:14;width:2;height:675" coordorigin="3061,14" coordsize="2,675">
              <v:shape style="position:absolute;left:3061;top:14;width:2;height:675" coordorigin="3061,14" coordsize="0,675" path="m3061,14l3061,689e" filled="false" stroked="true" strokeweight=".48001pt" strokecolor="#000000">
                <v:path arrowok="t"/>
              </v:shape>
            </v:group>
            <v:group style="position:absolute;left:3066;top:684;width:6507;height:2" coordorigin="3066,684" coordsize="6507,2">
              <v:shape style="position:absolute;left:3066;top:684;width:6507;height:2" coordorigin="3066,684" coordsize="6507,0" path="m3066,684l9572,684e" filled="false" stroked="true" strokeweight=".47998pt" strokecolor="#000000">
                <v:path arrowok="t"/>
              </v:shape>
            </v:group>
            <v:group style="position:absolute;left:9577;top:5;width:2;height:684" coordorigin="9577,5" coordsize="2,684">
              <v:shape style="position:absolute;left:9577;top:5;width:2;height:684" coordorigin="9577,5" coordsize="0,684" path="m9577,5l9577,689e" filled="false" stroked="true" strokeweight=".47998pt" strokecolor="#000000">
                <v:path arrowok="t"/>
              </v:shape>
              <v:shape style="position:absolute;left:3061;top:10;width:6516;height:675" type="#_x0000_t202" filled="false" stroked="false">
                <v:textbox inset="0,0,0,0">
                  <w:txbxContent>
                    <w:p>
                      <w:pPr>
                        <w:spacing w:line="302" w:lineRule="auto" w:before="15"/>
                        <w:ind w:left="27" w:right="97" w:firstLine="0"/>
                        <w:jc w:val="left"/>
                        <w:rPr>
                          <w:rFonts w:ascii="宋体" w:hAnsi="宋体" w:cs="宋体" w:eastAsia="宋体" w:hint="default"/>
                          <w:sz w:val="18"/>
                          <w:szCs w:val="18"/>
                        </w:rPr>
                      </w:pPr>
                      <w:r>
                        <w:rPr>
                          <w:rFonts w:ascii="宋体" w:hAnsi="宋体" w:cs="宋体" w:eastAsia="宋体" w:hint="default"/>
                          <w:sz w:val="18"/>
                          <w:szCs w:val="18"/>
                        </w:rPr>
                        <w:t>激励计划因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年度业绩达标而实施行权，公司依照税法规定进行税前股权激励 费用扣除，而产生的可弥补亏损增加。</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三、核心竞争力分析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1" w:right="90"/>
        <w:jc w:val="left"/>
      </w:pPr>
      <w:r>
        <w:rPr/>
        <w:t>1.技术与业务经验优势 </w:t>
      </w:r>
      <w:r>
        <w:rPr>
          <w:spacing w:val="-2"/>
        </w:rPr>
        <w:t>公司在所从事的主要业务领域有长期的专业化积累，使公司在全行业内有技术领先和行业经验领先的优势。本公司在金</w:t>
      </w:r>
    </w:p>
    <w:p>
      <w:pPr>
        <w:pStyle w:val="BodyText"/>
        <w:spacing w:line="477" w:lineRule="auto" w:before="54"/>
        <w:ind w:left="153" w:right="91"/>
        <w:jc w:val="left"/>
      </w:pPr>
      <w:r>
        <w:rPr>
          <w:spacing w:val="-2"/>
        </w:rPr>
        <w:t>融信息化领域已经有18年的行业经验，主要全资子公司亿美软通在移动商务服务领域也有长达14年的行业经验积累，使得公</w:t>
      </w:r>
      <w:r>
        <w:rPr>
          <w:spacing w:val="-60"/>
        </w:rPr>
        <w:t> </w:t>
      </w:r>
      <w:r>
        <w:rPr>
          <w:spacing w:val="-60"/>
        </w:rPr>
      </w:r>
      <w:r>
        <w:rPr/>
        <w:t>司在图像处理、模式识别、机器视觉、工作流引擎技术，以及大数据分析处理、互联网应用等技术领域具有行业领先地位。 截至报告期末，公司及控股子公司已获得软件著作权113项、专利授权53项（其中发明专利15项、实用新型专利28项、外观 设计专利10项）。依靠以上核心技术的领先优势，公司在行业的竞争力日益增强。</w:t>
      </w:r>
    </w:p>
    <w:p>
      <w:pPr>
        <w:spacing w:line="240" w:lineRule="auto" w:before="1"/>
        <w:rPr>
          <w:rFonts w:ascii="宋体" w:hAnsi="宋体" w:cs="宋体" w:eastAsia="宋体" w:hint="default"/>
          <w:sz w:val="16"/>
          <w:szCs w:val="16"/>
        </w:rPr>
      </w:pPr>
    </w:p>
    <w:p>
      <w:pPr>
        <w:pStyle w:val="BodyText"/>
        <w:spacing w:line="477" w:lineRule="auto"/>
        <w:ind w:left="511" w:right="90"/>
        <w:jc w:val="left"/>
      </w:pPr>
      <w:r>
        <w:rPr/>
        <w:t>2.客户资源优势 </w:t>
      </w:r>
      <w:r>
        <w:rPr>
          <w:spacing w:val="-2"/>
        </w:rPr>
        <w:t>公司在主营业务涉及的各行业领域客户积累了比较明显的客户资源优势。在金融信息化行业，公司合作客户包括遍及国</w:t>
      </w:r>
    </w:p>
    <w:p>
      <w:pPr>
        <w:pStyle w:val="BodyText"/>
        <w:spacing w:line="477" w:lineRule="auto" w:before="54"/>
        <w:ind w:left="153" w:right="198"/>
        <w:jc w:val="both"/>
      </w:pPr>
      <w:r>
        <w:rPr/>
        <w:t>内31个省、市、自治区的300余家银行或分行，涵盖三大政策性银行、五大国有商业银行、主要全国性股份制银行以及部分 城市商业银行、农村商业银行和农村信用联社，用户覆盖超过8万个银行营业网点，约占全国银行业金融机构营业网点总数 的40%。在移动商务服务领域，公司子公司亿美软通已为银行、酒店、航空、旅游、电商、商超等超过45万家企业提供移动 信息通讯、大数据运营服务，服务数据覆盖约7亿人群。公司的客户资源在同行业中居于领先地位，使公司具备了较强的市 场竞争优势，是公司今后业务持续发展的坚实基础。</w:t>
      </w:r>
    </w:p>
    <w:p>
      <w:pPr>
        <w:spacing w:line="240" w:lineRule="auto" w:before="1"/>
        <w:rPr>
          <w:rFonts w:ascii="宋体" w:hAnsi="宋体" w:cs="宋体" w:eastAsia="宋体" w:hint="default"/>
          <w:sz w:val="16"/>
          <w:szCs w:val="16"/>
        </w:rPr>
      </w:pPr>
    </w:p>
    <w:p>
      <w:pPr>
        <w:pStyle w:val="BodyText"/>
        <w:spacing w:line="477" w:lineRule="auto"/>
        <w:ind w:left="511" w:right="90"/>
        <w:jc w:val="left"/>
      </w:pPr>
      <w:r>
        <w:rPr/>
        <w:t>3.业务牌照资源优势 </w:t>
      </w:r>
      <w:r>
        <w:rPr>
          <w:spacing w:val="-2"/>
        </w:rPr>
        <w:t>公司一直坚持以国家政策导向为指引确定战略业务发展规划，在国家主管部门的监管下合法、合规地开展业务。在此指</w:t>
      </w:r>
    </w:p>
    <w:p>
      <w:pPr>
        <w:pStyle w:val="BodyText"/>
        <w:spacing w:line="477" w:lineRule="auto" w:before="54"/>
        <w:ind w:left="153" w:right="190"/>
        <w:jc w:val="both"/>
      </w:pPr>
      <w:r>
        <w:rPr>
          <w:spacing w:val="-2"/>
        </w:rPr>
        <w:t>导思想下，公司已经取得了开展主要业务及创新业务的牌照许可。公司子公司华道征信已被中国人民银行列入“开展个人征</w:t>
      </w:r>
      <w:r>
        <w:rPr>
          <w:spacing w:val="-66"/>
        </w:rPr>
        <w:t> </w:t>
      </w:r>
      <w:r>
        <w:rPr>
          <w:spacing w:val="-66"/>
        </w:rPr>
      </w:r>
      <w:r>
        <w:rPr>
          <w:spacing w:val="-2"/>
        </w:rPr>
        <w:t>信业务准备工作的机构名单”，是国内首批获准开展个人征信业务准备工作的八家民营征信机构之一。公司发起设立的易安</w:t>
      </w:r>
      <w:r>
        <w:rPr>
          <w:spacing w:val="-66"/>
        </w:rPr>
        <w:t> </w:t>
      </w:r>
      <w:r>
        <w:rPr>
          <w:spacing w:val="-66"/>
        </w:rPr>
      </w:r>
      <w:r>
        <w:rPr>
          <w:spacing w:val="-2"/>
        </w:rPr>
        <w:t>保险已经取得中国保监会核发的保险公司法人许可证书并正式开业运营。以上经营许可牌照均具有非常高的稀缺性，因此具</w:t>
      </w:r>
      <w:r>
        <w:rPr>
          <w:spacing w:val="-64"/>
        </w:rPr>
        <w:t> </w:t>
      </w:r>
      <w:r>
        <w:rPr>
          <w:spacing w:val="-64"/>
        </w:rPr>
      </w:r>
      <w:r>
        <w:rPr/>
        <w:t>有很强的核心竞争优势。</w:t>
      </w:r>
    </w:p>
    <w:p>
      <w:pPr>
        <w:spacing w:line="240" w:lineRule="auto" w:before="1"/>
        <w:rPr>
          <w:rFonts w:ascii="宋体" w:hAnsi="宋体" w:cs="宋体" w:eastAsia="宋体" w:hint="default"/>
          <w:sz w:val="16"/>
          <w:szCs w:val="16"/>
        </w:rPr>
      </w:pPr>
    </w:p>
    <w:p>
      <w:pPr>
        <w:pStyle w:val="BodyText"/>
        <w:spacing w:line="477" w:lineRule="auto"/>
        <w:ind w:left="511" w:right="90"/>
        <w:jc w:val="left"/>
      </w:pPr>
      <w:r>
        <w:rPr/>
        <w:t>4. 产业生态布局的协同发展优势 </w:t>
      </w:r>
      <w:r>
        <w:rPr>
          <w:spacing w:val="-2"/>
        </w:rPr>
        <w:t>近年来，按照公司战略发展规划，公司的主营业务已经从金融信息化向互联网金融领域延伸发展。目前，公司主营业务</w:t>
      </w:r>
    </w:p>
    <w:p>
      <w:pPr>
        <w:pStyle w:val="BodyText"/>
        <w:spacing w:line="477" w:lineRule="auto" w:before="54"/>
        <w:ind w:left="153" w:right="191"/>
        <w:jc w:val="both"/>
      </w:pPr>
      <w:r>
        <w:rPr>
          <w:spacing w:val="-2"/>
        </w:rPr>
        <w:t>已经涉及金融信息化、移动商务服务、电子商务等多个行业领域，并且投资和布局个人征信服务、票据自助金融服务、互联</w:t>
      </w:r>
      <w:r>
        <w:rPr>
          <w:spacing w:val="-66"/>
        </w:rPr>
        <w:t> </w:t>
      </w:r>
      <w:r>
        <w:rPr>
          <w:spacing w:val="-66"/>
        </w:rPr>
      </w:r>
      <w:r>
        <w:rPr>
          <w:spacing w:val="-2"/>
        </w:rPr>
        <w:t>网保险、大数据运营服务等业务领域。公司逐步构建了金融信息化、移动互联网和互联网金融领域的产业生态圈。随着以上</w:t>
      </w:r>
    </w:p>
    <w:p>
      <w:pPr>
        <w:spacing w:after="0" w:line="477"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产业链布局的推进，公司在产业生态布局方面的协同优势明显，使公司的整体竞争实力大为增强。</w:t>
      </w:r>
    </w:p>
    <w:p>
      <w:pPr>
        <w:spacing w:line="240" w:lineRule="auto" w:before="0"/>
        <w:rPr>
          <w:rFonts w:ascii="宋体" w:hAnsi="宋体" w:cs="宋体" w:eastAsia="宋体" w:hint="default"/>
          <w:sz w:val="18"/>
          <w:szCs w:val="18"/>
        </w:rPr>
      </w:pPr>
    </w:p>
    <w:p>
      <w:pPr>
        <w:pStyle w:val="BodyText"/>
        <w:spacing w:line="477" w:lineRule="auto" w:before="153"/>
        <w:ind w:left="511" w:right="0"/>
        <w:jc w:val="left"/>
      </w:pPr>
      <w:r>
        <w:rPr/>
        <w:t>5.人才优势 </w:t>
      </w:r>
      <w:r>
        <w:rPr>
          <w:spacing w:val="-2"/>
        </w:rPr>
        <w:t>经过多年的发展，公司逐步汇集了一批技术、市场、管理、资本领域的专业人才，其中不乏专业水平突出、行业经验丰</w:t>
      </w:r>
    </w:p>
    <w:p>
      <w:pPr>
        <w:pStyle w:val="BodyText"/>
        <w:spacing w:line="477" w:lineRule="auto" w:before="54"/>
        <w:ind w:right="0"/>
        <w:jc w:val="left"/>
      </w:pPr>
      <w:r>
        <w:rPr>
          <w:spacing w:val="-2"/>
        </w:rPr>
        <w:t>富的复合型人才。公司管理团队团结稳定、勤勉务实、积极进取，并高度重视人才梯队建设工作。随着企业经营规模不断扩</w:t>
      </w:r>
      <w:r>
        <w:rPr>
          <w:spacing w:val="-66"/>
        </w:rPr>
        <w:t> </w:t>
      </w:r>
      <w:r>
        <w:rPr>
          <w:spacing w:val="-66"/>
        </w:rPr>
      </w:r>
      <w:r>
        <w:rPr/>
        <w:t>大，公司仍将继续完善公司的人才战略，以人为本，广纳贤才，努力把人才优势转化为公司长远发展的推动力。</w:t>
      </w:r>
    </w:p>
    <w:p>
      <w:pPr>
        <w:spacing w:after="0" w:line="477"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126" w:right="90"/>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w:t>
      </w:r>
      <w:r>
        <w:rPr>
          <w:spacing w:val="-94"/>
        </w:rPr>
        <w:t> </w:t>
      </w:r>
      <w:r>
        <w:rPr/>
        <w:t>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88" w:firstLine="360"/>
        <w:jc w:val="both"/>
      </w:pPr>
      <w:r>
        <w:rPr>
          <w:spacing w:val="-2"/>
        </w:rPr>
        <w:t>报告期内，公司按照董事会的既定战略发展规划和经营计划，务实进取，开拓创新，在扎实做好现有主营业务生产运营</w:t>
      </w:r>
      <w:r>
        <w:rPr/>
        <w:t> </w:t>
      </w:r>
      <w:r>
        <w:rPr>
          <w:spacing w:val="-2"/>
        </w:rPr>
        <w:t>的同时，着力推进公司战略布局创新业务落地实施，并继续通过对外投资、收购兼并等方式，推进公司业务外延式发展，为</w:t>
      </w:r>
      <w:r>
        <w:rPr>
          <w:spacing w:val="-66"/>
        </w:rPr>
        <w:t> </w:t>
      </w:r>
      <w:r>
        <w:rPr>
          <w:spacing w:val="-66"/>
        </w:rPr>
      </w:r>
      <w:r>
        <w:rPr>
          <w:spacing w:val="-2"/>
        </w:rPr>
        <w:t>公司开创了全新的发展局面。报告期内，公司各项业务运营、行业拓展、对外投资、融资计划等进展顺利，取得了良好的经</w:t>
      </w:r>
      <w:r>
        <w:rPr>
          <w:spacing w:val="-67"/>
        </w:rPr>
        <w:t> </w:t>
      </w:r>
      <w:r>
        <w:rPr>
          <w:spacing w:val="-67"/>
        </w:rPr>
      </w:r>
      <w:r>
        <w:rPr/>
        <w:t>营成果。目前，公司业务已涵盖金融信息化、移动商务服务、数据服务、个人征信、互联网保险及电子商务等领域。</w:t>
      </w:r>
    </w:p>
    <w:p>
      <w:pPr>
        <w:pStyle w:val="BodyText"/>
        <w:spacing w:line="451" w:lineRule="auto" w:before="54"/>
        <w:ind w:right="191" w:firstLine="360"/>
        <w:jc w:val="both"/>
      </w:pPr>
      <w:r>
        <w:rPr>
          <w:spacing w:val="-1"/>
        </w:rPr>
        <w:t>报告期内，公司实现营业总收入</w:t>
      </w:r>
      <w:r>
        <w:rPr>
          <w:rFonts w:ascii="Times New Roman" w:hAnsi="Times New Roman" w:cs="Times New Roman" w:eastAsia="Times New Roman" w:hint="default"/>
          <w:spacing w:val="-1"/>
        </w:rPr>
        <w:t>619,663,715.53</w:t>
      </w:r>
      <w:r>
        <w:rPr>
          <w:spacing w:val="-1"/>
        </w:rPr>
        <w:t>元，较上年同期增长</w:t>
      </w:r>
      <w:r>
        <w:rPr>
          <w:rFonts w:ascii="Times New Roman" w:hAnsi="Times New Roman" w:cs="Times New Roman" w:eastAsia="Times New Roman" w:hint="default"/>
          <w:spacing w:val="-1"/>
        </w:rPr>
        <w:t>222.53%</w:t>
      </w:r>
      <w:r>
        <w:rPr>
          <w:spacing w:val="-1"/>
        </w:rPr>
        <w:t>；实现营业利润</w:t>
      </w:r>
      <w:r>
        <w:rPr>
          <w:rFonts w:ascii="Times New Roman" w:hAnsi="Times New Roman" w:cs="Times New Roman" w:eastAsia="Times New Roman" w:hint="default"/>
          <w:spacing w:val="-1"/>
        </w:rPr>
        <w:t>83,798,501.25</w:t>
      </w:r>
      <w:r>
        <w:rPr>
          <w:spacing w:val="-1"/>
        </w:rPr>
        <w:t>元，较上年同</w:t>
      </w:r>
      <w:r>
        <w:rPr/>
        <w:t> </w:t>
      </w:r>
      <w:r>
        <w:rPr>
          <w:spacing w:val="-1"/>
        </w:rPr>
        <w:t>期增长</w:t>
      </w:r>
      <w:r>
        <w:rPr>
          <w:rFonts w:ascii="Times New Roman" w:hAnsi="Times New Roman" w:cs="Times New Roman" w:eastAsia="Times New Roman" w:hint="default"/>
          <w:spacing w:val="-1"/>
        </w:rPr>
        <w:t>217.28%</w:t>
      </w:r>
      <w:r>
        <w:rPr>
          <w:spacing w:val="-1"/>
        </w:rPr>
        <w:t>；利润总额</w:t>
      </w:r>
      <w:r>
        <w:rPr>
          <w:rFonts w:ascii="Times New Roman" w:hAnsi="Times New Roman" w:cs="Times New Roman" w:eastAsia="Times New Roman" w:hint="default"/>
          <w:spacing w:val="-1"/>
        </w:rPr>
        <w:t>84,338,568.61</w:t>
      </w:r>
      <w:r>
        <w:rPr>
          <w:spacing w:val="-1"/>
        </w:rPr>
        <w:t>元，比上年同期增长</w:t>
      </w:r>
      <w:r>
        <w:rPr>
          <w:rFonts w:ascii="Times New Roman" w:hAnsi="Times New Roman" w:cs="Times New Roman" w:eastAsia="Times New Roman" w:hint="default"/>
          <w:spacing w:val="-1"/>
        </w:rPr>
        <w:t>173.80%</w:t>
      </w:r>
      <w:r>
        <w:rPr>
          <w:spacing w:val="-1"/>
        </w:rPr>
        <w:t>；归属于上市公司股东的净利润</w:t>
      </w:r>
      <w:r>
        <w:rPr>
          <w:rFonts w:ascii="Times New Roman" w:hAnsi="Times New Roman" w:cs="Times New Roman" w:eastAsia="Times New Roman" w:hint="default"/>
          <w:spacing w:val="-1"/>
        </w:rPr>
        <w:t>72,960,653.41</w:t>
      </w:r>
      <w:r>
        <w:rPr>
          <w:spacing w:val="-1"/>
        </w:rPr>
        <w:t>元，较上</w:t>
      </w:r>
      <w:r>
        <w:rPr>
          <w:spacing w:val="-46"/>
        </w:rPr>
        <w:t> </w:t>
      </w:r>
      <w:r>
        <w:rPr>
          <w:spacing w:val="-46"/>
        </w:rPr>
      </w:r>
      <w:r>
        <w:rPr/>
        <w:t>年同期增长</w:t>
      </w:r>
      <w:r>
        <w:rPr>
          <w:rFonts w:ascii="Times New Roman" w:hAnsi="Times New Roman" w:cs="Times New Roman" w:eastAsia="Times New Roman" w:hint="default"/>
        </w:rPr>
        <w:t>163.52%</w:t>
      </w:r>
      <w:r>
        <w:rPr/>
        <w:t>。</w:t>
      </w:r>
    </w:p>
    <w:p>
      <w:pPr>
        <w:pStyle w:val="BodyText"/>
        <w:spacing w:line="477" w:lineRule="auto" w:before="43"/>
        <w:ind w:left="514" w:right="2070"/>
        <w:jc w:val="left"/>
      </w:pPr>
      <w:r>
        <w:rPr/>
        <w:t>（一）主营业务收入 报告期内，公司主营业务收入主要来自于金融信息化、移动商务服务和电子商务等业务领域。</w:t>
      </w:r>
    </w:p>
    <w:p>
      <w:pPr>
        <w:pStyle w:val="BodyText"/>
        <w:spacing w:line="477" w:lineRule="auto" w:before="54"/>
        <w:ind w:right="90" w:firstLine="360"/>
        <w:jc w:val="left"/>
      </w:pPr>
      <w:r>
        <w:rPr/>
        <w:t>在金融信息化业务领域，本报告期公司立足于传统优势产品领域，紧密围绕行业热点、市场需求进行深度挖掘和创新， </w:t>
      </w:r>
      <w:r>
        <w:rPr>
          <w:spacing w:val="-2"/>
        </w:rPr>
        <w:t>持续落实新产品开发和市场推广计划，推动公司主营业务业绩提升。报告期内，公司重点创新产品智能印章控制机的市场推</w:t>
      </w:r>
      <w:r>
        <w:rPr>
          <w:spacing w:val="-66"/>
        </w:rPr>
        <w:t> </w:t>
      </w:r>
      <w:r>
        <w:rPr>
          <w:spacing w:val="-66"/>
        </w:rPr>
      </w:r>
      <w:r>
        <w:rPr>
          <w:spacing w:val="-2"/>
        </w:rPr>
        <w:t>广取得了突破性的成绩，产品在中国农业银行、中国银行、中国光大银行、中信银行、交通银行、中国民生银行等银行取得</w:t>
      </w:r>
      <w:r>
        <w:rPr>
          <w:spacing w:val="-68"/>
        </w:rPr>
        <w:t> </w:t>
      </w:r>
      <w:r>
        <w:rPr>
          <w:spacing w:val="-68"/>
        </w:rPr>
      </w:r>
      <w:r>
        <w:rPr>
          <w:spacing w:val="-1"/>
        </w:rPr>
        <w:t>了招标入围或市场应用，带动公司金融信息化业务保持良好增长，实现营业收入</w:t>
      </w:r>
      <w:r>
        <w:rPr>
          <w:rFonts w:ascii="Times New Roman" w:hAnsi="Times New Roman" w:cs="Times New Roman" w:eastAsia="Times New Roman" w:hint="default"/>
          <w:spacing w:val="-1"/>
        </w:rPr>
        <w:t>151,743,466.66</w:t>
      </w:r>
      <w:r>
        <w:rPr>
          <w:spacing w:val="-1"/>
        </w:rPr>
        <w:t>元，较上年同期增长</w:t>
      </w:r>
      <w:r>
        <w:rPr>
          <w:rFonts w:ascii="Times New Roman" w:hAnsi="Times New Roman" w:cs="Times New Roman" w:eastAsia="Times New Roman" w:hint="default"/>
          <w:spacing w:val="-1"/>
        </w:rPr>
        <w:t>42.00%</w:t>
      </w:r>
      <w:r>
        <w:rPr>
          <w:spacing w:val="-1"/>
        </w:rPr>
        <w:t>。</w:t>
      </w:r>
    </w:p>
    <w:p>
      <w:pPr>
        <w:pStyle w:val="BodyText"/>
        <w:spacing w:line="468" w:lineRule="auto" w:before="20"/>
        <w:ind w:left="153" w:right="90" w:firstLine="360"/>
        <w:jc w:val="left"/>
      </w:pPr>
      <w:r>
        <w:rPr>
          <w:spacing w:val="-2"/>
        </w:rPr>
        <w:t>在移动商务服务领域，营业收入主要来自于公司全资子公司亿美软通的移动信息服务和移动互联网应用服务业务。本报</w:t>
      </w:r>
      <w:r>
        <w:rPr/>
        <w:t> </w:t>
      </w:r>
      <w:r>
        <w:rPr>
          <w:spacing w:val="-2"/>
        </w:rPr>
        <w:t>告期，亿美软通依托移动互联网时代的发展趋势，发挥在市场渠道、技术、人才、行业品牌等方面的核心竞争优势，充分利</w:t>
      </w:r>
      <w:r>
        <w:rPr>
          <w:spacing w:val="-67"/>
        </w:rPr>
        <w:t> </w:t>
      </w:r>
      <w:r>
        <w:rPr>
          <w:spacing w:val="-67"/>
        </w:rPr>
      </w:r>
      <w:r>
        <w:rPr/>
        <w:t>用本公司各项业务协同发展资源，在移动商务服务领域不断渗透，实现营业收入</w:t>
      </w:r>
      <w:r>
        <w:rPr>
          <w:rFonts w:ascii="Times New Roman" w:hAnsi="Times New Roman" w:cs="Times New Roman" w:eastAsia="Times New Roman" w:hint="default"/>
        </w:rPr>
        <w:t>349,315,363.14</w:t>
      </w:r>
      <w:r>
        <w:rPr/>
        <w:t>元，较上年并表收入增长 </w:t>
      </w:r>
      <w:r>
        <w:rPr>
          <w:rFonts w:ascii="Times New Roman" w:hAnsi="Times New Roman" w:cs="Times New Roman" w:eastAsia="Times New Roman" w:hint="default"/>
        </w:rPr>
        <w:t>377.29%</w:t>
      </w:r>
      <w:r>
        <w:rPr/>
        <w:t>。</w:t>
      </w:r>
    </w:p>
    <w:p>
      <w:pPr>
        <w:pStyle w:val="BodyText"/>
        <w:spacing w:line="477" w:lineRule="auto" w:before="29"/>
        <w:ind w:left="153" w:right="91" w:firstLine="360"/>
        <w:jc w:val="left"/>
      </w:pPr>
      <w:r>
        <w:rPr/>
        <w:t>在电子商务服务领域，公司营业收入主要来自于控股子公司科安数字以家居安防产品为主要产品的跨境电子商务业务。 </w:t>
      </w:r>
      <w:r>
        <w:rPr>
          <w:spacing w:val="-2"/>
        </w:rPr>
        <w:t>近年来在国家政策支持下，跨境电子商务一直保持快速增长态势。报告期内，科安数字积极开拓海外电子商务新兴市场，实</w:t>
      </w:r>
      <w:r>
        <w:rPr>
          <w:spacing w:val="-66"/>
        </w:rPr>
        <w:t> </w:t>
      </w:r>
      <w:r>
        <w:rPr>
          <w:spacing w:val="-66"/>
        </w:rPr>
      </w:r>
      <w:r>
        <w:rPr/>
        <w:t>现营业收入</w:t>
      </w:r>
      <w:r>
        <w:rPr>
          <w:rFonts w:ascii="Times New Roman" w:hAnsi="Times New Roman" w:cs="Times New Roman" w:eastAsia="Times New Roman" w:hint="default"/>
        </w:rPr>
        <w:t>114,746,509.93</w:t>
      </w:r>
      <w:r>
        <w:rPr/>
        <w:t>元，较上年并表收入增长</w:t>
      </w:r>
      <w:r>
        <w:rPr>
          <w:rFonts w:ascii="Times New Roman" w:hAnsi="Times New Roman" w:cs="Times New Roman" w:eastAsia="Times New Roman" w:hint="default"/>
        </w:rPr>
        <w:t>1307.99%</w:t>
      </w:r>
      <w:r>
        <w:rPr/>
        <w:t>。</w:t>
      </w:r>
    </w:p>
    <w:p>
      <w:pPr>
        <w:pStyle w:val="BodyText"/>
        <w:spacing w:line="477" w:lineRule="auto" w:before="21"/>
        <w:ind w:left="514" w:right="255"/>
        <w:jc w:val="left"/>
        <w:rPr>
          <w:rFonts w:ascii="Times New Roman" w:hAnsi="Times New Roman" w:cs="Times New Roman" w:eastAsia="Times New Roman" w:hint="default"/>
        </w:rPr>
      </w:pPr>
      <w:r>
        <w:rPr/>
        <w:t>（二）净利润及驱动因素 报告期内，公司实现营业利润</w:t>
      </w:r>
      <w:r>
        <w:rPr>
          <w:rFonts w:ascii="Times New Roman" w:hAnsi="Times New Roman" w:cs="Times New Roman" w:eastAsia="Times New Roman" w:hint="default"/>
        </w:rPr>
        <w:t>83,798,501.25</w:t>
      </w:r>
      <w:r>
        <w:rPr/>
        <w:t>元，较上年同期增长</w:t>
      </w:r>
      <w:r>
        <w:rPr>
          <w:rFonts w:ascii="Times New Roman" w:hAnsi="Times New Roman" w:cs="Times New Roman" w:eastAsia="Times New Roman" w:hint="default"/>
        </w:rPr>
        <w:t>217.28%</w:t>
      </w:r>
      <w:r>
        <w:rPr/>
        <w:t>；归属于上市公司股东的净利润</w:t>
      </w:r>
      <w:r>
        <w:rPr>
          <w:rFonts w:ascii="Times New Roman" w:hAnsi="Times New Roman" w:cs="Times New Roman" w:eastAsia="Times New Roman" w:hint="default"/>
        </w:rPr>
        <w:t>72,960,653.41</w:t>
      </w:r>
    </w:p>
    <w:p>
      <w:pPr>
        <w:pStyle w:val="BodyText"/>
        <w:spacing w:line="451" w:lineRule="auto" w:before="21"/>
        <w:ind w:left="513" w:right="90" w:hanging="360"/>
        <w:jc w:val="left"/>
      </w:pPr>
      <w:r>
        <w:rPr/>
        <w:t>元，较上年同期增长</w:t>
      </w:r>
      <w:r>
        <w:rPr>
          <w:rFonts w:ascii="Times New Roman" w:hAnsi="Times New Roman" w:cs="Times New Roman" w:eastAsia="Times New Roman" w:hint="default"/>
        </w:rPr>
        <w:t>163.52%</w:t>
      </w:r>
      <w:r>
        <w:rPr/>
        <w:t>。 </w:t>
      </w:r>
      <w:r>
        <w:rPr>
          <w:spacing w:val="-2"/>
        </w:rPr>
        <w:t>报告期内，公司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月纳入合并范围的北京亿美软通科技有限公司和深圳科安数字有限公司在</w:t>
      </w:r>
      <w:r>
        <w:rPr>
          <w:rFonts w:ascii="Times New Roman" w:hAnsi="Times New Roman" w:cs="Times New Roman" w:eastAsia="Times New Roman" w:hint="default"/>
          <w:spacing w:val="-2"/>
        </w:rPr>
        <w:t>2015</w:t>
      </w:r>
      <w:r>
        <w:rPr>
          <w:spacing w:val="-2"/>
        </w:rPr>
        <w:t>年完整年度合并</w:t>
      </w:r>
    </w:p>
    <w:p>
      <w:pPr>
        <w:pStyle w:val="BodyText"/>
        <w:spacing w:line="240" w:lineRule="auto" w:before="43"/>
        <w:ind w:left="153" w:right="0"/>
        <w:jc w:val="left"/>
      </w:pPr>
      <w:r>
        <w:rPr/>
        <w:t>报表。公司金融信息化业务在智能印控机等产品的带动下营业收入保持良好增长。此外，公司近年来全面布局互联网金融以</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01"/>
        <w:jc w:val="both"/>
      </w:pPr>
      <w:r>
        <w:rPr>
          <w:spacing w:val="-4"/>
        </w:rPr>
        <w:t>及大数据业务领域，在相关业务布局的协同效应下，报告期内公司移动商务、数据服务业务较上年同期实现较大幅度的增长。</w:t>
      </w:r>
      <w:r>
        <w:rPr>
          <w:spacing w:val="-44"/>
        </w:rPr>
        <w:t> </w:t>
      </w:r>
      <w:r>
        <w:rPr>
          <w:spacing w:val="-44"/>
        </w:rPr>
      </w:r>
      <w:r>
        <w:rPr/>
        <w:t>受上述综合因素推动，公司本报告期业绩较上年同期实现大幅增长。</w:t>
      </w:r>
    </w:p>
    <w:p>
      <w:pPr>
        <w:pStyle w:val="BodyText"/>
        <w:spacing w:line="477" w:lineRule="auto" w:before="54"/>
        <w:ind w:left="514" w:right="90"/>
        <w:jc w:val="left"/>
      </w:pPr>
      <w:r>
        <w:rPr/>
        <w:t>（三）战略布局创新业务的发展情况 </w:t>
      </w:r>
      <w:r>
        <w:rPr>
          <w:spacing w:val="-2"/>
        </w:rPr>
        <w:t>公司近年来积极通过对外投资、收购兼并等资本市场手段，大力拓展新业务，在互联网金融综合服务领域进行了一系列</w:t>
      </w:r>
    </w:p>
    <w:p>
      <w:pPr>
        <w:pStyle w:val="BodyText"/>
        <w:spacing w:line="240" w:lineRule="auto" w:before="54"/>
        <w:ind w:right="0"/>
        <w:jc w:val="both"/>
      </w:pPr>
      <w:r>
        <w:rPr/>
        <w:t>的业务布局，为公司未来业务发展开创了广阔的发展空间。报告期内，公司战略创新业务的发展情况如下：</w:t>
      </w:r>
    </w:p>
    <w:p>
      <w:pPr>
        <w:spacing w:line="240" w:lineRule="auto" w:before="10"/>
        <w:rPr>
          <w:rFonts w:ascii="宋体" w:hAnsi="宋体" w:cs="宋体" w:eastAsia="宋体" w:hint="default"/>
          <w:sz w:val="17"/>
          <w:szCs w:val="17"/>
        </w:rPr>
      </w:pPr>
    </w:p>
    <w:p>
      <w:pPr>
        <w:pStyle w:val="BodyText"/>
        <w:spacing w:line="240" w:lineRule="auto"/>
        <w:ind w:left="514" w:right="90"/>
        <w:jc w:val="left"/>
      </w:pPr>
      <w:r>
        <w:rPr>
          <w:rFonts w:ascii="Times New Roman" w:hAnsi="Times New Roman" w:cs="Times New Roman" w:eastAsia="Times New Roman" w:hint="default"/>
        </w:rPr>
        <w:t>1.</w:t>
      </w:r>
      <w:r>
        <w:rPr/>
        <w:t>个人征信业务</w:t>
      </w:r>
    </w:p>
    <w:p>
      <w:pPr>
        <w:spacing w:line="240" w:lineRule="auto" w:before="9"/>
        <w:rPr>
          <w:rFonts w:ascii="宋体" w:hAnsi="宋体" w:cs="宋体" w:eastAsia="宋体" w:hint="default"/>
          <w:sz w:val="16"/>
          <w:szCs w:val="16"/>
        </w:rPr>
      </w:pPr>
    </w:p>
    <w:p>
      <w:pPr>
        <w:pStyle w:val="BodyText"/>
        <w:spacing w:line="463" w:lineRule="auto"/>
        <w:ind w:left="153" w:right="198"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月公司作为第一大股东（持股</w:t>
      </w:r>
      <w:r>
        <w:rPr>
          <w:rFonts w:ascii="Times New Roman" w:hAnsi="Times New Roman" w:cs="Times New Roman" w:eastAsia="Times New Roman" w:hint="default"/>
        </w:rPr>
        <w:t>40%</w:t>
      </w:r>
      <w:r>
        <w:rPr/>
        <w:t>）投资成立了北京华道征信有限公司，开展个人征信业务。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月，华 </w:t>
      </w:r>
      <w:r>
        <w:rPr>
          <w:spacing w:val="-2"/>
        </w:rPr>
        <w:t>道征信被中国人民银行列入“开展个人征信业务准备工作的机构名单”，是国内首批获准开展个人征信业务准备工作的八家</w:t>
      </w:r>
      <w:r>
        <w:rPr>
          <w:spacing w:val="-72"/>
        </w:rPr>
        <w:t> </w:t>
      </w:r>
      <w:r>
        <w:rPr>
          <w:spacing w:val="-72"/>
        </w:rPr>
      </w:r>
      <w:r>
        <w:rPr/>
        <w:t>民营征信机构之一。</w:t>
      </w:r>
    </w:p>
    <w:p>
      <w:pPr>
        <w:pStyle w:val="BodyText"/>
        <w:spacing w:line="477" w:lineRule="auto" w:before="65"/>
        <w:ind w:left="153" w:right="190" w:firstLine="360"/>
        <w:jc w:val="both"/>
      </w:pPr>
      <w:r>
        <w:rPr>
          <w:spacing w:val="-2"/>
        </w:rPr>
        <w:t>报告期内，华道征信在中国人民银行的督导下开展个人征信业务的准备工作，包括在信用信息方面积极对接多种征信数</w:t>
      </w:r>
      <w:r>
        <w:rPr/>
        <w:t> </w:t>
      </w:r>
      <w:r>
        <w:rPr>
          <w:spacing w:val="-2"/>
        </w:rPr>
        <w:t>据源；在产品开发方面开发出个人租房信用分产品（猪猪分）、声纹反欺诈产品、小额消费贷款模型等多种创新产品，并完</w:t>
      </w:r>
      <w:r>
        <w:rPr>
          <w:spacing w:val="-72"/>
        </w:rPr>
        <w:t> </w:t>
      </w:r>
      <w:r>
        <w:rPr>
          <w:spacing w:val="-72"/>
        </w:rPr>
      </w:r>
      <w:r>
        <w:rPr>
          <w:spacing w:val="-2"/>
        </w:rPr>
        <w:t>成了征信服务平台规划；在市场合作方面积极与金融机构、互联网金融平台等企业和机构建立战略合作关系等。通过以上准</w:t>
      </w:r>
      <w:r>
        <w:rPr>
          <w:spacing w:val="-66"/>
        </w:rPr>
        <w:t> </w:t>
      </w:r>
      <w:r>
        <w:rPr>
          <w:spacing w:val="-66"/>
        </w:rPr>
      </w:r>
      <w:r>
        <w:rPr/>
        <w:t>备工作，华道征信开展个人征信业务的基础得到进一步巩固。</w:t>
      </w:r>
    </w:p>
    <w:p>
      <w:pPr>
        <w:pStyle w:val="BodyText"/>
        <w:spacing w:line="240" w:lineRule="auto" w:before="54"/>
        <w:ind w:left="513" w:right="90"/>
        <w:jc w:val="left"/>
      </w:pPr>
      <w:r>
        <w:rPr>
          <w:rFonts w:ascii="Times New Roman" w:hAnsi="Times New Roman" w:cs="Times New Roman" w:eastAsia="Times New Roman" w:hint="default"/>
        </w:rPr>
        <w:t>2.</w:t>
      </w:r>
      <w:r>
        <w:rPr/>
        <w:t>互联网保险业务</w:t>
      </w:r>
    </w:p>
    <w:p>
      <w:pPr>
        <w:spacing w:line="240" w:lineRule="auto" w:before="9"/>
        <w:rPr>
          <w:rFonts w:ascii="宋体" w:hAnsi="宋体" w:cs="宋体" w:eastAsia="宋体" w:hint="default"/>
          <w:sz w:val="16"/>
          <w:szCs w:val="16"/>
        </w:rPr>
      </w:pPr>
    </w:p>
    <w:p>
      <w:pPr>
        <w:pStyle w:val="BodyText"/>
        <w:spacing w:line="451" w:lineRule="auto"/>
        <w:ind w:left="513" w:right="181"/>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月公司投资</w:t>
      </w:r>
      <w:r>
        <w:rPr>
          <w:rFonts w:ascii="Times New Roman" w:hAnsi="Times New Roman" w:cs="Times New Roman" w:eastAsia="Times New Roman" w:hint="default"/>
        </w:rPr>
        <w:t>1.5</w:t>
      </w:r>
      <w:r>
        <w:rPr/>
        <w:t>亿元作为主发起人（持股比例</w:t>
      </w:r>
      <w:r>
        <w:rPr>
          <w:rFonts w:ascii="Times New Roman" w:hAnsi="Times New Roman" w:cs="Times New Roman" w:eastAsia="Times New Roman" w:hint="default"/>
        </w:rPr>
        <w:t>15%</w:t>
      </w:r>
      <w:r>
        <w:rPr/>
        <w:t>）与其他合作方共同发起设立易安财产保险股份有限公司。 报告期内，公司协同其他合作方积极开展易安保险的经营许可申请和筹建工作。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月，易安保险筹备组收到中国</w:t>
      </w:r>
    </w:p>
    <w:p>
      <w:pPr>
        <w:pStyle w:val="BodyText"/>
        <w:spacing w:line="451" w:lineRule="auto" w:before="43"/>
        <w:ind w:left="153" w:right="148"/>
        <w:jc w:val="both"/>
      </w:pPr>
      <w:r>
        <w:rPr>
          <w:spacing w:val="-4"/>
        </w:rPr>
        <w:t>保监会《关于筹建易安财产保险股份有限公司的批复》（保监许可</w:t>
      </w:r>
      <w:r>
        <w:rPr>
          <w:rFonts w:ascii="Times New Roman" w:hAnsi="Times New Roman" w:cs="Times New Roman" w:eastAsia="Times New Roman" w:hint="default"/>
          <w:spacing w:val="-4"/>
        </w:rPr>
        <w:t>[2015]626</w:t>
      </w:r>
      <w:r>
        <w:rPr>
          <w:spacing w:val="-4"/>
        </w:rPr>
        <w:t>号）；</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2</w:t>
      </w:r>
      <w:r>
        <w:rPr>
          <w:spacing w:val="-4"/>
        </w:rPr>
        <w:t>月，易安保险取得中国保监会核发</w:t>
      </w:r>
      <w:r>
        <w:rPr>
          <w:spacing w:val="-45"/>
        </w:rPr>
        <w:t> </w:t>
      </w:r>
      <w:r>
        <w:rPr>
          <w:spacing w:val="-45"/>
        </w:rPr>
      </w:r>
      <w:r>
        <w:rPr>
          <w:spacing w:val="-4"/>
        </w:rPr>
        <w:t>的《关于易安财产保险股份有限公司开业的批复》（保监许可</w:t>
      </w:r>
      <w:r>
        <w:rPr>
          <w:rFonts w:ascii="Times New Roman" w:hAnsi="Times New Roman" w:cs="Times New Roman" w:eastAsia="Times New Roman" w:hint="default"/>
          <w:spacing w:val="-4"/>
        </w:rPr>
        <w:t>[2016]81</w:t>
      </w:r>
      <w:r>
        <w:rPr>
          <w:spacing w:val="-4"/>
        </w:rPr>
        <w:t>号）。目前，易安保险已经取得了深圳市市场监督管理</w:t>
      </w:r>
      <w:r>
        <w:rPr>
          <w:spacing w:val="-58"/>
        </w:rPr>
        <w:t> </w:t>
      </w:r>
      <w:r>
        <w:rPr>
          <w:spacing w:val="-58"/>
        </w:rPr>
      </w:r>
      <w:r>
        <w:rPr>
          <w:spacing w:val="-2"/>
        </w:rPr>
        <w:t>局颁发的《营业执照》，完成了工商注册登记手续，将以互联网保险为特色开展筹建和经营企业</w:t>
      </w:r>
      <w:r>
        <w:rPr>
          <w:rFonts w:ascii="Times New Roman" w:hAnsi="Times New Roman" w:cs="Times New Roman" w:eastAsia="Times New Roman" w:hint="default"/>
          <w:spacing w:val="-2"/>
        </w:rPr>
        <w:t>/</w:t>
      </w:r>
      <w:r>
        <w:rPr>
          <w:spacing w:val="-2"/>
        </w:rPr>
        <w:t>家庭财产保险、货运保险、</w:t>
      </w:r>
      <w:r>
        <w:rPr>
          <w:spacing w:val="-70"/>
        </w:rPr>
        <w:t> </w:t>
      </w:r>
      <w:r>
        <w:rPr/>
        <w:t>责任保险、信用保证保险等业务。</w:t>
      </w:r>
    </w:p>
    <w:p>
      <w:pPr>
        <w:pStyle w:val="BodyText"/>
        <w:spacing w:line="451" w:lineRule="auto" w:before="74"/>
        <w:ind w:left="513" w:right="9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移动支付业务 </w:t>
      </w:r>
      <w:r>
        <w:rPr>
          <w:spacing w:val="-2"/>
        </w:rPr>
        <w:t>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月与深圳联合金融服务集团有限公司合资成立深圳票联金融服务公司，开展支票自助金融服务业务。</w:t>
      </w:r>
      <w:r>
        <w:rPr>
          <w:rFonts w:ascii="Times New Roman" w:hAnsi="Times New Roman" w:cs="Times New Roman" w:eastAsia="Times New Roman" w:hint="default"/>
          <w:spacing w:val="-2"/>
        </w:rPr>
        <w:t>2014</w:t>
      </w:r>
    </w:p>
    <w:p>
      <w:pPr>
        <w:pStyle w:val="BodyText"/>
        <w:spacing w:line="463" w:lineRule="auto" w:before="43"/>
        <w:ind w:left="153" w:right="190"/>
        <w:jc w:val="both"/>
      </w:pPr>
      <w:r>
        <w:rPr/>
        <w:t>年</w:t>
      </w:r>
      <w:r>
        <w:rPr>
          <w:rFonts w:ascii="Times New Roman" w:hAnsi="Times New Roman" w:cs="Times New Roman" w:eastAsia="Times New Roman" w:hint="default"/>
        </w:rPr>
        <w:t>7</w:t>
      </w:r>
      <w:r>
        <w:rPr/>
        <w:t>月，以商业银行支票自助金融服务为核心的票联通业务已经在深圳地区开通上线。报告期内，票联金融依托深圳联合金 </w:t>
      </w:r>
      <w:r>
        <w:rPr>
          <w:spacing w:val="-2"/>
        </w:rPr>
        <w:t>融服务集团和本公司的业务与技术资源，研究开发通过移动智能终端实现线下收单业务的移动支付平台，以及主要为商业银</w:t>
      </w:r>
      <w:r>
        <w:rPr>
          <w:spacing w:val="-64"/>
        </w:rPr>
        <w:t> </w:t>
      </w:r>
      <w:r>
        <w:rPr>
          <w:spacing w:val="-64"/>
        </w:rPr>
      </w:r>
      <w:r>
        <w:rPr/>
        <w:t>行实现跨区域跨行网络快捷支付的银网通等创新支付平台。目前相关业务尚在技术与市场开发过程中。</w:t>
      </w:r>
    </w:p>
    <w:p>
      <w:pPr>
        <w:pStyle w:val="BodyText"/>
        <w:spacing w:line="477" w:lineRule="auto" w:before="65"/>
        <w:ind w:left="513" w:right="195"/>
        <w:jc w:val="left"/>
      </w:pPr>
      <w:r>
        <w:rPr/>
        <w:t>（四）对外投资活动 </w:t>
      </w:r>
      <w:r>
        <w:rPr>
          <w:spacing w:val="-2"/>
        </w:rPr>
        <w:t>报告期内，公司、深圳弘道天瑞投资有限责任公司（以下简称“弘道天瑞”）与北京明略软件系统有限公司（以下简称</w:t>
      </w:r>
    </w:p>
    <w:p>
      <w:pPr>
        <w:pStyle w:val="BodyText"/>
        <w:spacing w:line="451" w:lineRule="auto" w:before="54"/>
        <w:ind w:left="153" w:right="190"/>
        <w:jc w:val="both"/>
      </w:pPr>
      <w:r>
        <w:rPr>
          <w:spacing w:val="-5"/>
        </w:rPr>
        <w:t>“明略软件”）及其控股股东吴明辉签署了《投资框架协议》，达成了公司与弘道天瑞出资共计</w:t>
      </w:r>
      <w:r>
        <w:rPr>
          <w:rFonts w:ascii="Times New Roman" w:hAnsi="Times New Roman" w:cs="Times New Roman" w:eastAsia="Times New Roman" w:hint="default"/>
          <w:spacing w:val="-5"/>
        </w:rPr>
        <w:t>9900</w:t>
      </w:r>
      <w:r>
        <w:rPr>
          <w:spacing w:val="-5"/>
        </w:rPr>
        <w:t>万元（其中公司出资</w:t>
      </w:r>
      <w:r>
        <w:rPr>
          <w:rFonts w:ascii="Times New Roman" w:hAnsi="Times New Roman" w:cs="Times New Roman" w:eastAsia="Times New Roman" w:hint="default"/>
          <w:spacing w:val="-5"/>
        </w:rPr>
        <w:t>5000</w:t>
      </w:r>
      <w:r>
        <w:rPr>
          <w:rFonts w:ascii="Times New Roman" w:hAnsi="Times New Roman" w:cs="Times New Roman" w:eastAsia="Times New Roman" w:hint="default"/>
          <w:spacing w:val="-14"/>
        </w:rPr>
        <w:t> </w:t>
      </w:r>
      <w:r>
        <w:rPr>
          <w:spacing w:val="-2"/>
        </w:rPr>
        <w:t>万元、弘道天瑞出资</w:t>
      </w:r>
      <w:r>
        <w:rPr>
          <w:rFonts w:ascii="Times New Roman" w:hAnsi="Times New Roman" w:cs="Times New Roman" w:eastAsia="Times New Roman" w:hint="default"/>
          <w:spacing w:val="-2"/>
        </w:rPr>
        <w:t>4900</w:t>
      </w:r>
      <w:r>
        <w:rPr>
          <w:spacing w:val="-2"/>
        </w:rPr>
        <w:t>万元），以收购股权和增资扩股的形式获得明略软件</w:t>
      </w:r>
      <w:r>
        <w:rPr>
          <w:rFonts w:ascii="Times New Roman" w:hAnsi="Times New Roman" w:cs="Times New Roman" w:eastAsia="Times New Roman" w:hint="default"/>
          <w:spacing w:val="-2"/>
        </w:rPr>
        <w:t>24.75%</w:t>
      </w:r>
      <w:r>
        <w:rPr>
          <w:spacing w:val="-2"/>
        </w:rPr>
        <w:t>股权的初步意向。目前该投资事项尚在</w:t>
      </w:r>
      <w:r>
        <w:rPr>
          <w:spacing w:val="-73"/>
        </w:rPr>
        <w:t> </w:t>
      </w:r>
      <w:r>
        <w:rPr>
          <w:spacing w:val="-73"/>
        </w:rPr>
      </w:r>
      <w:r>
        <w:rPr/>
        <w:t>进行中。</w:t>
      </w:r>
    </w:p>
    <w:p>
      <w:pPr>
        <w:spacing w:after="0" w:line="451"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514" w:right="0"/>
        <w:jc w:val="left"/>
      </w:pPr>
      <w:r>
        <w:rPr/>
        <w:t>（五）融资计划进展情况 </w:t>
      </w:r>
      <w:r>
        <w:rPr>
          <w:spacing w:val="-2"/>
        </w:rPr>
        <w:t>报告期内，公司积极推进了非公开发行股票再融资计划。公司已于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日经公司第三届董事会第十七次会议审</w:t>
      </w:r>
    </w:p>
    <w:p>
      <w:pPr>
        <w:pStyle w:val="BodyText"/>
        <w:spacing w:line="477" w:lineRule="auto" w:before="21"/>
        <w:ind w:right="0"/>
        <w:jc w:val="left"/>
      </w:pPr>
      <w:r>
        <w:rPr>
          <w:spacing w:val="-2"/>
        </w:rPr>
        <w:t>议，制定了非公开发行股票募集资金预案。目前，公司非公开发行股票事项尚处于中国证监会审核程序中，公司将积极推进</w:t>
      </w:r>
      <w:r>
        <w:rPr>
          <w:spacing w:val="-66"/>
        </w:rPr>
        <w:t> </w:t>
      </w:r>
      <w:r>
        <w:rPr>
          <w:spacing w:val="-66"/>
        </w:rPr>
      </w:r>
      <w:r>
        <w:rPr/>
        <w:t>上述再融资计划的进程。</w:t>
      </w:r>
    </w:p>
    <w:p>
      <w:pPr>
        <w:spacing w:line="240" w:lineRule="auto" w:before="0"/>
        <w:rPr>
          <w:rFonts w:ascii="宋体" w:hAnsi="宋体" w:cs="宋体" w:eastAsia="宋体" w:hint="default"/>
          <w:sz w:val="18"/>
          <w:szCs w:val="18"/>
        </w:rPr>
      </w:pPr>
    </w:p>
    <w:p>
      <w:pPr>
        <w:pStyle w:val="BodyText"/>
        <w:spacing w:line="477" w:lineRule="auto" w:before="130"/>
        <w:ind w:right="149" w:firstLine="360"/>
        <w:jc w:val="both"/>
      </w:pPr>
      <w:r>
        <w:rPr>
          <w:spacing w:val="-2"/>
        </w:rPr>
        <w:t>随着公司上市以后，尤其是近三年公司战略发展规划逐步实现，公司竞争优势、品牌影响力得到进一步提升。本报告期</w:t>
      </w:r>
      <w:r>
        <w:rPr/>
        <w:t> </w:t>
      </w:r>
      <w:r>
        <w:rPr>
          <w:spacing w:val="-2"/>
        </w:rPr>
        <w:t>内，公司董事会和管理层勤勉尽责、锐意进取，主营业务取得了良好的经营成果，同时充分利用资本市场平台优势，通过对</w:t>
      </w:r>
      <w:r>
        <w:rPr>
          <w:spacing w:val="-66"/>
        </w:rPr>
        <w:t> </w:t>
      </w:r>
      <w:r>
        <w:rPr>
          <w:spacing w:val="-66"/>
        </w:rPr>
      </w:r>
      <w:r>
        <w:rPr>
          <w:spacing w:val="-2"/>
        </w:rPr>
        <w:t>外投资、收购兼并等资本运作，推动公司业务向以互联网、大数据为核心的金融综合服务产业延伸发展，为公司长期可持续</w:t>
      </w:r>
      <w:r>
        <w:rPr>
          <w:spacing w:val="-66"/>
        </w:rPr>
        <w:t> </w:t>
      </w:r>
      <w:r>
        <w:rPr>
          <w:spacing w:val="-66"/>
        </w:rPr>
      </w:r>
      <w:r>
        <w:rPr>
          <w:spacing w:val="-2"/>
        </w:rPr>
        <w:t>发展奠定了坚实的基础。在本报告期成绩的基础上，董事会和经营管理团队将继续秉持敢为人先的创新精神和务实进取的开</w:t>
      </w:r>
      <w:r>
        <w:rPr>
          <w:spacing w:val="-64"/>
        </w:rPr>
        <w:t> </w:t>
      </w:r>
      <w:r>
        <w:rPr>
          <w:spacing w:val="-64"/>
        </w:rPr>
      </w:r>
      <w:r>
        <w:rPr>
          <w:spacing w:val="-2"/>
        </w:rPr>
        <w:t>拓精神，推动公司整体业务规模和产业领域升级，努力成为推动行业发展的开拓者和领导者，为股东及利益相关者创造更大</w:t>
      </w:r>
      <w:r>
        <w:rPr>
          <w:spacing w:val="-66"/>
        </w:rPr>
        <w:t> </w:t>
      </w:r>
      <w:r>
        <w:rPr>
          <w:spacing w:val="-66"/>
        </w:rPr>
      </w:r>
      <w:r>
        <w:rPr/>
        <w:t>的价值。</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参见“管理层讨论与分析”中的“一、概述”相关内容。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619,663,715.53</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192,124,040.97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222.53%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151,743,466.66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106,864,838.10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349,315,363.14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73,186,559.72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114,746,509.93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8,149,663.79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3,858,375.80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3,922,979.36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70,077,915.91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78,174,510.67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81,665,550.75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28,690,327.43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短彩信通讯服务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294,767,642.28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54,050,005.70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
              <w:jc w:val="left"/>
              <w:rPr>
                <w:rFonts w:ascii="宋体" w:hAnsi="宋体" w:cs="宋体" w:eastAsia="宋体" w:hint="default"/>
                <w:sz w:val="18"/>
                <w:szCs w:val="18"/>
              </w:rPr>
            </w:pPr>
            <w:r>
              <w:rPr>
                <w:rFonts w:ascii="宋体" w:hAnsi="宋体" w:cs="宋体" w:eastAsia="宋体" w:hint="default"/>
                <w:spacing w:val="13"/>
                <w:sz w:val="18"/>
                <w:szCs w:val="18"/>
              </w:rPr>
              <w:t>移动互联网应用服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54,547,720.86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19,136,554.02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114,746,509.93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8,149,663.79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3,858,375.80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3,922,979.36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515,021,440.26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185,599,979.04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104,642,275.27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6,524,061.93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151,743,466.66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91,657,464.27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349,315,363.14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192,145,395.39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114,746,509.93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63,038,146.37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70,077,915.91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30,081,738.17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81,665,550.75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61,575,726.10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短彩信通讯服务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294,767,642.28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181,006,649.83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pacing w:val="8"/>
                <w:sz w:val="18"/>
                <w:szCs w:val="18"/>
              </w:rPr>
              <w:t>移动互联网应用 </w:t>
            </w: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54,547,720.86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11,138,745.56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114,746,509.93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63,038,146.37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515,021,440.26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285,939,228.09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104,642,275.27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62,059,622.42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58,732,045.73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28,428,098.25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106.60%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32,925,418.54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27,246,926.72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4,242,313.85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2,708,763.68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运营商成本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181,006,649.83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31,462,918.40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475.30%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6,896,431.71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24429.21%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63,038,146.37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4,287,337.69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1370.33%</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63,282,608.92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734"/>
        <w:gridCol w:w="2268"/>
        <w:gridCol w:w="2764"/>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光大银行股份有限公司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17,181,794.90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中信银行股份有限公司信用卡中心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12,470,790.70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杭州数云信息技术有限公司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12,215,368.81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上海汉涛信息咨询有限公司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11,665,953.51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上海浦东发展银行股份有限公司信用卡中心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9,748,701.00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63,282,608.92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公司主要供应商情况</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238;top:16;width:23;height:392" coordorigin="4238,16" coordsize="23,392">
              <v:shape style="position:absolute;left:4238;top:16;width:23;height:392" coordorigin="4238,16" coordsize="23,392" path="m4238,407l4261,407,4261,16,4238,16,4238,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202;height:392" coordorigin="37,16" coordsize="4202,392">
              <v:shape style="position:absolute;left:37;top:16;width:4202;height:392" coordorigin="37,16" coordsize="4202,392" path="m37,407l4238,407,4238,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258;height:2" coordorigin="5,413" coordsize="4258,2">
              <v:shape style="position:absolute;left:5;top:413;width:4258;height:2" coordorigin="5,413" coordsize="4258,0" path="m5,413l4262,413e" filled="false" stroked="true" strokeweight=".48001pt" strokecolor="#000000">
                <v:path arrowok="t"/>
              </v:shape>
            </v:group>
            <v:group style="position:absolute;left:4267;top:14;width:2;height:404" coordorigin="4267,14" coordsize="2,404">
              <v:shape style="position:absolute;left:4267;top:14;width:2;height:404" coordorigin="4267,14" coordsize="0,404" path="m4267,14l4267,418e" filled="false" stroked="true" strokeweight=".48001pt" strokecolor="#000000">
                <v:path arrowok="t"/>
              </v:shape>
            </v:group>
            <v:group style="position:absolute;left:4272;top:413;width:5301;height:2" coordorigin="4272,413" coordsize="5301,2">
              <v:shape style="position:absolute;left:4272;top:413;width:5301;height:2" coordorigin="4272,413" coordsize="5301,0" path="m4272,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257;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xbxContent>
                </v:textbox>
                <w10:wrap type="none"/>
              </v:shape>
              <v:shape style="position:absolute;left:4267;top:10;width:5311;height:404" type="#_x0000_t202" filled="false" stroked="false">
                <v:textbox inset="0,0,0,0">
                  <w:txbxContent>
                    <w:p>
                      <w:pPr>
                        <w:spacing w:before="97"/>
                        <w:ind w:left="0" w:right="24" w:firstLine="0"/>
                        <w:jc w:val="right"/>
                        <w:rPr>
                          <w:rFonts w:ascii="Times New Roman" w:hAnsi="Times New Roman" w:cs="Times New Roman" w:eastAsia="Times New Roman" w:hint="default"/>
                          <w:sz w:val="18"/>
                          <w:szCs w:val="18"/>
                        </w:rPr>
                      </w:pPr>
                      <w:r>
                        <w:rPr>
                          <w:rFonts w:ascii="Times New Roman"/>
                          <w:spacing w:val="-1"/>
                          <w:sz w:val="18"/>
                        </w:rPr>
                        <w:t>164,226,597.28</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238;top:14;width:23;height:393" coordorigin="4238,14" coordsize="23,393">
              <v:shape style="position:absolute;left:4238;top:14;width:23;height:393" coordorigin="4238,14" coordsize="23,393" path="m4238,407l4261,407,4261,14,4238,14,423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202;height:393" coordorigin="37,14" coordsize="4202,393">
              <v:shape style="position:absolute;left:37;top:14;width:4202;height:393" coordorigin="37,14" coordsize="4202,393" path="m37,407l4238,407,4238,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258;height:2" coordorigin="5,412" coordsize="4258,2">
              <v:shape style="position:absolute;left:5;top:412;width:4258;height:2" coordorigin="5,412" coordsize="4258,0" path="m5,412l4262,412e" filled="false" stroked="true" strokeweight=".47998pt" strokecolor="#000000">
                <v:path arrowok="t"/>
              </v:shape>
            </v:group>
            <v:group style="position:absolute;left:4267;top:14;width:2;height:402" coordorigin="4267,14" coordsize="2,402">
              <v:shape style="position:absolute;left:4267;top:14;width:2;height:402" coordorigin="4267,14" coordsize="0,402" path="m4267,14l4267,416e" filled="false" stroked="true" strokeweight=".48001pt" strokecolor="#000000">
                <v:path arrowok="t"/>
              </v:shape>
            </v:group>
            <v:group style="position:absolute;left:4272;top:412;width:5301;height:2" coordorigin="4272,412" coordsize="5301,2">
              <v:shape style="position:absolute;left:4272;top:412;width:5301;height:2" coordorigin="4272,412" coordsize="5301,0" path="m4272,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257;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xbxContent>
                </v:textbox>
                <w10:wrap type="none"/>
              </v:shape>
              <v:shape style="position:absolute;left:8995;top:12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41.74%</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601"/>
        <w:gridCol w:w="2268"/>
        <w:gridCol w:w="2764"/>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50,904,290.52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34,714,826.84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28,465,872.75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28,178,892.30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21,962,714.87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5.58%</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164,226,597.28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1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58"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主要原因系子公司亿美软通与科安</w:t>
            </w:r>
          </w:p>
        </w:tc>
      </w:tr>
      <w:tr>
        <w:trPr>
          <w:trHeight w:val="316"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72,618,641.84</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24,069,964.04</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201.70%</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数字的销售费用在本报告期完整年</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度合并报表的影响。</w:t>
            </w:r>
          </w:p>
        </w:tc>
      </w:tr>
      <w:tr>
        <w:trPr>
          <w:trHeight w:val="358"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主要原因系子公司亿美软通与科安</w:t>
            </w:r>
          </w:p>
        </w:tc>
      </w:tr>
      <w:tr>
        <w:trPr>
          <w:trHeight w:val="316"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105,941,131.71</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48,432,734.48</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118.74%</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数字的管理费用在本报告期完整年</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度合并报表的影响。</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-7,346,539.05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-6,518,251.80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金融行业业务创新层出不穷，市场需求日新月异。作为金融信息化和新兴金融服务领域的高新技术企业，公司一直十分</w:t>
      </w:r>
    </w:p>
    <w:p>
      <w:pPr>
        <w:pStyle w:val="BodyText"/>
        <w:spacing w:line="477" w:lineRule="auto" w:before="103"/>
        <w:ind w:right="0"/>
        <w:jc w:val="left"/>
      </w:pPr>
      <w:r>
        <w:rPr>
          <w:spacing w:val="-2"/>
        </w:rPr>
        <w:t>重视研发投入，坚持以客户需求为导向，走自主创新的产品研发道路。公司一方面努力做好提高、完善现有产品的各项技术</w:t>
      </w:r>
      <w:r>
        <w:rPr>
          <w:spacing w:val="-66"/>
        </w:rPr>
        <w:t> </w:t>
      </w:r>
      <w:r>
        <w:rPr>
          <w:spacing w:val="-66"/>
        </w:rPr>
      </w:r>
      <w:r>
        <w:rPr/>
        <w:t>和功能，另一方面加大新产品的研发力度。目前公司正在进行的研发项目主要包括：</w:t>
      </w:r>
    </w:p>
    <w:p>
      <w:pPr>
        <w:spacing w:line="240" w:lineRule="auto" w:before="4"/>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160"/>
        <w:gridCol w:w="310"/>
        <w:gridCol w:w="5090"/>
        <w:gridCol w:w="2160"/>
      </w:tblGrid>
      <w:tr>
        <w:trPr>
          <w:trHeight w:val="587" w:hRule="exact"/>
        </w:trPr>
        <w:tc>
          <w:tcPr>
            <w:tcW w:w="21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1"/>
              <w:ind w:left="7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400" w:type="dxa"/>
            <w:gridSpan w:val="2"/>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技术目标</w:t>
            </w:r>
          </w:p>
        </w:tc>
        <w:tc>
          <w:tcPr>
            <w:tcW w:w="21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1"/>
              <w:ind w:left="711" w:right="0"/>
              <w:jc w:val="left"/>
              <w:rPr>
                <w:rFonts w:ascii="宋体" w:hAnsi="宋体" w:cs="宋体" w:eastAsia="宋体" w:hint="default"/>
                <w:sz w:val="18"/>
                <w:szCs w:val="18"/>
              </w:rPr>
            </w:pPr>
            <w:r>
              <w:rPr>
                <w:rFonts w:ascii="宋体" w:hAnsi="宋体" w:cs="宋体" w:eastAsia="宋体" w:hint="default"/>
                <w:sz w:val="18"/>
                <w:szCs w:val="18"/>
              </w:rPr>
              <w:t>业务目标</w:t>
            </w:r>
          </w:p>
        </w:tc>
      </w:tr>
      <w:tr>
        <w:trPr>
          <w:trHeight w:val="439" w:hRule="exact"/>
        </w:trPr>
        <w:tc>
          <w:tcPr>
            <w:tcW w:w="2160" w:type="dxa"/>
            <w:tcBorders>
              <w:top w:val="single" w:sz="6" w:space="0" w:color="000000"/>
              <w:left w:val="single" w:sz="6" w:space="0" w:color="000000"/>
              <w:bottom w:val="nil" w:sz="6" w:space="0" w:color="auto"/>
              <w:right w:val="single" w:sz="6" w:space="0" w:color="000000"/>
            </w:tcBorders>
          </w:tcPr>
          <w:p>
            <w:pPr/>
          </w:p>
        </w:tc>
        <w:tc>
          <w:tcPr>
            <w:tcW w:w="310" w:type="dxa"/>
            <w:tcBorders>
              <w:top w:val="single" w:sz="6" w:space="0" w:color="000000"/>
              <w:left w:val="single" w:sz="6" w:space="0" w:color="000000"/>
              <w:bottom w:val="nil" w:sz="6" w:space="0" w:color="auto"/>
              <w:right w:val="nil" w:sz="6" w:space="0" w:color="auto"/>
            </w:tcBorders>
          </w:tcPr>
          <w:p>
            <w:pPr>
              <w:pStyle w:val="TableParagraph"/>
              <w:spacing w:line="240" w:lineRule="auto" w:before="94"/>
              <w:ind w:left="2" w:right="0"/>
              <w:jc w:val="left"/>
              <w:rPr>
                <w:rFonts w:ascii="宋体" w:hAnsi="宋体" w:cs="宋体" w:eastAsia="宋体" w:hint="default"/>
                <w:sz w:val="18"/>
                <w:szCs w:val="18"/>
              </w:rPr>
            </w:pPr>
            <w:r>
              <w:rPr>
                <w:rFonts w:ascii="宋体"/>
                <w:sz w:val="18"/>
              </w:rPr>
              <w:t>1.</w:t>
            </w:r>
          </w:p>
        </w:tc>
        <w:tc>
          <w:tcPr>
            <w:tcW w:w="5090" w:type="dxa"/>
            <w:tcBorders>
              <w:top w:val="single" w:sz="6" w:space="0" w:color="000000"/>
              <w:left w:val="nil" w:sz="6" w:space="0" w:color="auto"/>
              <w:bottom w:val="nil" w:sz="6" w:space="0" w:color="auto"/>
              <w:right w:val="single" w:sz="6" w:space="0" w:color="000000"/>
            </w:tcBorders>
          </w:tcPr>
          <w:p>
            <w:pPr>
              <w:pStyle w:val="TableParagraph"/>
              <w:spacing w:line="240" w:lineRule="auto" w:before="94"/>
              <w:ind w:left="119" w:right="0"/>
              <w:jc w:val="left"/>
              <w:rPr>
                <w:rFonts w:ascii="宋体" w:hAnsi="宋体" w:cs="宋体" w:eastAsia="宋体" w:hint="default"/>
                <w:sz w:val="18"/>
                <w:szCs w:val="18"/>
              </w:rPr>
            </w:pPr>
            <w:r>
              <w:rPr>
                <w:rFonts w:ascii="宋体" w:hAnsi="宋体" w:cs="宋体" w:eastAsia="宋体" w:hint="default"/>
                <w:sz w:val="18"/>
                <w:szCs w:val="18"/>
              </w:rPr>
              <w:t>解决银行及其他大型组织机构中的重要印章的远程监管问题；</w:t>
            </w:r>
          </w:p>
        </w:tc>
        <w:tc>
          <w:tcPr>
            <w:tcW w:w="2160" w:type="dxa"/>
            <w:tcBorders>
              <w:top w:val="single" w:sz="6" w:space="0" w:color="000000"/>
              <w:left w:val="single" w:sz="6" w:space="0" w:color="000000"/>
              <w:bottom w:val="nil" w:sz="6" w:space="0" w:color="auto"/>
              <w:right w:val="single" w:sz="6" w:space="0" w:color="000000"/>
            </w:tcBorders>
          </w:tcPr>
          <w:p>
            <w:pPr/>
          </w:p>
        </w:tc>
      </w:tr>
      <w:tr>
        <w:trPr>
          <w:trHeight w:val="419"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46"/>
              <w:ind w:left="2" w:right="0"/>
              <w:jc w:val="left"/>
              <w:rPr>
                <w:rFonts w:ascii="宋体" w:hAnsi="宋体" w:cs="宋体" w:eastAsia="宋体" w:hint="default"/>
                <w:sz w:val="18"/>
                <w:szCs w:val="18"/>
              </w:rPr>
            </w:pPr>
            <w:r>
              <w:rPr>
                <w:rFonts w:ascii="宋体"/>
                <w:sz w:val="18"/>
              </w:rPr>
              <w:t>2.</w:t>
            </w:r>
          </w:p>
        </w:tc>
        <w:tc>
          <w:tcPr>
            <w:tcW w:w="5090" w:type="dxa"/>
            <w:tcBorders>
              <w:top w:val="nil" w:sz="6" w:space="0" w:color="auto"/>
              <w:left w:val="nil" w:sz="6" w:space="0" w:color="auto"/>
              <w:bottom w:val="nil" w:sz="6" w:space="0" w:color="auto"/>
              <w:right w:val="single" w:sz="6" w:space="0" w:color="000000"/>
            </w:tcBorders>
          </w:tcPr>
          <w:p>
            <w:pPr>
              <w:pStyle w:val="TableParagraph"/>
              <w:spacing w:line="240" w:lineRule="auto" w:before="46"/>
              <w:ind w:left="119" w:right="0"/>
              <w:jc w:val="left"/>
              <w:rPr>
                <w:rFonts w:ascii="宋体" w:hAnsi="宋体" w:cs="宋体" w:eastAsia="宋体" w:hint="default"/>
                <w:sz w:val="18"/>
                <w:szCs w:val="18"/>
              </w:rPr>
            </w:pPr>
            <w:r>
              <w:rPr>
                <w:rFonts w:ascii="宋体" w:hAnsi="宋体" w:cs="宋体" w:eastAsia="宋体" w:hint="default"/>
                <w:sz w:val="18"/>
                <w:szCs w:val="18"/>
              </w:rPr>
              <w:t>采用安全设备保管印章；</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left="2" w:right="-11"/>
              <w:jc w:val="left"/>
              <w:rPr>
                <w:rFonts w:ascii="宋体" w:hAnsi="宋体" w:cs="宋体" w:eastAsia="宋体" w:hint="default"/>
                <w:sz w:val="18"/>
                <w:szCs w:val="18"/>
              </w:rPr>
            </w:pPr>
            <w:r>
              <w:rPr>
                <w:rFonts w:ascii="宋体" w:hAnsi="宋体" w:cs="宋体" w:eastAsia="宋体" w:hint="default"/>
                <w:spacing w:val="15"/>
                <w:sz w:val="18"/>
                <w:szCs w:val="18"/>
              </w:rPr>
              <w:t>继续完善公司现有产品的</w:t>
            </w:r>
            <w:r>
              <w:rPr>
                <w:rFonts w:ascii="宋体" w:hAnsi="宋体" w:cs="宋体" w:eastAsia="宋体" w:hint="default"/>
                <w:sz w:val="18"/>
                <w:szCs w:val="18"/>
              </w:rPr>
            </w:r>
          </w:p>
        </w:tc>
      </w:tr>
      <w:tr>
        <w:trPr>
          <w:trHeight w:val="312"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印章智能控制机</w:t>
            </w: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sz w:val="18"/>
              </w:rPr>
              <w:t>3.</w:t>
            </w:r>
          </w:p>
        </w:tc>
        <w:tc>
          <w:tcPr>
            <w:tcW w:w="5090"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计算机智能控制提取、加盖印章功能；</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功能和性能，提升公司新产</w:t>
            </w:r>
          </w:p>
        </w:tc>
      </w:tr>
      <w:tr>
        <w:trPr>
          <w:trHeight w:val="420"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82"/>
              <w:ind w:left="2" w:right="0"/>
              <w:jc w:val="left"/>
              <w:rPr>
                <w:rFonts w:ascii="宋体" w:hAnsi="宋体" w:cs="宋体" w:eastAsia="宋体" w:hint="default"/>
                <w:sz w:val="18"/>
                <w:szCs w:val="18"/>
              </w:rPr>
            </w:pPr>
            <w:r>
              <w:rPr>
                <w:rFonts w:ascii="宋体"/>
                <w:sz w:val="18"/>
              </w:rPr>
              <w:t>4.</w:t>
            </w:r>
          </w:p>
        </w:tc>
        <w:tc>
          <w:tcPr>
            <w:tcW w:w="5090" w:type="dxa"/>
            <w:tcBorders>
              <w:top w:val="nil" w:sz="6" w:space="0" w:color="auto"/>
              <w:left w:val="nil" w:sz="6" w:space="0" w:color="auto"/>
              <w:bottom w:val="nil" w:sz="6" w:space="0" w:color="auto"/>
              <w:right w:val="single" w:sz="6" w:space="0" w:color="000000"/>
            </w:tcBorders>
          </w:tcPr>
          <w:p>
            <w:pPr>
              <w:pStyle w:val="TableParagraph"/>
              <w:spacing w:line="240" w:lineRule="auto" w:before="82"/>
              <w:ind w:left="119" w:right="0"/>
              <w:jc w:val="left"/>
              <w:rPr>
                <w:rFonts w:ascii="宋体" w:hAnsi="宋体" w:cs="宋体" w:eastAsia="宋体" w:hint="default"/>
                <w:sz w:val="18"/>
                <w:szCs w:val="18"/>
              </w:rPr>
            </w:pPr>
            <w:r>
              <w:rPr>
                <w:rFonts w:ascii="宋体" w:hAnsi="宋体" w:cs="宋体" w:eastAsia="宋体" w:hint="default"/>
                <w:sz w:val="18"/>
                <w:szCs w:val="18"/>
              </w:rPr>
              <w:t>自动留存印章使用记录；</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品业务收入</w:t>
            </w:r>
          </w:p>
        </w:tc>
      </w:tr>
      <w:tr>
        <w:trPr>
          <w:trHeight w:val="438" w:hRule="exact"/>
        </w:trPr>
        <w:tc>
          <w:tcPr>
            <w:tcW w:w="2160" w:type="dxa"/>
            <w:tcBorders>
              <w:top w:val="nil" w:sz="6" w:space="0" w:color="auto"/>
              <w:left w:val="single" w:sz="6" w:space="0" w:color="000000"/>
              <w:bottom w:val="single" w:sz="6" w:space="0" w:color="000000"/>
              <w:right w:val="single" w:sz="6" w:space="0" w:color="000000"/>
            </w:tcBorders>
          </w:tcPr>
          <w:p>
            <w:pPr/>
          </w:p>
        </w:tc>
        <w:tc>
          <w:tcPr>
            <w:tcW w:w="310" w:type="dxa"/>
            <w:tcBorders>
              <w:top w:val="nil" w:sz="6" w:space="0" w:color="auto"/>
              <w:left w:val="single" w:sz="6" w:space="0" w:color="000000"/>
              <w:bottom w:val="single" w:sz="6" w:space="0" w:color="000000"/>
              <w:right w:val="nil" w:sz="6" w:space="0" w:color="auto"/>
            </w:tcBorders>
          </w:tcPr>
          <w:p>
            <w:pPr>
              <w:pStyle w:val="TableParagraph"/>
              <w:spacing w:line="240" w:lineRule="auto" w:before="46"/>
              <w:ind w:left="2" w:right="0"/>
              <w:jc w:val="left"/>
              <w:rPr>
                <w:rFonts w:ascii="宋体" w:hAnsi="宋体" w:cs="宋体" w:eastAsia="宋体" w:hint="default"/>
                <w:sz w:val="18"/>
                <w:szCs w:val="18"/>
              </w:rPr>
            </w:pPr>
            <w:r>
              <w:rPr>
                <w:rFonts w:ascii="宋体"/>
                <w:sz w:val="18"/>
              </w:rPr>
              <w:t>5.</w:t>
            </w:r>
          </w:p>
        </w:tc>
        <w:tc>
          <w:tcPr>
            <w:tcW w:w="5090" w:type="dxa"/>
            <w:tcBorders>
              <w:top w:val="nil" w:sz="6" w:space="0" w:color="auto"/>
              <w:left w:val="nil" w:sz="6" w:space="0" w:color="auto"/>
              <w:bottom w:val="single" w:sz="6" w:space="0" w:color="000000"/>
              <w:right w:val="single" w:sz="6" w:space="0" w:color="000000"/>
            </w:tcBorders>
          </w:tcPr>
          <w:p>
            <w:pPr>
              <w:pStyle w:val="TableParagraph"/>
              <w:spacing w:line="240" w:lineRule="auto" w:before="46"/>
              <w:ind w:left="119" w:right="0"/>
              <w:jc w:val="left"/>
              <w:rPr>
                <w:rFonts w:ascii="宋体" w:hAnsi="宋体" w:cs="宋体" w:eastAsia="宋体" w:hint="default"/>
                <w:sz w:val="18"/>
                <w:szCs w:val="18"/>
              </w:rPr>
            </w:pPr>
            <w:r>
              <w:rPr>
                <w:rFonts w:ascii="宋体" w:hAnsi="宋体" w:cs="宋体" w:eastAsia="宋体" w:hint="default"/>
                <w:sz w:val="18"/>
                <w:szCs w:val="18"/>
              </w:rPr>
              <w:t>实现重点客户的个性化需求。</w:t>
            </w:r>
          </w:p>
        </w:tc>
        <w:tc>
          <w:tcPr>
            <w:tcW w:w="216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160"/>
        <w:gridCol w:w="5400"/>
        <w:gridCol w:w="2160"/>
      </w:tblGrid>
      <w:tr>
        <w:trPr>
          <w:trHeight w:val="474"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4"/>
              <w:ind w:left="62" w:right="0"/>
              <w:jc w:val="left"/>
              <w:rPr>
                <w:rFonts w:ascii="宋体" w:hAnsi="宋体" w:cs="宋体" w:eastAsia="宋体" w:hint="default"/>
                <w:sz w:val="18"/>
                <w:szCs w:val="18"/>
              </w:rPr>
            </w:pPr>
            <w:r>
              <w:rPr>
                <w:rFonts w:ascii="宋体" w:hAnsi="宋体" w:cs="宋体" w:eastAsia="宋体" w:hint="default"/>
                <w:sz w:val="18"/>
                <w:szCs w:val="18"/>
              </w:rPr>
              <w:t>1.  能够</w:t>
            </w:r>
            <w:r>
              <w:rPr>
                <w:rFonts w:ascii="Times New Roman" w:hAnsi="Times New Roman" w:cs="Times New Roman" w:eastAsia="Times New Roman" w:hint="default"/>
                <w:sz w:val="18"/>
                <w:szCs w:val="18"/>
              </w:rPr>
              <w:t>7*24</w:t>
            </w:r>
            <w:r>
              <w:rPr>
                <w:rFonts w:ascii="宋体" w:hAnsi="宋体" w:cs="宋体" w:eastAsia="宋体" w:hint="default"/>
                <w:sz w:val="18"/>
                <w:szCs w:val="18"/>
              </w:rPr>
              <w:t>小时自助式接收客户多种类支票；</w:t>
            </w: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pacing w:val="15"/>
                <w:sz w:val="18"/>
                <w:szCs w:val="18"/>
              </w:rPr>
              <w:t>支持达成票联通项目稳定</w:t>
            </w:r>
            <w:r>
              <w:rPr>
                <w:rFonts w:ascii="宋体" w:hAnsi="宋体" w:cs="宋体" w:eastAsia="宋体" w:hint="default"/>
                <w:sz w:val="18"/>
                <w:szCs w:val="18"/>
              </w:rPr>
            </w:r>
          </w:p>
        </w:tc>
      </w:tr>
      <w:tr>
        <w:trPr>
          <w:trHeight w:val="624"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票据自助柜员机</w:t>
            </w: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422" w:right="1" w:hanging="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双面扫描接收到的支票，并实时的传递支票影像到后台作业中</w:t>
            </w:r>
            <w:r>
              <w:rPr>
                <w:rFonts w:ascii="宋体" w:hAnsi="宋体" w:cs="宋体" w:eastAsia="宋体" w:hint="default"/>
                <w:spacing w:val="3"/>
                <w:sz w:val="18"/>
                <w:szCs w:val="18"/>
              </w:rPr>
              <w:t> </w:t>
            </w:r>
            <w:r>
              <w:rPr>
                <w:rFonts w:ascii="宋体" w:hAnsi="宋体" w:cs="宋体" w:eastAsia="宋体" w:hint="default"/>
                <w:sz w:val="18"/>
                <w:szCs w:val="18"/>
              </w:rPr>
              <w:t>心；</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2"/>
                <w:sz w:val="18"/>
                <w:szCs w:val="18"/>
              </w:rPr>
              <w:t>运行，形成符合市场应用需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求的产品升级，拓宽公司产</w:t>
            </w:r>
          </w:p>
        </w:tc>
      </w:tr>
      <w:tr>
        <w:trPr>
          <w:trHeight w:val="473"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2"/>
              <w:ind w:left="62" w:right="0"/>
              <w:jc w:val="left"/>
              <w:rPr>
                <w:rFonts w:ascii="宋体" w:hAnsi="宋体" w:cs="宋体" w:eastAsia="宋体" w:hint="default"/>
                <w:sz w:val="18"/>
                <w:szCs w:val="18"/>
              </w:rPr>
            </w:pPr>
            <w:r>
              <w:rPr>
                <w:rFonts w:ascii="宋体" w:hAnsi="宋体" w:cs="宋体" w:eastAsia="宋体" w:hint="default"/>
                <w:sz w:val="18"/>
                <w:szCs w:val="18"/>
              </w:rPr>
              <w:t>3.  提供实物支票的有效保管和存储。</w:t>
            </w: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品线</w:t>
            </w:r>
          </w:p>
        </w:tc>
      </w:tr>
      <w:tr>
        <w:trPr>
          <w:trHeight w:val="439"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Style w:val="TableParagraph"/>
              <w:tabs>
                <w:tab w:pos="422" w:val="left" w:leader="none"/>
              </w:tabs>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1.</w:t>
              <w:tab/>
              <w:t>通过远程视频技术实现业务远程签约；</w:t>
            </w:r>
          </w:p>
        </w:tc>
        <w:tc>
          <w:tcPr>
            <w:tcW w:w="2160" w:type="dxa"/>
            <w:tcBorders>
              <w:top w:val="single" w:sz="6" w:space="0" w:color="000000"/>
              <w:left w:val="single" w:sz="6" w:space="0" w:color="000000"/>
              <w:bottom w:val="nil" w:sz="6" w:space="0" w:color="auto"/>
              <w:right w:val="single" w:sz="6" w:space="0" w:color="000000"/>
            </w:tcBorders>
          </w:tcPr>
          <w:p>
            <w:pPr/>
          </w:p>
        </w:tc>
      </w:tr>
      <w:tr>
        <w:trPr>
          <w:trHeight w:val="347"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tabs>
                <w:tab w:pos="422" w:val="left" w:leader="none"/>
              </w:tabs>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2.</w:t>
              <w:tab/>
            </w:r>
            <w:r>
              <w:rPr>
                <w:rFonts w:ascii="宋体" w:hAnsi="宋体" w:cs="宋体" w:eastAsia="宋体" w:hint="default"/>
                <w:spacing w:val="-3"/>
                <w:sz w:val="18"/>
                <w:szCs w:val="18"/>
              </w:rPr>
              <w:t>采用产业标准技术、可扩展的系统架构、开放式语言，保证系统</w:t>
            </w:r>
          </w:p>
        </w:tc>
        <w:tc>
          <w:tcPr>
            <w:tcW w:w="2160" w:type="dxa"/>
            <w:tcBorders>
              <w:top w:val="nil" w:sz="6" w:space="0" w:color="auto"/>
              <w:left w:val="single" w:sz="6" w:space="0" w:color="000000"/>
              <w:bottom w:val="nil" w:sz="6" w:space="0" w:color="auto"/>
              <w:right w:val="single" w:sz="6" w:space="0" w:color="000000"/>
            </w:tcBorders>
          </w:tcPr>
          <w:p>
            <w:pPr/>
          </w:p>
        </w:tc>
      </w:tr>
      <w:tr>
        <w:trPr>
          <w:trHeight w:val="732"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远程视频签约项目</w:t>
            </w: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可在异构的平台之间移植；</w:t>
            </w:r>
          </w:p>
          <w:p>
            <w:pPr>
              <w:pStyle w:val="TableParagraph"/>
              <w:tabs>
                <w:tab w:pos="422" w:val="left" w:leader="none"/>
              </w:tabs>
              <w:spacing w:line="240" w:lineRule="auto" w:before="148"/>
              <w:ind w:left="2" w:right="-17"/>
              <w:jc w:val="left"/>
              <w:rPr>
                <w:rFonts w:ascii="宋体" w:hAnsi="宋体" w:cs="宋体" w:eastAsia="宋体" w:hint="default"/>
                <w:sz w:val="18"/>
                <w:szCs w:val="18"/>
              </w:rPr>
            </w:pPr>
            <w:r>
              <w:rPr>
                <w:rFonts w:ascii="宋体" w:hAnsi="宋体" w:cs="宋体" w:eastAsia="宋体" w:hint="default"/>
                <w:sz w:val="18"/>
                <w:szCs w:val="18"/>
              </w:rPr>
              <w:t>3.</w:t>
              <w:tab/>
            </w:r>
            <w:r>
              <w:rPr>
                <w:rFonts w:ascii="宋体" w:hAnsi="宋体" w:cs="宋体" w:eastAsia="宋体" w:hint="default"/>
                <w:spacing w:val="-3"/>
                <w:sz w:val="18"/>
                <w:szCs w:val="18"/>
              </w:rPr>
              <w:t>保证数据管理和应用、信息的安全性和灾难恢复的快速有效性；</w:t>
            </w:r>
            <w:r>
              <w:rPr>
                <w:rFonts w:ascii="宋体" w:hAnsi="宋体" w:cs="宋体" w:eastAsia="宋体" w:hint="default"/>
                <w:sz w:val="18"/>
                <w:szCs w:val="18"/>
              </w:rPr>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316" w:lineRule="auto" w:before="46"/>
              <w:ind w:left="2" w:right="-11"/>
              <w:jc w:val="left"/>
              <w:rPr>
                <w:rFonts w:ascii="宋体" w:hAnsi="宋体" w:cs="宋体" w:eastAsia="宋体" w:hint="default"/>
                <w:sz w:val="18"/>
                <w:szCs w:val="18"/>
              </w:rPr>
            </w:pPr>
            <w:r>
              <w:rPr>
                <w:rFonts w:ascii="宋体" w:hAnsi="宋体" w:cs="宋体" w:eastAsia="宋体" w:hint="default"/>
                <w:spacing w:val="15"/>
                <w:sz w:val="18"/>
                <w:szCs w:val="18"/>
              </w:rPr>
              <w:t>形成符合市场应用需求的 </w:t>
            </w:r>
            <w:r>
              <w:rPr>
                <w:rFonts w:ascii="宋体" w:hAnsi="宋体" w:cs="宋体" w:eastAsia="宋体" w:hint="default"/>
                <w:sz w:val="18"/>
                <w:szCs w:val="18"/>
              </w:rPr>
              <w:t>新产品，拓宽公司产品线</w:t>
            </w:r>
          </w:p>
        </w:tc>
      </w:tr>
      <w:tr>
        <w:trPr>
          <w:trHeight w:val="348"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tabs>
                <w:tab w:pos="422" w:val="left" w:leader="none"/>
              </w:tabs>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4.</w:t>
              <w:tab/>
            </w:r>
            <w:r>
              <w:rPr>
                <w:rFonts w:ascii="宋体" w:hAnsi="宋体" w:cs="宋体" w:eastAsia="宋体" w:hint="default"/>
                <w:spacing w:val="-3"/>
                <w:sz w:val="18"/>
                <w:szCs w:val="18"/>
              </w:rPr>
              <w:t>保持统一的管理界面、安全控制机制、开发接口标准，增强可拓</w:t>
            </w:r>
          </w:p>
        </w:tc>
        <w:tc>
          <w:tcPr>
            <w:tcW w:w="2160" w:type="dxa"/>
            <w:tcBorders>
              <w:top w:val="nil" w:sz="6" w:space="0" w:color="auto"/>
              <w:left w:val="single" w:sz="6" w:space="0" w:color="000000"/>
              <w:bottom w:val="nil" w:sz="6" w:space="0" w:color="auto"/>
              <w:right w:val="single" w:sz="6" w:space="0" w:color="000000"/>
            </w:tcBorders>
          </w:tcPr>
          <w:p>
            <w:pPr/>
          </w:p>
        </w:tc>
      </w:tr>
      <w:tr>
        <w:trPr>
          <w:trHeight w:val="401"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展性。</w:t>
            </w:r>
          </w:p>
        </w:tc>
        <w:tc>
          <w:tcPr>
            <w:tcW w:w="2160" w:type="dxa"/>
            <w:tcBorders>
              <w:top w:val="nil" w:sz="6" w:space="0" w:color="auto"/>
              <w:left w:val="single" w:sz="6" w:space="0" w:color="000000"/>
              <w:bottom w:val="single" w:sz="6" w:space="0" w:color="000000"/>
              <w:right w:val="single" w:sz="6" w:space="0" w:color="000000"/>
            </w:tcBorders>
          </w:tcPr>
          <w:p>
            <w:pPr/>
          </w:p>
        </w:tc>
      </w:tr>
      <w:tr>
        <w:trPr>
          <w:trHeight w:val="361"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Style w:val="TableParagraph"/>
              <w:tabs>
                <w:tab w:pos="422" w:val="left" w:leader="none"/>
              </w:tabs>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1.</w:t>
              <w:tab/>
            </w:r>
            <w:r>
              <w:rPr>
                <w:rFonts w:ascii="宋体" w:hAnsi="宋体" w:cs="宋体" w:eastAsia="宋体" w:hint="default"/>
                <w:spacing w:val="-7"/>
                <w:sz w:val="18"/>
                <w:szCs w:val="18"/>
              </w:rPr>
              <w:t>通过视频通信、人脸识别、卡证识别等技术，实现远程开户应用</w:t>
            </w: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539"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left="2" w:right="0"/>
              <w:jc w:val="left"/>
              <w:rPr>
                <w:rFonts w:ascii="宋体" w:hAnsi="宋体" w:cs="宋体" w:eastAsia="宋体" w:hint="default"/>
                <w:sz w:val="18"/>
                <w:szCs w:val="18"/>
              </w:rPr>
            </w:pPr>
            <w:r>
              <w:rPr>
                <w:rFonts w:ascii="宋体" w:hAnsi="宋体" w:cs="宋体" w:eastAsia="宋体" w:hint="default"/>
                <w:sz w:val="18"/>
                <w:szCs w:val="18"/>
              </w:rPr>
              <w:t>远程开户解决方案</w:t>
            </w:r>
          </w:p>
        </w:tc>
        <w:tc>
          <w:tcPr>
            <w:tcW w:w="5400" w:type="dxa"/>
            <w:tcBorders>
              <w:top w:val="nil" w:sz="6" w:space="0" w:color="auto"/>
              <w:left w:val="single" w:sz="6" w:space="0" w:color="000000"/>
              <w:bottom w:val="nil" w:sz="6" w:space="0" w:color="auto"/>
              <w:right w:val="single" w:sz="6" w:space="0" w:color="000000"/>
            </w:tcBorders>
          </w:tcPr>
          <w:p>
            <w:pPr>
              <w:pStyle w:val="TableParagraph"/>
              <w:tabs>
                <w:tab w:pos="422" w:val="left" w:leader="none"/>
              </w:tabs>
              <w:spacing w:line="240" w:lineRule="auto" w:before="124"/>
              <w:ind w:left="2" w:right="0"/>
              <w:jc w:val="left"/>
              <w:rPr>
                <w:rFonts w:ascii="宋体" w:hAnsi="宋体" w:cs="宋体" w:eastAsia="宋体" w:hint="default"/>
                <w:sz w:val="18"/>
                <w:szCs w:val="18"/>
              </w:rPr>
            </w:pPr>
            <w:r>
              <w:rPr>
                <w:rFonts w:ascii="宋体" w:hAnsi="宋体" w:cs="宋体" w:eastAsia="宋体" w:hint="default"/>
                <w:sz w:val="18"/>
                <w:szCs w:val="18"/>
              </w:rPr>
              <w:t>2.</w:t>
              <w:tab/>
              <w:t>有效加快银行开户业务办理效率；</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 w:right="-11"/>
              <w:jc w:val="left"/>
              <w:rPr>
                <w:rFonts w:ascii="宋体" w:hAnsi="宋体" w:cs="宋体" w:eastAsia="宋体" w:hint="default"/>
                <w:sz w:val="18"/>
                <w:szCs w:val="18"/>
              </w:rPr>
            </w:pPr>
            <w:r>
              <w:rPr>
                <w:rFonts w:ascii="宋体" w:hAnsi="宋体" w:cs="宋体" w:eastAsia="宋体" w:hint="default"/>
                <w:spacing w:val="15"/>
                <w:sz w:val="18"/>
                <w:szCs w:val="18"/>
              </w:rPr>
              <w:t>形成符合市场应用需求的</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新产品，拓宽公司产品线</w:t>
            </w:r>
          </w:p>
        </w:tc>
      </w:tr>
      <w:tr>
        <w:trPr>
          <w:trHeight w:val="359"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Style w:val="TableParagraph"/>
              <w:tabs>
                <w:tab w:pos="422" w:val="left" w:leader="none"/>
              </w:tabs>
              <w:spacing w:line="204" w:lineRule="exact"/>
              <w:ind w:left="2" w:right="0"/>
              <w:jc w:val="left"/>
              <w:rPr>
                <w:rFonts w:ascii="宋体" w:hAnsi="宋体" w:cs="宋体" w:eastAsia="宋体" w:hint="default"/>
                <w:sz w:val="18"/>
                <w:szCs w:val="18"/>
              </w:rPr>
            </w:pPr>
            <w:r>
              <w:rPr>
                <w:rFonts w:ascii="宋体" w:hAnsi="宋体" w:cs="宋体" w:eastAsia="宋体" w:hint="default"/>
                <w:sz w:val="18"/>
                <w:szCs w:val="18"/>
              </w:rPr>
              <w:t>3.</w:t>
              <w:tab/>
              <w:t>自动留存客户开户信息。</w:t>
            </w:r>
          </w:p>
        </w:tc>
        <w:tc>
          <w:tcPr>
            <w:tcW w:w="2160" w:type="dxa"/>
            <w:tcBorders>
              <w:top w:val="nil" w:sz="6" w:space="0" w:color="auto"/>
              <w:left w:val="single" w:sz="6" w:space="0" w:color="000000"/>
              <w:bottom w:val="single" w:sz="6" w:space="0" w:color="000000"/>
              <w:right w:val="single" w:sz="6" w:space="0" w:color="000000"/>
            </w:tcBorders>
          </w:tcPr>
          <w:p>
            <w:pPr/>
          </w:p>
        </w:tc>
      </w:tr>
      <w:tr>
        <w:trPr>
          <w:trHeight w:val="439"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Style w:val="TableParagraph"/>
              <w:tabs>
                <w:tab w:pos="422" w:val="left" w:leader="none"/>
              </w:tabs>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1.</w:t>
              <w:tab/>
              <w:t>通过流程作业的方式使银行传统作业型网点向营销型网点转变</w:t>
            </w: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4"/>
              <w:ind w:left="-11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tabs>
                <w:tab w:pos="422" w:val="left" w:leader="none"/>
              </w:tabs>
              <w:spacing w:line="240" w:lineRule="auto" w:before="46"/>
              <w:ind w:left="2" w:right="-17"/>
              <w:jc w:val="left"/>
              <w:rPr>
                <w:rFonts w:ascii="宋体" w:hAnsi="宋体" w:cs="宋体" w:eastAsia="宋体" w:hint="default"/>
                <w:sz w:val="18"/>
                <w:szCs w:val="18"/>
              </w:rPr>
            </w:pPr>
            <w:r>
              <w:rPr>
                <w:rFonts w:ascii="宋体" w:hAnsi="宋体" w:cs="宋体" w:eastAsia="宋体" w:hint="default"/>
                <w:sz w:val="18"/>
                <w:szCs w:val="18"/>
              </w:rPr>
              <w:t>2.</w:t>
              <w:tab/>
            </w:r>
            <w:r>
              <w:rPr>
                <w:rFonts w:ascii="宋体" w:hAnsi="宋体" w:cs="宋体" w:eastAsia="宋体" w:hint="default"/>
                <w:spacing w:val="-9"/>
                <w:sz w:val="18"/>
                <w:szCs w:val="18"/>
              </w:rPr>
              <w:t>采用影像处理机制，前台业务采集、上传、影像拆分、切片录入、</w:t>
            </w:r>
            <w:r>
              <w:rPr>
                <w:rFonts w:ascii="宋体" w:hAnsi="宋体" w:cs="宋体" w:eastAsia="宋体" w:hint="default"/>
                <w:sz w:val="18"/>
                <w:szCs w:val="18"/>
              </w:rPr>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hAnsi="宋体" w:cs="宋体" w:eastAsia="宋体" w:hint="default"/>
                <w:spacing w:val="15"/>
                <w:sz w:val="18"/>
                <w:szCs w:val="18"/>
              </w:rPr>
              <w:t>形成符合流程银行建设需</w:t>
            </w:r>
            <w:r>
              <w:rPr>
                <w:rFonts w:ascii="宋体" w:hAnsi="宋体" w:cs="宋体" w:eastAsia="宋体" w:hint="default"/>
                <w:sz w:val="18"/>
                <w:szCs w:val="18"/>
              </w:rPr>
            </w:r>
          </w:p>
        </w:tc>
      </w:tr>
      <w:tr>
        <w:trPr>
          <w:trHeight w:val="335"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流程银行业务平台系统</w:t>
            </w: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组合拼装，解决银行网点分散处理向集中作业的转变；</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0"/>
              <w:jc w:val="right"/>
              <w:rPr>
                <w:rFonts w:ascii="宋体" w:hAnsi="宋体" w:cs="宋体" w:eastAsia="宋体" w:hint="default"/>
                <w:sz w:val="18"/>
                <w:szCs w:val="18"/>
              </w:rPr>
            </w:pPr>
            <w:r>
              <w:rPr>
                <w:rFonts w:ascii="宋体" w:hAnsi="宋体" w:cs="宋体" w:eastAsia="宋体" w:hint="default"/>
                <w:spacing w:val="-1"/>
                <w:sz w:val="18"/>
                <w:szCs w:val="18"/>
              </w:rPr>
              <w:t>要的</w:t>
            </w:r>
            <w:r>
              <w:rPr>
                <w:rFonts w:ascii="Times New Roman" w:hAnsi="Times New Roman" w:cs="Times New Roman" w:eastAsia="Times New Roman" w:hint="default"/>
                <w:spacing w:val="-1"/>
                <w:sz w:val="18"/>
                <w:szCs w:val="18"/>
              </w:rPr>
              <w:t>IT</w:t>
            </w:r>
            <w:r>
              <w:rPr>
                <w:rFonts w:ascii="宋体" w:hAnsi="宋体" w:cs="宋体" w:eastAsia="宋体" w:hint="default"/>
                <w:spacing w:val="-1"/>
                <w:sz w:val="18"/>
                <w:szCs w:val="18"/>
              </w:rPr>
              <w:t>解决方案，拓宽公司</w:t>
            </w:r>
          </w:p>
        </w:tc>
      </w:tr>
      <w:tr>
        <w:trPr>
          <w:trHeight w:val="379"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tabs>
                <w:tab w:pos="422" w:val="left" w:leader="none"/>
              </w:tabs>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3.</w:t>
              <w:tab/>
              <w:t>应用工作流引擎提供灵活的业务规则设计和实施；</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产品线</w:t>
            </w:r>
          </w:p>
        </w:tc>
      </w:tr>
      <w:tr>
        <w:trPr>
          <w:trHeight w:val="438"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Style w:val="TableParagraph"/>
              <w:tabs>
                <w:tab w:pos="422" w:val="left" w:leader="none"/>
              </w:tabs>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4.</w:t>
              <w:tab/>
              <w:t>应用内容管理技术为非结构化数据提供归档、查询和备份。</w:t>
            </w:r>
          </w:p>
        </w:tc>
        <w:tc>
          <w:tcPr>
            <w:tcW w:w="2160" w:type="dxa"/>
            <w:tcBorders>
              <w:top w:val="nil" w:sz="6" w:space="0" w:color="auto"/>
              <w:left w:val="single" w:sz="6" w:space="0" w:color="000000"/>
              <w:bottom w:val="single" w:sz="6" w:space="0" w:color="000000"/>
              <w:right w:val="single" w:sz="6" w:space="0" w:color="000000"/>
            </w:tcBorders>
          </w:tcPr>
          <w:p>
            <w:pPr/>
          </w:p>
        </w:tc>
      </w:tr>
      <w:tr>
        <w:trPr>
          <w:trHeight w:val="383"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3"/>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8"/>
                <w:sz w:val="18"/>
                <w:szCs w:val="18"/>
              </w:rPr>
              <w:t> </w:t>
            </w:r>
            <w:r>
              <w:rPr>
                <w:rFonts w:ascii="宋体" w:hAnsi="宋体" w:cs="宋体" w:eastAsia="宋体" w:hint="default"/>
                <w:sz w:val="18"/>
                <w:szCs w:val="18"/>
              </w:rPr>
              <w:t>开放</w:t>
            </w:r>
            <w:r>
              <w:rPr>
                <w:rFonts w:ascii="Times New Roman" w:hAnsi="Times New Roman" w:cs="Times New Roman" w:eastAsia="Times New Roman" w:hint="default"/>
                <w:sz w:val="18"/>
                <w:szCs w:val="18"/>
              </w:rPr>
              <w:t>API</w:t>
            </w:r>
            <w:r>
              <w:rPr>
                <w:rFonts w:ascii="宋体" w:hAnsi="宋体" w:cs="宋体" w:eastAsia="宋体" w:hint="default"/>
                <w:sz w:val="18"/>
                <w:szCs w:val="18"/>
              </w:rPr>
              <w:t>；</w:t>
            </w:r>
          </w:p>
        </w:tc>
        <w:tc>
          <w:tcPr>
            <w:tcW w:w="2160" w:type="dxa"/>
            <w:tcBorders>
              <w:top w:val="single" w:sz="6" w:space="0" w:color="000000"/>
              <w:left w:val="single" w:sz="6" w:space="0" w:color="000000"/>
              <w:bottom w:val="nil" w:sz="6" w:space="0" w:color="auto"/>
              <w:right w:val="single" w:sz="6" w:space="0" w:color="000000"/>
            </w:tcBorders>
          </w:tcPr>
          <w:p>
            <w:pPr/>
          </w:p>
        </w:tc>
      </w:tr>
      <w:tr>
        <w:trPr>
          <w:trHeight w:val="347"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8"/>
                <w:sz w:val="18"/>
                <w:szCs w:val="18"/>
              </w:rPr>
              <w:t> </w:t>
            </w:r>
            <w:r>
              <w:rPr>
                <w:rFonts w:ascii="宋体" w:hAnsi="宋体" w:cs="宋体" w:eastAsia="宋体" w:hint="default"/>
                <w:sz w:val="18"/>
                <w:szCs w:val="18"/>
              </w:rPr>
              <w:t>支持</w:t>
            </w:r>
            <w:r>
              <w:rPr>
                <w:rFonts w:ascii="Times New Roman" w:hAnsi="Times New Roman" w:cs="Times New Roman" w:eastAsia="Times New Roman" w:hint="default"/>
                <w:sz w:val="18"/>
                <w:szCs w:val="18"/>
              </w:rPr>
              <w:t>Oracle</w:t>
            </w:r>
            <w:r>
              <w:rPr>
                <w:rFonts w:ascii="宋体" w:hAnsi="宋体" w:cs="宋体" w:eastAsia="宋体" w:hint="default"/>
                <w:sz w:val="18"/>
                <w:szCs w:val="18"/>
              </w:rPr>
              <w:t>等主流数据库；</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0"/>
              <w:jc w:val="right"/>
              <w:rPr>
                <w:rFonts w:ascii="宋体" w:hAnsi="宋体" w:cs="宋体" w:eastAsia="宋体" w:hint="default"/>
                <w:sz w:val="18"/>
                <w:szCs w:val="18"/>
              </w:rPr>
            </w:pPr>
            <w:r>
              <w:rPr>
                <w:rFonts w:ascii="宋体" w:hAnsi="宋体" w:cs="宋体" w:eastAsia="宋体" w:hint="default"/>
                <w:spacing w:val="-2"/>
                <w:sz w:val="18"/>
                <w:szCs w:val="18"/>
              </w:rPr>
              <w:t>升级原有</w:t>
            </w:r>
            <w:r>
              <w:rPr>
                <w:rFonts w:ascii="Times New Roman" w:hAnsi="Times New Roman" w:cs="Times New Roman" w:eastAsia="Times New Roman" w:hint="default"/>
                <w:spacing w:val="-2"/>
                <w:sz w:val="18"/>
                <w:szCs w:val="18"/>
              </w:rPr>
              <w:t>V1.0</w:t>
            </w:r>
            <w:r>
              <w:rPr>
                <w:rFonts w:ascii="宋体" w:hAnsi="宋体" w:cs="宋体" w:eastAsia="宋体" w:hint="default"/>
                <w:spacing w:val="-2"/>
                <w:sz w:val="18"/>
                <w:szCs w:val="18"/>
              </w:rPr>
              <w:t>产品，满足大</w:t>
            </w:r>
          </w:p>
        </w:tc>
      </w:tr>
      <w:tr>
        <w:trPr>
          <w:trHeight w:val="188"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182" w:lineRule="exact"/>
              <w:ind w:left="2" w:right="0"/>
              <w:jc w:val="left"/>
              <w:rPr>
                <w:rFonts w:ascii="宋体" w:hAnsi="宋体" w:cs="宋体" w:eastAsia="宋体" w:hint="default"/>
                <w:sz w:val="18"/>
                <w:szCs w:val="18"/>
              </w:rPr>
            </w:pPr>
            <w:r>
              <w:rPr>
                <w:rFonts w:ascii="宋体" w:hAnsi="宋体" w:cs="宋体" w:eastAsia="宋体" w:hint="default"/>
                <w:sz w:val="18"/>
                <w:szCs w:val="18"/>
              </w:rPr>
              <w:t>亿美短彩运营平台 V2.0</w:t>
            </w:r>
          </w:p>
        </w:tc>
        <w:tc>
          <w:tcPr>
            <w:tcW w:w="5400" w:type="dxa"/>
            <w:tcBorders>
              <w:top w:val="nil" w:sz="6" w:space="0" w:color="auto"/>
              <w:left w:val="single" w:sz="6" w:space="0" w:color="000000"/>
              <w:bottom w:val="nil" w:sz="6" w:space="0" w:color="auto"/>
              <w:right w:val="single" w:sz="6" w:space="0" w:color="000000"/>
            </w:tcBorders>
          </w:tcPr>
          <w:p>
            <w:pP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181" w:lineRule="exact"/>
              <w:ind w:right="-11"/>
              <w:jc w:val="right"/>
              <w:rPr>
                <w:rFonts w:ascii="宋体" w:hAnsi="宋体" w:cs="宋体" w:eastAsia="宋体" w:hint="default"/>
                <w:sz w:val="18"/>
                <w:szCs w:val="18"/>
              </w:rPr>
            </w:pPr>
            <w:r>
              <w:rPr>
                <w:rFonts w:ascii="宋体" w:hAnsi="宋体" w:cs="宋体" w:eastAsia="宋体" w:hint="default"/>
                <w:spacing w:val="15"/>
                <w:sz w:val="18"/>
                <w:szCs w:val="18"/>
              </w:rPr>
              <w:t>客户群体直连运营商及大</w:t>
            </w:r>
            <w:r>
              <w:rPr>
                <w:rFonts w:ascii="宋体" w:hAnsi="宋体" w:cs="宋体" w:eastAsia="宋体" w:hint="default"/>
                <w:sz w:val="18"/>
                <w:szCs w:val="18"/>
              </w:rPr>
            </w:r>
          </w:p>
        </w:tc>
      </w:tr>
      <w:tr>
        <w:trPr>
          <w:trHeight w:val="347"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185" w:lineRule="exact"/>
              <w:ind w:left="2" w:right="0"/>
              <w:jc w:val="left"/>
              <w:rPr>
                <w:rFonts w:ascii="宋体" w:hAnsi="宋体" w:cs="宋体" w:eastAsia="宋体" w:hint="default"/>
                <w:sz w:val="18"/>
                <w:szCs w:val="18"/>
              </w:rPr>
            </w:pPr>
            <w:r>
              <w:rPr>
                <w:rFonts w:ascii="宋体" w:hAnsi="宋体" w:cs="宋体" w:eastAsia="宋体" w:hint="default"/>
                <w:sz w:val="18"/>
                <w:szCs w:val="18"/>
              </w:rPr>
              <w:t>3.  封装中国移动、电信、联通的短彩信标准通信协议；</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容量短信通讯需求。</w:t>
            </w:r>
          </w:p>
        </w:tc>
      </w:tr>
      <w:tr>
        <w:trPr>
          <w:trHeight w:val="378"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4.  监控通道和用户的发送状态。</w:t>
            </w:r>
          </w:p>
        </w:tc>
        <w:tc>
          <w:tcPr>
            <w:tcW w:w="2160"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hAnsi="宋体" w:cs="宋体" w:eastAsia="宋体" w:hint="default"/>
                <w:spacing w:val="-2"/>
                <w:sz w:val="18"/>
                <w:szCs w:val="18"/>
              </w:rPr>
              <w:t>新产品、新业务及新的营销</w:t>
            </w:r>
          </w:p>
        </w:tc>
      </w:tr>
      <w:tr>
        <w:trPr>
          <w:trHeight w:val="347"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 w:right="0"/>
              <w:jc w:val="left"/>
              <w:rPr>
                <w:rFonts w:ascii="宋体" w:hAnsi="宋体" w:cs="宋体" w:eastAsia="宋体" w:hint="default"/>
                <w:sz w:val="18"/>
                <w:szCs w:val="18"/>
              </w:rPr>
            </w:pPr>
            <w:r>
              <w:rPr>
                <w:rFonts w:ascii="宋体" w:hAnsi="宋体" w:cs="宋体" w:eastAsia="宋体" w:hint="default"/>
                <w:sz w:val="18"/>
                <w:szCs w:val="18"/>
              </w:rPr>
              <w:t>1.  封装中国移动、电信、联通三大运营商流量业务通讯协议</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hAnsi="宋体" w:cs="宋体" w:eastAsia="宋体" w:hint="default"/>
                <w:spacing w:val="-2"/>
                <w:sz w:val="18"/>
                <w:szCs w:val="18"/>
              </w:rPr>
              <w:t>服务形式，也是公司新的业</w:t>
            </w:r>
          </w:p>
        </w:tc>
      </w:tr>
      <w:tr>
        <w:trPr>
          <w:trHeight w:val="313"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亿美流量平台 V1.0</w:t>
            </w: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2.  实现运营商标准套餐以外的定制套餐流量包；</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2"/>
                <w:sz w:val="18"/>
                <w:szCs w:val="18"/>
              </w:rPr>
              <w:t>务增长点。企业客户通过各</w:t>
            </w:r>
          </w:p>
        </w:tc>
      </w:tr>
      <w:tr>
        <w:trPr>
          <w:trHeight w:val="347"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3.  支持批量号码充值流量，接口充值流量。</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2"/>
                <w:sz w:val="18"/>
                <w:szCs w:val="18"/>
              </w:rPr>
              <w:t>种营销活动，以流量作为优</w:t>
            </w:r>
          </w:p>
        </w:tc>
      </w:tr>
      <w:tr>
        <w:trPr>
          <w:trHeight w:val="325"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right="-17"/>
              <w:jc w:val="right"/>
              <w:rPr>
                <w:rFonts w:ascii="宋体" w:hAnsi="宋体" w:cs="宋体" w:eastAsia="宋体" w:hint="default"/>
                <w:sz w:val="18"/>
                <w:szCs w:val="18"/>
              </w:rPr>
            </w:pPr>
            <w:r>
              <w:rPr>
                <w:rFonts w:ascii="宋体" w:hAnsi="宋体" w:cs="宋体" w:eastAsia="宋体" w:hint="default"/>
                <w:sz w:val="18"/>
                <w:szCs w:val="18"/>
              </w:rPr>
              <w:t>惠券的形式服务于其用户。</w:t>
            </w:r>
          </w:p>
        </w:tc>
      </w:tr>
      <w:tr>
        <w:trPr>
          <w:trHeight w:val="307"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5"/>
                <w:sz w:val="18"/>
                <w:szCs w:val="18"/>
              </w:rPr>
              <w:t>亿美活动平台是针对吸引</w:t>
            </w:r>
            <w:r>
              <w:rPr>
                <w:rFonts w:ascii="宋体" w:hAnsi="宋体" w:cs="宋体" w:eastAsia="宋体" w:hint="default"/>
                <w:sz w:val="18"/>
                <w:szCs w:val="18"/>
              </w:rPr>
            </w:r>
          </w:p>
        </w:tc>
      </w:tr>
      <w:tr>
        <w:trPr>
          <w:trHeight w:val="347"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SAAS</w:t>
            </w:r>
            <w:r>
              <w:rPr>
                <w:rFonts w:ascii="宋体" w:hAnsi="宋体" w:cs="宋体" w:eastAsia="宋体" w:hint="default"/>
                <w:sz w:val="18"/>
                <w:szCs w:val="18"/>
              </w:rPr>
              <w:t>架构，通过云端互联网创建营销活动；</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hAnsi="宋体" w:cs="宋体" w:eastAsia="宋体" w:hint="default"/>
                <w:spacing w:val="15"/>
                <w:sz w:val="18"/>
                <w:szCs w:val="18"/>
              </w:rPr>
              <w:t>客户关注度而产生的营销</w:t>
            </w:r>
            <w:r>
              <w:rPr>
                <w:rFonts w:ascii="宋体" w:hAnsi="宋体" w:cs="宋体" w:eastAsia="宋体" w:hint="default"/>
                <w:sz w:val="18"/>
                <w:szCs w:val="18"/>
              </w:rPr>
            </w:r>
          </w:p>
        </w:tc>
      </w:tr>
      <w:tr>
        <w:trPr>
          <w:trHeight w:val="312"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0"/>
                <w:sz w:val="18"/>
                <w:szCs w:val="18"/>
              </w:rPr>
              <w:t> </w:t>
            </w:r>
            <w:r>
              <w:rPr>
                <w:rFonts w:ascii="宋体" w:hAnsi="宋体" w:cs="宋体" w:eastAsia="宋体" w:hint="default"/>
                <w:sz w:val="18"/>
                <w:szCs w:val="18"/>
              </w:rPr>
              <w:t>三大主流活动产品：大转盘、百宝箱、抢红包，并且支持扩展活</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pacing w:val="-2"/>
                <w:sz w:val="18"/>
                <w:szCs w:val="18"/>
              </w:rPr>
              <w:t>辅助工具。配合公司短信平</w:t>
            </w:r>
          </w:p>
        </w:tc>
      </w:tr>
      <w:tr>
        <w:trPr>
          <w:trHeight w:val="330"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亿美活动平台 V1.0</w:t>
            </w: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62" w:right="0"/>
              <w:jc w:val="left"/>
              <w:rPr>
                <w:rFonts w:ascii="宋体" w:hAnsi="宋体" w:cs="宋体" w:eastAsia="宋体" w:hint="default"/>
                <w:sz w:val="18"/>
                <w:szCs w:val="18"/>
              </w:rPr>
            </w:pPr>
            <w:r>
              <w:rPr>
                <w:rFonts w:ascii="宋体" w:hAnsi="宋体" w:cs="宋体" w:eastAsia="宋体" w:hint="default"/>
                <w:sz w:val="18"/>
                <w:szCs w:val="18"/>
              </w:rPr>
              <w:t>动类型，使系统具有充分的可扩展性；</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pacing w:val="-2"/>
                <w:sz w:val="18"/>
                <w:szCs w:val="18"/>
              </w:rPr>
              <w:t>台和流量平台，通过云端互</w:t>
            </w:r>
          </w:p>
        </w:tc>
      </w:tr>
      <w:tr>
        <w:trPr>
          <w:trHeight w:val="330"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3.  与亿美短信平台对接，通过短信的形式通知用户参加活动；</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2"/>
                <w:sz w:val="18"/>
                <w:szCs w:val="18"/>
              </w:rPr>
              <w:t>联网创建营销活动，吸引线</w:t>
            </w:r>
          </w:p>
        </w:tc>
      </w:tr>
      <w:tr>
        <w:trPr>
          <w:trHeight w:val="348"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2" w:right="0"/>
              <w:jc w:val="left"/>
              <w:rPr>
                <w:rFonts w:ascii="宋体" w:hAnsi="宋体" w:cs="宋体" w:eastAsia="宋体" w:hint="default"/>
                <w:sz w:val="18"/>
                <w:szCs w:val="18"/>
              </w:rPr>
            </w:pPr>
            <w:r>
              <w:rPr>
                <w:rFonts w:ascii="宋体" w:hAnsi="宋体" w:cs="宋体" w:eastAsia="宋体" w:hint="default"/>
                <w:sz w:val="18"/>
                <w:szCs w:val="18"/>
              </w:rPr>
              <w:t>4.  与流量平台对接，流量作为活动赠品充值给用户。</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
              <w:jc w:val="right"/>
              <w:rPr>
                <w:rFonts w:ascii="宋体" w:hAnsi="宋体" w:cs="宋体" w:eastAsia="宋体" w:hint="default"/>
                <w:sz w:val="18"/>
                <w:szCs w:val="18"/>
              </w:rPr>
            </w:pPr>
            <w:r>
              <w:rPr>
                <w:rFonts w:ascii="宋体" w:hAnsi="宋体" w:cs="宋体" w:eastAsia="宋体" w:hint="default"/>
                <w:spacing w:val="-2"/>
                <w:sz w:val="18"/>
                <w:szCs w:val="18"/>
              </w:rPr>
              <w:t>上线下用户参与活动，更好</w:t>
            </w:r>
          </w:p>
        </w:tc>
      </w:tr>
      <w:tr>
        <w:trPr>
          <w:trHeight w:val="306"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192" w:lineRule="exact"/>
              <w:ind w:left="2" w:right="0"/>
              <w:jc w:val="left"/>
              <w:rPr>
                <w:rFonts w:ascii="宋体" w:hAnsi="宋体" w:cs="宋体" w:eastAsia="宋体" w:hint="default"/>
                <w:sz w:val="18"/>
                <w:szCs w:val="18"/>
              </w:rPr>
            </w:pPr>
            <w:r>
              <w:rPr>
                <w:rFonts w:ascii="宋体" w:hAnsi="宋体" w:cs="宋体" w:eastAsia="宋体" w:hint="default"/>
                <w:sz w:val="18"/>
                <w:szCs w:val="18"/>
              </w:rPr>
              <w:t>满足大型客户营销活动。</w:t>
            </w:r>
          </w:p>
        </w:tc>
      </w:tr>
      <w:tr>
        <w:trPr>
          <w:trHeight w:val="385"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1.  SAAS架构的大数据云平台；</w:t>
            </w: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hAnsi="宋体" w:cs="宋体" w:eastAsia="宋体" w:hint="default"/>
                <w:spacing w:val="15"/>
                <w:sz w:val="18"/>
                <w:szCs w:val="18"/>
              </w:rPr>
              <w:t>亿美聚精准平台通过共性</w:t>
            </w:r>
            <w:r>
              <w:rPr>
                <w:rFonts w:ascii="宋体" w:hAnsi="宋体" w:cs="宋体" w:eastAsia="宋体" w:hint="default"/>
                <w:sz w:val="18"/>
                <w:szCs w:val="18"/>
              </w:rPr>
            </w:r>
          </w:p>
        </w:tc>
      </w:tr>
      <w:tr>
        <w:trPr>
          <w:trHeight w:val="320"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亿美聚精准平台 V1.0</w:t>
            </w:r>
          </w:p>
        </w:tc>
        <w:tc>
          <w:tcPr>
            <w:tcW w:w="5400"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6"/>
                <w:sz w:val="18"/>
                <w:szCs w:val="18"/>
              </w:rPr>
              <w:t> </w:t>
            </w:r>
            <w:r>
              <w:rPr>
                <w:rFonts w:ascii="宋体" w:hAnsi="宋体" w:cs="宋体" w:eastAsia="宋体" w:hint="default"/>
                <w:sz w:val="18"/>
                <w:szCs w:val="18"/>
              </w:rPr>
              <w:t>综合数据算法，实现用户画像、分析目标用户标签、分析批量目</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11"/>
              <w:jc w:val="right"/>
              <w:rPr>
                <w:rFonts w:ascii="宋体" w:hAnsi="宋体" w:cs="宋体" w:eastAsia="宋体" w:hint="default"/>
                <w:sz w:val="18"/>
                <w:szCs w:val="18"/>
              </w:rPr>
            </w:pPr>
            <w:r>
              <w:rPr>
                <w:rFonts w:ascii="宋体" w:hAnsi="宋体" w:cs="宋体" w:eastAsia="宋体" w:hint="default"/>
                <w:spacing w:val="15"/>
                <w:sz w:val="18"/>
                <w:szCs w:val="18"/>
              </w:rPr>
              <w:t>分析构建企业全维度用户</w:t>
            </w:r>
            <w:r>
              <w:rPr>
                <w:rFonts w:ascii="宋体" w:hAnsi="宋体" w:cs="宋体" w:eastAsia="宋体" w:hint="default"/>
                <w:sz w:val="18"/>
                <w:szCs w:val="18"/>
              </w:rPr>
            </w:r>
          </w:p>
        </w:tc>
      </w:tr>
      <w:tr>
        <w:trPr>
          <w:trHeight w:val="361"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标用户共性标签，定位目标客户群体；</w:t>
            </w: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2"/>
                <w:sz w:val="18"/>
                <w:szCs w:val="18"/>
              </w:rPr>
              <w:t>标签，用专业大数据技术帮</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160"/>
        <w:gridCol w:w="280"/>
        <w:gridCol w:w="5120"/>
        <w:gridCol w:w="2160"/>
      </w:tblGrid>
      <w:tr>
        <w:trPr>
          <w:trHeight w:val="330" w:hRule="exact"/>
        </w:trPr>
        <w:tc>
          <w:tcPr>
            <w:tcW w:w="2160" w:type="dxa"/>
            <w:vMerge w:val="restart"/>
            <w:tcBorders>
              <w:top w:val="single" w:sz="6" w:space="0" w:color="000000"/>
              <w:left w:val="single" w:sz="6" w:space="0" w:color="000000"/>
              <w:right w:val="single" w:sz="6" w:space="0" w:color="000000"/>
            </w:tcBorders>
          </w:tcPr>
          <w:p>
            <w:pPr/>
          </w:p>
        </w:tc>
        <w:tc>
          <w:tcPr>
            <w:tcW w:w="280" w:type="dxa"/>
            <w:tcBorders>
              <w:top w:val="single" w:sz="6" w:space="0" w:color="000000"/>
              <w:left w:val="single" w:sz="6" w:space="0" w:color="000000"/>
              <w:bottom w:val="nil" w:sz="6" w:space="0" w:color="auto"/>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3.</w:t>
            </w:r>
          </w:p>
        </w:tc>
        <w:tc>
          <w:tcPr>
            <w:tcW w:w="5120" w:type="dxa"/>
            <w:tcBorders>
              <w:top w:val="single" w:sz="6" w:space="0" w:color="000000"/>
              <w:left w:val="nil" w:sz="6" w:space="0" w:color="auto"/>
              <w:bottom w:val="nil" w:sz="6" w:space="0" w:color="auto"/>
              <w:right w:val="single" w:sz="6" w:space="0" w:color="000000"/>
            </w:tcBorders>
          </w:tcPr>
          <w:p>
            <w:pPr>
              <w:pStyle w:val="TableParagraph"/>
              <w:spacing w:line="240" w:lineRule="auto" w:before="21"/>
              <w:ind w:left="89" w:right="-17"/>
              <w:jc w:val="left"/>
              <w:rPr>
                <w:rFonts w:ascii="宋体" w:hAnsi="宋体" w:cs="宋体" w:eastAsia="宋体" w:hint="default"/>
                <w:sz w:val="18"/>
                <w:szCs w:val="18"/>
              </w:rPr>
            </w:pPr>
            <w:r>
              <w:rPr>
                <w:rFonts w:ascii="宋体" w:hAnsi="宋体" w:cs="宋体" w:eastAsia="宋体" w:hint="default"/>
                <w:sz w:val="18"/>
                <w:szCs w:val="18"/>
              </w:rPr>
              <w:t>通过平台的普通活动和订阅活动进行投放并监控活动投放效果；</w:t>
            </w: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1"/>
              <w:jc w:val="left"/>
              <w:rPr>
                <w:rFonts w:ascii="宋体" w:hAnsi="宋体" w:cs="宋体" w:eastAsia="宋体" w:hint="default"/>
                <w:sz w:val="18"/>
                <w:szCs w:val="18"/>
              </w:rPr>
            </w:pPr>
            <w:r>
              <w:rPr>
                <w:rFonts w:ascii="宋体" w:hAnsi="宋体" w:cs="宋体" w:eastAsia="宋体" w:hint="default"/>
                <w:spacing w:val="15"/>
                <w:sz w:val="18"/>
                <w:szCs w:val="18"/>
              </w:rPr>
              <w:t>助企业了解用户的实际价</w:t>
            </w:r>
            <w:r>
              <w:rPr>
                <w:rFonts w:ascii="宋体" w:hAnsi="宋体" w:cs="宋体" w:eastAsia="宋体" w:hint="default"/>
                <w:sz w:val="18"/>
                <w:szCs w:val="18"/>
              </w:rPr>
            </w:r>
          </w:p>
        </w:tc>
      </w:tr>
      <w:tr>
        <w:trPr>
          <w:trHeight w:val="349" w:hRule="exact"/>
        </w:trPr>
        <w:tc>
          <w:tcPr>
            <w:tcW w:w="2160" w:type="dxa"/>
            <w:vMerge/>
            <w:tcBorders>
              <w:left w:val="single" w:sz="6" w:space="0" w:color="000000"/>
              <w:right w:val="single" w:sz="6" w:space="0" w:color="000000"/>
            </w:tcBorders>
          </w:tcPr>
          <w:p>
            <w:pPr/>
          </w:p>
        </w:tc>
        <w:tc>
          <w:tcPr>
            <w:tcW w:w="280" w:type="dxa"/>
            <w:tcBorders>
              <w:top w:val="nil" w:sz="6" w:space="0" w:color="auto"/>
              <w:left w:val="single" w:sz="6" w:space="0" w:color="000000"/>
              <w:bottom w:val="nil" w:sz="6" w:space="0" w:color="auto"/>
              <w:right w:val="nil" w:sz="6" w:space="0" w:color="auto"/>
            </w:tcBorders>
          </w:tcPr>
          <w:p>
            <w:pPr>
              <w:pStyle w:val="TableParagraph"/>
              <w:spacing w:line="240" w:lineRule="auto" w:before="83"/>
              <w:ind w:left="2" w:right="0"/>
              <w:jc w:val="left"/>
              <w:rPr>
                <w:rFonts w:ascii="宋体" w:hAnsi="宋体" w:cs="宋体" w:eastAsia="宋体" w:hint="default"/>
                <w:sz w:val="18"/>
                <w:szCs w:val="18"/>
              </w:rPr>
            </w:pPr>
            <w:r>
              <w:rPr>
                <w:rFonts w:ascii="宋体"/>
                <w:sz w:val="18"/>
              </w:rPr>
              <w:t>4.</w:t>
            </w:r>
          </w:p>
        </w:tc>
        <w:tc>
          <w:tcPr>
            <w:tcW w:w="5120" w:type="dxa"/>
            <w:tcBorders>
              <w:top w:val="nil" w:sz="6" w:space="0" w:color="auto"/>
              <w:left w:val="nil" w:sz="6" w:space="0" w:color="auto"/>
              <w:bottom w:val="nil" w:sz="6" w:space="0" w:color="auto"/>
              <w:right w:val="single" w:sz="6" w:space="0" w:color="000000"/>
            </w:tcBorders>
          </w:tcPr>
          <w:p>
            <w:pPr>
              <w:pStyle w:val="TableParagraph"/>
              <w:spacing w:line="240" w:lineRule="auto" w:before="83"/>
              <w:ind w:left="89" w:right="0"/>
              <w:jc w:val="left"/>
              <w:rPr>
                <w:rFonts w:ascii="宋体" w:hAnsi="宋体" w:cs="宋体" w:eastAsia="宋体" w:hint="default"/>
                <w:sz w:val="18"/>
                <w:szCs w:val="18"/>
              </w:rPr>
            </w:pPr>
            <w:r>
              <w:rPr>
                <w:rFonts w:ascii="宋体" w:hAnsi="宋体" w:cs="宋体" w:eastAsia="宋体" w:hint="default"/>
                <w:sz w:val="18"/>
                <w:szCs w:val="18"/>
              </w:rPr>
              <w:t>个人画像、群组画像秒级返回。</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值，建立标准的用户画像数</w:t>
            </w:r>
          </w:p>
        </w:tc>
      </w:tr>
      <w:tr>
        <w:trPr>
          <w:trHeight w:val="275" w:hRule="exact"/>
        </w:trPr>
        <w:tc>
          <w:tcPr>
            <w:tcW w:w="2160" w:type="dxa"/>
            <w:vMerge/>
            <w:tcBorders>
              <w:left w:val="single" w:sz="6" w:space="0" w:color="000000"/>
              <w:right w:val="single" w:sz="6" w:space="0" w:color="000000"/>
            </w:tcBorders>
          </w:tcPr>
          <w:p>
            <w:pPr/>
          </w:p>
        </w:tc>
        <w:tc>
          <w:tcPr>
            <w:tcW w:w="280" w:type="dxa"/>
            <w:tcBorders>
              <w:top w:val="nil" w:sz="6" w:space="0" w:color="auto"/>
              <w:left w:val="single" w:sz="6" w:space="0" w:color="000000"/>
              <w:bottom w:val="nil" w:sz="6" w:space="0" w:color="auto"/>
              <w:right w:val="nil" w:sz="6" w:space="0" w:color="auto"/>
            </w:tcBorders>
          </w:tcPr>
          <w:p>
            <w:pPr/>
          </w:p>
        </w:tc>
        <w:tc>
          <w:tcPr>
            <w:tcW w:w="5120" w:type="dxa"/>
            <w:tcBorders>
              <w:top w:val="nil" w:sz="6" w:space="0" w:color="auto"/>
              <w:left w:val="nil" w:sz="6" w:space="0" w:color="auto"/>
              <w:bottom w:val="nil" w:sz="6" w:space="0" w:color="auto"/>
              <w:right w:val="single" w:sz="6" w:space="0" w:color="000000"/>
            </w:tcBorders>
          </w:tcPr>
          <w:p>
            <w:pP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2" w:right="0"/>
              <w:jc w:val="left"/>
              <w:rPr>
                <w:rFonts w:ascii="宋体" w:hAnsi="宋体" w:cs="宋体" w:eastAsia="宋体" w:hint="default"/>
                <w:sz w:val="18"/>
                <w:szCs w:val="18"/>
              </w:rPr>
            </w:pPr>
            <w:r>
              <w:rPr>
                <w:rFonts w:ascii="宋体" w:hAnsi="宋体" w:cs="宋体" w:eastAsia="宋体" w:hint="default"/>
                <w:spacing w:val="-2"/>
                <w:sz w:val="18"/>
                <w:szCs w:val="18"/>
              </w:rPr>
              <w:t>据体系，支撑企业快速对接</w:t>
            </w:r>
          </w:p>
        </w:tc>
      </w:tr>
      <w:tr>
        <w:trPr>
          <w:trHeight w:val="360" w:hRule="exact"/>
        </w:trPr>
        <w:tc>
          <w:tcPr>
            <w:tcW w:w="2160" w:type="dxa"/>
            <w:vMerge/>
            <w:tcBorders>
              <w:left w:val="single" w:sz="6" w:space="0" w:color="000000"/>
              <w:bottom w:val="single" w:sz="6" w:space="0" w:color="000000"/>
              <w:right w:val="single" w:sz="6" w:space="0" w:color="000000"/>
            </w:tcBorders>
          </w:tcPr>
          <w:p>
            <w:pPr/>
          </w:p>
        </w:tc>
        <w:tc>
          <w:tcPr>
            <w:tcW w:w="280" w:type="dxa"/>
            <w:tcBorders>
              <w:top w:val="nil" w:sz="6" w:space="0" w:color="auto"/>
              <w:left w:val="single" w:sz="6" w:space="0" w:color="000000"/>
              <w:bottom w:val="single" w:sz="6" w:space="0" w:color="000000"/>
              <w:right w:val="nil" w:sz="6" w:space="0" w:color="auto"/>
            </w:tcBorders>
          </w:tcPr>
          <w:p>
            <w:pPr/>
          </w:p>
        </w:tc>
        <w:tc>
          <w:tcPr>
            <w:tcW w:w="5120" w:type="dxa"/>
            <w:tcBorders>
              <w:top w:val="nil" w:sz="6" w:space="0" w:color="auto"/>
              <w:left w:val="nil" w:sz="6" w:space="0" w:color="auto"/>
              <w:bottom w:val="single" w:sz="6" w:space="0" w:color="000000"/>
              <w:right w:val="single" w:sz="6" w:space="0" w:color="000000"/>
            </w:tcBorders>
          </w:tcPr>
          <w:p>
            <w:pP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大数据应用及服务。</w:t>
            </w:r>
          </w:p>
        </w:tc>
      </w:tr>
      <w:tr>
        <w:trPr>
          <w:trHeight w:val="334" w:hRule="exact"/>
        </w:trPr>
        <w:tc>
          <w:tcPr>
            <w:tcW w:w="2160" w:type="dxa"/>
            <w:tcBorders>
              <w:top w:val="single" w:sz="6" w:space="0" w:color="000000"/>
              <w:left w:val="single" w:sz="6" w:space="0" w:color="000000"/>
              <w:bottom w:val="nil" w:sz="6" w:space="0" w:color="auto"/>
              <w:right w:val="single" w:sz="6" w:space="0" w:color="000000"/>
            </w:tcBorders>
          </w:tcPr>
          <w:p>
            <w:pPr/>
          </w:p>
        </w:tc>
        <w:tc>
          <w:tcPr>
            <w:tcW w:w="280" w:type="dxa"/>
            <w:tcBorders>
              <w:top w:val="single" w:sz="6" w:space="0" w:color="000000"/>
              <w:left w:val="single" w:sz="6" w:space="0" w:color="000000"/>
              <w:bottom w:val="nil" w:sz="6" w:space="0" w:color="auto"/>
              <w:right w:val="nil" w:sz="6" w:space="0" w:color="auto"/>
            </w:tcBorders>
          </w:tcPr>
          <w:p>
            <w:pPr/>
          </w:p>
        </w:tc>
        <w:tc>
          <w:tcPr>
            <w:tcW w:w="5120" w:type="dxa"/>
            <w:tcBorders>
              <w:top w:val="single" w:sz="6" w:space="0" w:color="000000"/>
              <w:left w:val="nil" w:sz="6" w:space="0" w:color="auto"/>
              <w:bottom w:val="nil" w:sz="6" w:space="0" w:color="auto"/>
              <w:right w:val="single" w:sz="6" w:space="0" w:color="000000"/>
            </w:tcBorders>
          </w:tcPr>
          <w:p>
            <w:pP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 w:right="-11"/>
              <w:jc w:val="left"/>
              <w:rPr>
                <w:rFonts w:ascii="宋体" w:hAnsi="宋体" w:cs="宋体" w:eastAsia="宋体" w:hint="default"/>
                <w:sz w:val="18"/>
                <w:szCs w:val="18"/>
              </w:rPr>
            </w:pPr>
            <w:r>
              <w:rPr>
                <w:rFonts w:ascii="宋体" w:hAnsi="宋体" w:cs="宋体" w:eastAsia="宋体" w:hint="default"/>
                <w:spacing w:val="15"/>
                <w:sz w:val="18"/>
                <w:szCs w:val="18"/>
              </w:rPr>
              <w:t>数据统一接口平台是一站</w:t>
            </w:r>
            <w:r>
              <w:rPr>
                <w:rFonts w:ascii="宋体" w:hAnsi="宋体" w:cs="宋体" w:eastAsia="宋体" w:hint="default"/>
                <w:sz w:val="18"/>
                <w:szCs w:val="18"/>
              </w:rPr>
            </w:r>
          </w:p>
        </w:tc>
      </w:tr>
      <w:tr>
        <w:trPr>
          <w:trHeight w:val="1355" w:hRule="exact"/>
        </w:trPr>
        <w:tc>
          <w:tcPr>
            <w:tcW w:w="21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 w:right="-33"/>
              <w:jc w:val="left"/>
              <w:rPr>
                <w:rFonts w:ascii="宋体" w:hAnsi="宋体" w:cs="宋体" w:eastAsia="宋体" w:hint="default"/>
                <w:sz w:val="18"/>
                <w:szCs w:val="18"/>
              </w:rPr>
            </w:pPr>
            <w:r>
              <w:rPr>
                <w:rFonts w:ascii="宋体" w:hAnsi="宋体" w:cs="宋体" w:eastAsia="宋体" w:hint="default"/>
                <w:spacing w:val="24"/>
                <w:sz w:val="18"/>
                <w:szCs w:val="18"/>
              </w:rPr>
              <w:t>亿美数</w:t>
            </w:r>
            <w:r>
              <w:rPr>
                <w:rFonts w:ascii="宋体" w:hAnsi="宋体" w:cs="宋体" w:eastAsia="宋体" w:hint="default"/>
                <w:spacing w:val="-51"/>
                <w:sz w:val="18"/>
                <w:szCs w:val="18"/>
              </w:rPr>
              <w:t> </w:t>
            </w:r>
            <w:r>
              <w:rPr>
                <w:rFonts w:ascii="宋体" w:hAnsi="宋体" w:cs="宋体" w:eastAsia="宋体" w:hint="default"/>
                <w:spacing w:val="18"/>
                <w:sz w:val="18"/>
                <w:szCs w:val="18"/>
              </w:rPr>
              <w:t>据开</w:t>
            </w:r>
            <w:r>
              <w:rPr>
                <w:rFonts w:ascii="宋体" w:hAnsi="宋体" w:cs="宋体" w:eastAsia="宋体" w:hint="default"/>
                <w:spacing w:val="-51"/>
                <w:sz w:val="18"/>
                <w:szCs w:val="18"/>
              </w:rPr>
              <w:t> </w:t>
            </w:r>
            <w:r>
              <w:rPr>
                <w:rFonts w:ascii="宋体" w:hAnsi="宋体" w:cs="宋体" w:eastAsia="宋体" w:hint="default"/>
                <w:spacing w:val="24"/>
                <w:sz w:val="18"/>
                <w:szCs w:val="18"/>
              </w:rPr>
              <w:t>放接口</w:t>
            </w:r>
            <w:r>
              <w:rPr>
                <w:rFonts w:ascii="宋体" w:hAnsi="宋体" w:cs="宋体" w:eastAsia="宋体" w:hint="default"/>
                <w:spacing w:val="-51"/>
                <w:sz w:val="18"/>
                <w:szCs w:val="18"/>
              </w:rPr>
              <w:t> </w:t>
            </w:r>
            <w:r>
              <w:rPr>
                <w:rFonts w:ascii="宋体" w:hAnsi="宋体" w:cs="宋体" w:eastAsia="宋体" w:hint="default"/>
                <w:spacing w:val="18"/>
                <w:sz w:val="18"/>
                <w:szCs w:val="18"/>
              </w:rPr>
              <w:t>平台</w:t>
            </w:r>
            <w:r>
              <w:rPr>
                <w:rFonts w:ascii="宋体" w:hAnsi="宋体" w:cs="宋体" w:eastAsia="宋体" w:hint="default"/>
                <w:spacing w:val="-53"/>
                <w:sz w:val="18"/>
                <w:szCs w:val="18"/>
              </w:rPr>
              <w:t> </w:t>
            </w:r>
            <w:r>
              <w:rPr>
                <w:rFonts w:ascii="宋体" w:hAnsi="宋体" w:cs="宋体" w:eastAsia="宋体" w:hint="default"/>
                <w:sz w:val="18"/>
                <w:szCs w:val="18"/>
              </w:rPr>
              <w:t>V1.0</w:t>
            </w:r>
          </w:p>
        </w:tc>
        <w:tc>
          <w:tcPr>
            <w:tcW w:w="280" w:type="dxa"/>
            <w:tcBorders>
              <w:top w:val="nil" w:sz="6" w:space="0" w:color="auto"/>
              <w:left w:val="single" w:sz="6" w:space="0" w:color="000000"/>
              <w:bottom w:val="single" w:sz="6" w:space="0" w:color="000000"/>
              <w:right w:val="nil" w:sz="6" w:space="0" w:color="auto"/>
            </w:tcBorders>
          </w:tcPr>
          <w:p>
            <w:pPr>
              <w:pStyle w:val="TableParagraph"/>
              <w:spacing w:line="218" w:lineRule="exact"/>
              <w:ind w:left="2" w:right="0"/>
              <w:jc w:val="left"/>
              <w:rPr>
                <w:rFonts w:ascii="宋体" w:hAnsi="宋体" w:cs="宋体" w:eastAsia="宋体" w:hint="default"/>
                <w:sz w:val="18"/>
                <w:szCs w:val="18"/>
              </w:rPr>
            </w:pPr>
            <w:r>
              <w:rPr>
                <w:rFonts w:ascii="宋体"/>
                <w:sz w:val="18"/>
              </w:rPr>
              <w:t>1.</w:t>
            </w:r>
          </w:p>
          <w:p>
            <w:pPr>
              <w:pStyle w:val="TableParagraph"/>
              <w:spacing w:line="240" w:lineRule="auto" w:before="147"/>
              <w:ind w:left="2" w:right="0"/>
              <w:jc w:val="left"/>
              <w:rPr>
                <w:rFonts w:ascii="宋体" w:hAnsi="宋体" w:cs="宋体" w:eastAsia="宋体" w:hint="default"/>
                <w:sz w:val="18"/>
                <w:szCs w:val="18"/>
              </w:rPr>
            </w:pPr>
            <w:r>
              <w:rPr>
                <w:rFonts w:ascii="宋体"/>
                <w:sz w:val="18"/>
              </w:rPr>
              <w:t>2.</w:t>
            </w:r>
          </w:p>
          <w:p>
            <w:pPr>
              <w:pStyle w:val="TableParagraph"/>
              <w:spacing w:line="240" w:lineRule="auto" w:before="148"/>
              <w:ind w:left="2" w:right="0"/>
              <w:jc w:val="left"/>
              <w:rPr>
                <w:rFonts w:ascii="宋体" w:hAnsi="宋体" w:cs="宋体" w:eastAsia="宋体" w:hint="default"/>
                <w:sz w:val="18"/>
                <w:szCs w:val="18"/>
              </w:rPr>
            </w:pPr>
            <w:r>
              <w:rPr>
                <w:rFonts w:ascii="宋体"/>
                <w:sz w:val="18"/>
              </w:rPr>
              <w:t>3.</w:t>
            </w:r>
          </w:p>
        </w:tc>
        <w:tc>
          <w:tcPr>
            <w:tcW w:w="5120" w:type="dxa"/>
            <w:tcBorders>
              <w:top w:val="nil" w:sz="6" w:space="0" w:color="auto"/>
              <w:left w:val="nil" w:sz="6" w:space="0" w:color="auto"/>
              <w:bottom w:val="single" w:sz="6" w:space="0" w:color="000000"/>
              <w:right w:val="single" w:sz="6" w:space="0" w:color="000000"/>
            </w:tcBorders>
          </w:tcPr>
          <w:p>
            <w:pPr>
              <w:pStyle w:val="TableParagraph"/>
              <w:spacing w:line="218" w:lineRule="exact"/>
              <w:ind w:left="89" w:right="0"/>
              <w:jc w:val="left"/>
              <w:rPr>
                <w:rFonts w:ascii="宋体" w:hAnsi="宋体" w:cs="宋体" w:eastAsia="宋体" w:hint="default"/>
                <w:sz w:val="18"/>
                <w:szCs w:val="18"/>
              </w:rPr>
            </w:pPr>
            <w:r>
              <w:rPr>
                <w:rFonts w:ascii="宋体" w:hAnsi="宋体" w:cs="宋体" w:eastAsia="宋体" w:hint="default"/>
                <w:sz w:val="18"/>
                <w:szCs w:val="18"/>
              </w:rPr>
              <w:t>基于SAAS架构的数据接口服务平台；</w:t>
            </w:r>
          </w:p>
          <w:p>
            <w:pPr>
              <w:pStyle w:val="TableParagraph"/>
              <w:spacing w:line="391" w:lineRule="auto" w:before="147"/>
              <w:ind w:left="89" w:right="2501"/>
              <w:jc w:val="left"/>
              <w:rPr>
                <w:rFonts w:ascii="宋体" w:hAnsi="宋体" w:cs="宋体" w:eastAsia="宋体" w:hint="default"/>
                <w:sz w:val="18"/>
                <w:szCs w:val="18"/>
              </w:rPr>
            </w:pPr>
            <w:r>
              <w:rPr>
                <w:rFonts w:ascii="宋体" w:hAnsi="宋体" w:cs="宋体" w:eastAsia="宋体" w:hint="default"/>
                <w:sz w:val="18"/>
                <w:szCs w:val="18"/>
              </w:rPr>
              <w:t>内置各种个性数据接口功能； 接口查询、调取数据秒级返回。</w:t>
            </w: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38"/>
              <w:ind w:left="2" w:right="-11"/>
              <w:jc w:val="both"/>
              <w:rPr>
                <w:rFonts w:ascii="宋体" w:hAnsi="宋体" w:cs="宋体" w:eastAsia="宋体" w:hint="default"/>
                <w:sz w:val="18"/>
                <w:szCs w:val="18"/>
              </w:rPr>
            </w:pPr>
            <w:r>
              <w:rPr>
                <w:rFonts w:ascii="宋体" w:hAnsi="宋体" w:cs="宋体" w:eastAsia="宋体" w:hint="default"/>
                <w:spacing w:val="-2"/>
                <w:sz w:val="18"/>
                <w:szCs w:val="18"/>
              </w:rPr>
              <w:t>式为企业提供在线充值、使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用的国内领先的数据服务</w:t>
            </w:r>
            <w:r>
              <w:rPr>
                <w:rFonts w:ascii="宋体" w:hAnsi="宋体" w:cs="宋体" w:eastAsia="宋体" w:hint="default"/>
                <w:spacing w:val="15"/>
                <w:sz w:val="18"/>
                <w:szCs w:val="18"/>
              </w:rPr>
              <w:t> </w:t>
            </w:r>
            <w:r>
              <w:rPr>
                <w:rFonts w:ascii="宋体" w:hAnsi="宋体" w:cs="宋体" w:eastAsia="宋体" w:hint="default"/>
                <w:sz w:val="18"/>
                <w:szCs w:val="18"/>
              </w:rPr>
              <w:t>平台。</w:t>
            </w:r>
          </w:p>
        </w:tc>
      </w:tr>
      <w:tr>
        <w:trPr>
          <w:trHeight w:val="455" w:hRule="exact"/>
        </w:trPr>
        <w:tc>
          <w:tcPr>
            <w:tcW w:w="2160" w:type="dxa"/>
            <w:tcBorders>
              <w:top w:val="single" w:sz="6" w:space="0" w:color="000000"/>
              <w:left w:val="single" w:sz="6" w:space="0" w:color="000000"/>
              <w:bottom w:val="nil" w:sz="6" w:space="0" w:color="auto"/>
              <w:right w:val="single" w:sz="6" w:space="0" w:color="000000"/>
            </w:tcBorders>
          </w:tcPr>
          <w:p>
            <w:pPr/>
          </w:p>
        </w:tc>
        <w:tc>
          <w:tcPr>
            <w:tcW w:w="5400"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56"/>
                <w:sz w:val="18"/>
                <w:szCs w:val="18"/>
              </w:rPr>
              <w:t> </w:t>
            </w:r>
            <w:r>
              <w:rPr>
                <w:rFonts w:ascii="宋体" w:hAnsi="宋体" w:cs="宋体" w:eastAsia="宋体" w:hint="default"/>
                <w:sz w:val="18"/>
                <w:szCs w:val="18"/>
              </w:rPr>
              <w:t>由管理后台、WEB服务、微信通讯服务三部分组成、具备成熟稳</w:t>
            </w: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 w:right="-11"/>
              <w:jc w:val="left"/>
              <w:rPr>
                <w:rFonts w:ascii="宋体" w:hAnsi="宋体" w:cs="宋体" w:eastAsia="宋体" w:hint="default"/>
                <w:sz w:val="18"/>
                <w:szCs w:val="18"/>
              </w:rPr>
            </w:pPr>
            <w:r>
              <w:rPr>
                <w:rFonts w:ascii="宋体" w:hAnsi="宋体" w:cs="宋体" w:eastAsia="宋体" w:hint="default"/>
                <w:spacing w:val="15"/>
                <w:sz w:val="18"/>
                <w:szCs w:val="18"/>
              </w:rPr>
              <w:t>为企业客户新增加的一种</w:t>
            </w:r>
            <w:r>
              <w:rPr>
                <w:rFonts w:ascii="宋体" w:hAnsi="宋体" w:cs="宋体" w:eastAsia="宋体" w:hint="default"/>
                <w:sz w:val="18"/>
                <w:szCs w:val="18"/>
              </w:rPr>
            </w:r>
          </w:p>
        </w:tc>
      </w:tr>
      <w:tr>
        <w:trPr>
          <w:trHeight w:val="347"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gridSpan w:val="2"/>
            <w:tcBorders>
              <w:top w:val="nil" w:sz="6" w:space="0" w:color="auto"/>
              <w:left w:val="single" w:sz="6" w:space="0" w:color="000000"/>
              <w:bottom w:val="nil" w:sz="6" w:space="0" w:color="auto"/>
              <w:right w:val="single" w:sz="6" w:space="0" w:color="000000"/>
            </w:tcBorders>
          </w:tcPr>
          <w:p>
            <w:pPr>
              <w:pStyle w:val="TableParagraph"/>
              <w:spacing w:line="191" w:lineRule="exact"/>
              <w:ind w:left="362" w:right="0"/>
              <w:jc w:val="left"/>
              <w:rPr>
                <w:rFonts w:ascii="宋体" w:hAnsi="宋体" w:cs="宋体" w:eastAsia="宋体" w:hint="default"/>
                <w:sz w:val="18"/>
                <w:szCs w:val="18"/>
              </w:rPr>
            </w:pPr>
            <w:r>
              <w:rPr>
                <w:rFonts w:ascii="宋体" w:hAnsi="宋体" w:cs="宋体" w:eastAsia="宋体" w:hint="default"/>
                <w:sz w:val="18"/>
                <w:szCs w:val="18"/>
              </w:rPr>
              <w:t>定的技术架构；</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pacing w:val="-2"/>
                <w:sz w:val="18"/>
                <w:szCs w:val="18"/>
              </w:rPr>
              <w:t>移动互联网营销形式。以微</w:t>
            </w:r>
          </w:p>
        </w:tc>
      </w:tr>
      <w:tr>
        <w:trPr>
          <w:trHeight w:val="331"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11"/>
              <w:jc w:val="left"/>
              <w:rPr>
                <w:rFonts w:ascii="宋体" w:hAnsi="宋体" w:cs="宋体" w:eastAsia="宋体" w:hint="default"/>
                <w:sz w:val="18"/>
                <w:szCs w:val="18"/>
              </w:rPr>
            </w:pPr>
            <w:r>
              <w:rPr>
                <w:rFonts w:ascii="宋体" w:hAnsi="宋体" w:cs="宋体" w:eastAsia="宋体" w:hint="default"/>
                <w:spacing w:val="15"/>
                <w:sz w:val="18"/>
                <w:szCs w:val="18"/>
              </w:rPr>
              <w:t>亿美来抢流量优惠分享平</w:t>
            </w:r>
            <w:r>
              <w:rPr>
                <w:rFonts w:ascii="宋体" w:hAnsi="宋体" w:cs="宋体" w:eastAsia="宋体" w:hint="default"/>
                <w:sz w:val="18"/>
                <w:szCs w:val="18"/>
              </w:rPr>
            </w:r>
          </w:p>
        </w:tc>
        <w:tc>
          <w:tcPr>
            <w:tcW w:w="5400" w:type="dxa"/>
            <w:gridSpan w:val="2"/>
            <w:tcBorders>
              <w:top w:val="nil" w:sz="6" w:space="0" w:color="auto"/>
              <w:left w:val="single" w:sz="6" w:space="0" w:color="000000"/>
              <w:bottom w:val="nil" w:sz="6" w:space="0" w:color="auto"/>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2.  能支持Mysql数据库上运行；</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left="2" w:right="-11"/>
              <w:jc w:val="left"/>
              <w:rPr>
                <w:rFonts w:ascii="宋体" w:hAnsi="宋体" w:cs="宋体" w:eastAsia="宋体" w:hint="default"/>
                <w:sz w:val="18"/>
                <w:szCs w:val="18"/>
              </w:rPr>
            </w:pPr>
            <w:r>
              <w:rPr>
                <w:rFonts w:ascii="宋体" w:hAnsi="宋体" w:cs="宋体" w:eastAsia="宋体" w:hint="default"/>
                <w:spacing w:val="15"/>
                <w:sz w:val="18"/>
                <w:szCs w:val="18"/>
              </w:rPr>
              <w:t>信公众号为载体的流量红</w:t>
            </w:r>
            <w:r>
              <w:rPr>
                <w:rFonts w:ascii="宋体" w:hAnsi="宋体" w:cs="宋体" w:eastAsia="宋体" w:hint="default"/>
                <w:sz w:val="18"/>
                <w:szCs w:val="18"/>
              </w:rPr>
            </w:r>
          </w:p>
        </w:tc>
      </w:tr>
      <w:tr>
        <w:trPr>
          <w:trHeight w:val="329"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5400"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3.  保证能客户端在Android、iOS、Windows Phone和BlackBerry</w:t>
            </w:r>
            <w:r>
              <w:rPr>
                <w:rFonts w:ascii="宋体" w:hAnsi="宋体" w:cs="宋体" w:eastAsia="宋体" w:hint="default"/>
                <w:spacing w:val="-20"/>
                <w:sz w:val="18"/>
                <w:szCs w:val="18"/>
              </w:rPr>
              <w:t> </w:t>
            </w:r>
            <w:r>
              <w:rPr>
                <w:rFonts w:ascii="宋体" w:hAnsi="宋体" w:cs="宋体" w:eastAsia="宋体" w:hint="default"/>
                <w:sz w:val="18"/>
                <w:szCs w:val="18"/>
              </w:rPr>
              <w:t>OS</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包游戏、优惠卡券发布、分</w:t>
            </w:r>
          </w:p>
        </w:tc>
      </w:tr>
      <w:tr>
        <w:trPr>
          <w:trHeight w:val="312" w:hRule="exact"/>
        </w:trPr>
        <w:tc>
          <w:tcPr>
            <w:tcW w:w="2160" w:type="dxa"/>
            <w:tcBorders>
              <w:top w:val="nil" w:sz="6" w:space="0" w:color="auto"/>
              <w:left w:val="single" w:sz="6" w:space="0" w:color="000000"/>
              <w:bottom w:val="nil" w:sz="6" w:space="0" w:color="auto"/>
              <w:right w:val="single" w:sz="6" w:space="0" w:color="000000"/>
            </w:tcBorders>
          </w:tcPr>
          <w:p>
            <w:pPr/>
          </w:p>
        </w:tc>
        <w:tc>
          <w:tcPr>
            <w:tcW w:w="5400"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28"/>
              <w:ind w:left="362" w:right="0"/>
              <w:jc w:val="left"/>
              <w:rPr>
                <w:rFonts w:ascii="宋体" w:hAnsi="宋体" w:cs="宋体" w:eastAsia="宋体" w:hint="default"/>
                <w:sz w:val="18"/>
                <w:szCs w:val="18"/>
              </w:rPr>
            </w:pPr>
            <w:r>
              <w:rPr>
                <w:rFonts w:ascii="宋体" w:hAnsi="宋体" w:cs="宋体" w:eastAsia="宋体" w:hint="default"/>
                <w:sz w:val="18"/>
                <w:szCs w:val="18"/>
              </w:rPr>
              <w:t>等手机系统上可以稳定的运行；</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 w:right="-11"/>
              <w:jc w:val="left"/>
              <w:rPr>
                <w:rFonts w:ascii="宋体" w:hAnsi="宋体" w:cs="宋体" w:eastAsia="宋体" w:hint="default"/>
                <w:sz w:val="18"/>
                <w:szCs w:val="18"/>
              </w:rPr>
            </w:pPr>
            <w:r>
              <w:rPr>
                <w:rFonts w:ascii="宋体" w:hAnsi="宋体" w:cs="宋体" w:eastAsia="宋体" w:hint="default"/>
                <w:spacing w:val="11"/>
                <w:sz w:val="18"/>
                <w:szCs w:val="18"/>
              </w:rPr>
              <w:t>享平台；</w:t>
            </w:r>
            <w:r>
              <w:rPr>
                <w:rFonts w:ascii="宋体" w:hAnsi="宋体" w:cs="宋体" w:eastAsia="宋体" w:hint="default"/>
                <w:spacing w:val="-72"/>
                <w:sz w:val="18"/>
                <w:szCs w:val="18"/>
              </w:rPr>
              <w:t> </w:t>
            </w:r>
            <w:r>
              <w:rPr>
                <w:rFonts w:ascii="宋体" w:hAnsi="宋体" w:cs="宋体" w:eastAsia="宋体" w:hint="default"/>
                <w:spacing w:val="15"/>
                <w:sz w:val="18"/>
                <w:szCs w:val="18"/>
              </w:rPr>
              <w:t>个人用户流量分</w:t>
            </w:r>
            <w:r>
              <w:rPr>
                <w:rFonts w:ascii="宋体" w:hAnsi="宋体" w:cs="宋体" w:eastAsia="宋体" w:hint="default"/>
                <w:sz w:val="18"/>
                <w:szCs w:val="18"/>
              </w:rPr>
            </w:r>
          </w:p>
        </w:tc>
      </w:tr>
      <w:tr>
        <w:trPr>
          <w:trHeight w:val="492" w:hRule="exact"/>
        </w:trPr>
        <w:tc>
          <w:tcPr>
            <w:tcW w:w="2160" w:type="dxa"/>
            <w:tcBorders>
              <w:top w:val="nil" w:sz="6" w:space="0" w:color="auto"/>
              <w:left w:val="single" w:sz="6" w:space="0" w:color="000000"/>
              <w:bottom w:val="single" w:sz="6" w:space="0" w:color="000000"/>
              <w:right w:val="single" w:sz="6" w:space="0" w:color="000000"/>
            </w:tcBorders>
          </w:tcPr>
          <w:p>
            <w:pPr/>
          </w:p>
        </w:tc>
        <w:tc>
          <w:tcPr>
            <w:tcW w:w="5400"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宋体" w:hAnsi="宋体" w:cs="宋体" w:eastAsia="宋体" w:hint="default"/>
                <w:sz w:val="18"/>
                <w:szCs w:val="18"/>
              </w:rPr>
            </w:pPr>
            <w:r>
              <w:rPr>
                <w:rFonts w:ascii="宋体" w:hAnsi="宋体" w:cs="宋体" w:eastAsia="宋体" w:hint="default"/>
                <w:sz w:val="18"/>
                <w:szCs w:val="18"/>
              </w:rPr>
              <w:t>4.  提供友好且简单易用的服务器端管理界面。</w:t>
            </w: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享。</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right="0"/>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53,605,516.09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42,050,674.76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36,360,379.43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11,894,535.20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19,455,693.81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15,824,777.48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43.52%</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109.54%</w:t>
            </w:r>
          </w:p>
        </w:tc>
      </w:tr>
    </w:tbl>
    <w:p>
      <w:pPr>
        <w:pStyle w:val="BodyText"/>
        <w:spacing w:line="240" w:lineRule="auto" w:before="51"/>
        <w:ind w:right="0"/>
        <w:jc w:val="left"/>
      </w:pPr>
      <w:r>
        <w:rPr/>
        <w:t>研发投入总额占营业收入的比重较上年发生显著变化的原因</w:t>
      </w:r>
    </w:p>
    <w:p>
      <w:pPr>
        <w:pStyle w:val="BodyText"/>
        <w:spacing w:line="412" w:lineRule="auto" w:before="116"/>
        <w:ind w:left="514" w:right="0" w:hanging="36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 </w:t>
      </w:r>
      <w:r>
        <w:rPr>
          <w:spacing w:val="-2"/>
        </w:rPr>
        <w:t>主要原因系公司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月完成并购亿美软通与科安数字两家公司，与本报告期相比，收入规模大幅提高，所以研发投</w:t>
      </w:r>
    </w:p>
    <w:p>
      <w:pPr>
        <w:pStyle w:val="BodyText"/>
        <w:spacing w:line="240" w:lineRule="auto" w:before="75"/>
        <w:ind w:right="0"/>
        <w:jc w:val="left"/>
      </w:pPr>
      <w:r>
        <w:rPr/>
        <w:t>入总额占营业收入的比重有所下降。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研发投入资本化率大幅变动的原因及其合理性说明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0" w:firstLine="450"/>
        <w:jc w:val="left"/>
      </w:pPr>
      <w:r>
        <w:rPr>
          <w:rFonts w:ascii="Times New Roman" w:hAnsi="Times New Roman" w:cs="Times New Roman" w:eastAsia="Times New Roman" w:hint="default"/>
          <w:spacing w:val="-1"/>
        </w:rPr>
        <w:t>2015</w:t>
      </w:r>
      <w:r>
        <w:rPr>
          <w:spacing w:val="-1"/>
        </w:rPr>
        <w:t>年，研发支出资本化金额为</w:t>
      </w:r>
      <w:r>
        <w:rPr>
          <w:rFonts w:ascii="Times New Roman" w:hAnsi="Times New Roman" w:cs="Times New Roman" w:eastAsia="Times New Roman" w:hint="default"/>
          <w:spacing w:val="-1"/>
        </w:rPr>
        <w:t>11,894,535.20</w:t>
      </w:r>
      <w:r>
        <w:rPr>
          <w:spacing w:val="-1"/>
        </w:rPr>
        <w:t>元，较上年同期减少</w:t>
      </w:r>
      <w:r>
        <w:rPr>
          <w:rFonts w:ascii="Times New Roman" w:hAnsi="Times New Roman" w:cs="Times New Roman" w:eastAsia="Times New Roman" w:hint="default"/>
          <w:spacing w:val="-1"/>
        </w:rPr>
        <w:t>7,561,158.61</w:t>
      </w:r>
      <w:r>
        <w:rPr>
          <w:spacing w:val="-1"/>
        </w:rPr>
        <w:t>元，同比减少</w:t>
      </w:r>
      <w:r>
        <w:rPr>
          <w:rFonts w:ascii="Times New Roman" w:hAnsi="Times New Roman" w:cs="Times New Roman" w:eastAsia="Times New Roman" w:hint="default"/>
          <w:spacing w:val="-1"/>
        </w:rPr>
        <w:t>38.86%</w:t>
      </w:r>
      <w:r>
        <w:rPr>
          <w:spacing w:val="-1"/>
        </w:rPr>
        <w:t>。研发支出金额减</w:t>
      </w:r>
      <w:r>
        <w:rPr/>
        <w:t> </w:t>
      </w:r>
      <w:r>
        <w:rPr>
          <w:spacing w:val="-2"/>
        </w:rPr>
        <w:t>少主要是公司印章控制机等新产品已经陆续进入产品销售阶段，故开发性支出有所减少。同时，研发投入资本化占当期净利</w:t>
      </w:r>
    </w:p>
    <w:p>
      <w:pPr>
        <w:spacing w:after="0" w:line="451" w:lineRule="auto"/>
        <w:jc w:val="left"/>
        <w:sectPr>
          <w:pgSz w:w="11910" w:h="16840"/>
          <w:pgMar w:header="877" w:footer="982" w:top="1100" w:bottom="1180" w:left="980" w:right="920"/>
        </w:sectPr>
      </w:pPr>
    </w:p>
    <w:p>
      <w:pPr>
        <w:spacing w:line="240" w:lineRule="auto" w:before="11"/>
        <w:rPr>
          <w:rFonts w:ascii="宋体" w:hAnsi="宋体" w:cs="宋体" w:eastAsia="宋体" w:hint="default"/>
          <w:sz w:val="27"/>
          <w:szCs w:val="27"/>
        </w:rPr>
      </w:pPr>
    </w:p>
    <w:p>
      <w:pPr>
        <w:pStyle w:val="BodyText"/>
        <w:spacing w:line="451" w:lineRule="auto" w:before="44"/>
        <w:ind w:left="153" w:right="0"/>
        <w:jc w:val="left"/>
      </w:pPr>
      <w:r>
        <w:rPr>
          <w:spacing w:val="-1"/>
        </w:rPr>
        <w:t>润的比率为</w:t>
      </w:r>
      <w:r>
        <w:rPr>
          <w:rFonts w:ascii="Times New Roman" w:hAnsi="Times New Roman" w:cs="Times New Roman" w:eastAsia="Times New Roman" w:hint="default"/>
          <w:spacing w:val="-1"/>
        </w:rPr>
        <w:t>16.30%</w:t>
      </w:r>
      <w:r>
        <w:rPr>
          <w:spacing w:val="-1"/>
        </w:rPr>
        <w:t>，较上年同期下降</w:t>
      </w:r>
      <w:r>
        <w:rPr>
          <w:rFonts w:ascii="Times New Roman" w:hAnsi="Times New Roman" w:cs="Times New Roman" w:eastAsia="Times New Roman" w:hint="default"/>
          <w:spacing w:val="-1"/>
        </w:rPr>
        <w:t>53.97</w:t>
      </w:r>
      <w:r>
        <w:rPr>
          <w:spacing w:val="-1"/>
        </w:rPr>
        <w:t>个百分点，主要是因为报告期内公司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月纳入合并范围的亿美软通和科安</w:t>
      </w:r>
      <w:r>
        <w:rPr>
          <w:spacing w:val="-40"/>
        </w:rPr>
        <w:t> </w:t>
      </w:r>
      <w:r>
        <w:rPr/>
        <w:t>数字在</w:t>
      </w:r>
      <w:r>
        <w:rPr>
          <w:rFonts w:ascii="Times New Roman" w:hAnsi="Times New Roman" w:cs="Times New Roman" w:eastAsia="Times New Roman" w:hint="default"/>
        </w:rPr>
        <w:t>2015</w:t>
      </w:r>
      <w:r>
        <w:rPr/>
        <w:t>年完整年度合并报表，报告期内并入的净利润大幅增加所致。</w:t>
      </w:r>
    </w:p>
    <w:p>
      <w:pPr>
        <w:spacing w:line="240" w:lineRule="auto" w:before="6"/>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614,960,779.19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200,219,824.03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581,717,560.09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168,350,280.65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245.54%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33,243,219.10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31,869,543.38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95,130,065.98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88,955,531.87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364,057,941.97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30,651,905.12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1087.72%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-268,927,875.99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58,303,626.75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-561.25%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40,015,200.00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400,052.00%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23,804,556.12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8,850,725.92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168.96%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16,210,643.88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-8,840,725.92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283.36%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-219,391,823.44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81,312,044.81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-369.81%</w:t>
            </w:r>
          </w:p>
        </w:tc>
      </w:tr>
    </w:tbl>
    <w:p>
      <w:pPr>
        <w:pStyle w:val="BodyText"/>
        <w:spacing w:line="240" w:lineRule="auto" w:before="51"/>
        <w:ind w:right="0"/>
        <w:jc w:val="both"/>
      </w:pPr>
      <w:r>
        <w:rPr/>
        <w:t>相关数据同比发生重大变动的主要影响因素说明</w:t>
      </w:r>
    </w:p>
    <w:p>
      <w:pPr>
        <w:pStyle w:val="BodyText"/>
        <w:spacing w:line="412" w:lineRule="auto" w:before="116"/>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报告期内，经营活动现金流入增加</w:t>
      </w:r>
      <w:r>
        <w:rPr>
          <w:rFonts w:ascii="Times New Roman" w:hAnsi="Times New Roman" w:cs="Times New Roman" w:eastAsia="Times New Roman" w:hint="default"/>
          <w:spacing w:val="-1"/>
        </w:rPr>
        <w:t>41,474.10</w:t>
      </w:r>
      <w:r>
        <w:rPr>
          <w:spacing w:val="-1"/>
        </w:rPr>
        <w:t>万元，升幅为</w:t>
      </w:r>
      <w:r>
        <w:rPr>
          <w:rFonts w:ascii="Times New Roman" w:hAnsi="Times New Roman" w:cs="Times New Roman" w:eastAsia="Times New Roman" w:hint="default"/>
          <w:spacing w:val="-1"/>
        </w:rPr>
        <w:t>207.14%</w:t>
      </w:r>
      <w:r>
        <w:rPr>
          <w:spacing w:val="-1"/>
        </w:rPr>
        <w:t>，主要是公司报告期内完整年度合并亿美软通、科安</w:t>
      </w:r>
    </w:p>
    <w:p>
      <w:pPr>
        <w:pStyle w:val="BodyText"/>
        <w:spacing w:line="451" w:lineRule="auto" w:before="75"/>
        <w:ind w:right="151"/>
        <w:jc w:val="both"/>
      </w:pPr>
      <w:r>
        <w:rPr/>
        <w:t>数字两家子公司所带来的收取销售款项的增加，其中亿美软通增加</w:t>
      </w:r>
      <w:r>
        <w:rPr>
          <w:rFonts w:ascii="Times New Roman" w:hAnsi="Times New Roman" w:cs="Times New Roman" w:eastAsia="Times New Roman" w:hint="default"/>
        </w:rPr>
        <w:t>33,230.86</w:t>
      </w:r>
      <w:r>
        <w:rPr/>
        <w:t>万元，科安数字增加</w:t>
      </w:r>
      <w:r>
        <w:rPr>
          <w:rFonts w:ascii="Times New Roman" w:hAnsi="Times New Roman" w:cs="Times New Roman" w:eastAsia="Times New Roman" w:hint="default"/>
        </w:rPr>
        <w:t>9,434.11</w:t>
      </w:r>
      <w:r>
        <w:rPr/>
        <w:t>万元；经营活动现 </w:t>
      </w:r>
      <w:r>
        <w:rPr>
          <w:spacing w:val="-1"/>
        </w:rPr>
        <w:t>金流出增加</w:t>
      </w:r>
      <w:r>
        <w:rPr>
          <w:rFonts w:ascii="Times New Roman" w:hAnsi="Times New Roman" w:cs="Times New Roman" w:eastAsia="Times New Roman" w:hint="default"/>
          <w:spacing w:val="-1"/>
        </w:rPr>
        <w:t>41,336.73</w:t>
      </w:r>
      <w:r>
        <w:rPr>
          <w:spacing w:val="-1"/>
        </w:rPr>
        <w:t>万元，升幅为</w:t>
      </w:r>
      <w:r>
        <w:rPr>
          <w:rFonts w:ascii="Times New Roman" w:hAnsi="Times New Roman" w:cs="Times New Roman" w:eastAsia="Times New Roman" w:hint="default"/>
          <w:spacing w:val="-1"/>
        </w:rPr>
        <w:t>245.54%</w:t>
      </w:r>
      <w:r>
        <w:rPr>
          <w:spacing w:val="-1"/>
        </w:rPr>
        <w:t>，主要是由于报告期内完整年度合并亿美软通、科安数字所带来的支付运营商成</w:t>
      </w:r>
      <w:r>
        <w:rPr>
          <w:spacing w:val="-40"/>
        </w:rPr>
        <w:t> </w:t>
      </w:r>
      <w:r>
        <w:rPr>
          <w:spacing w:val="-40"/>
        </w:rPr>
      </w:r>
      <w:r>
        <w:rPr>
          <w:spacing w:val="-2"/>
        </w:rPr>
        <w:t>本、电子商务商品成本及公司运营费用支出，其中亿美软通支付运营商成本</w:t>
      </w:r>
      <w:r>
        <w:rPr>
          <w:rFonts w:ascii="Times New Roman" w:hAnsi="Times New Roman" w:cs="Times New Roman" w:eastAsia="Times New Roman" w:hint="default"/>
          <w:spacing w:val="-2"/>
        </w:rPr>
        <w:t>23,475.02</w:t>
      </w:r>
      <w:r>
        <w:rPr>
          <w:spacing w:val="-2"/>
        </w:rPr>
        <w:t>万元，科安数字支付电子商务商品成本</w:t>
      </w:r>
      <w:r>
        <w:rPr>
          <w:spacing w:val="-58"/>
        </w:rPr>
        <w:t> </w:t>
      </w:r>
      <w:r>
        <w:rPr>
          <w:spacing w:val="-58"/>
        </w:rPr>
      </w:r>
      <w:r>
        <w:rPr>
          <w:rFonts w:ascii="Times New Roman" w:hAnsi="Times New Roman" w:cs="Times New Roman" w:eastAsia="Times New Roman" w:hint="default"/>
        </w:rPr>
        <w:t>7,022.83</w:t>
      </w:r>
      <w:r>
        <w:rPr/>
        <w:t>万元。</w:t>
      </w:r>
    </w:p>
    <w:p>
      <w:pPr>
        <w:pStyle w:val="BodyText"/>
        <w:spacing w:line="451" w:lineRule="auto" w:before="43"/>
        <w:ind w:right="170" w:firstLine="360"/>
        <w:jc w:val="left"/>
      </w:pPr>
      <w:r>
        <w:rPr/>
        <w:t>报告期内，投资活动现金流出增加</w:t>
      </w:r>
      <w:r>
        <w:rPr>
          <w:rFonts w:ascii="Times New Roman" w:hAnsi="Times New Roman" w:cs="Times New Roman" w:eastAsia="Times New Roman" w:hint="default"/>
        </w:rPr>
        <w:t>33,340.60</w:t>
      </w:r>
      <w:r>
        <w:rPr/>
        <w:t>万元，升幅为</w:t>
      </w:r>
      <w:r>
        <w:rPr>
          <w:rFonts w:ascii="Times New Roman" w:hAnsi="Times New Roman" w:cs="Times New Roman" w:eastAsia="Times New Roman" w:hint="default"/>
        </w:rPr>
        <w:t>1,087.72%</w:t>
      </w:r>
      <w:r>
        <w:rPr/>
        <w:t>，主要是报告期内母公司投资易安保险、亿美软通 对外投资福建片仔癀银之杰健康管理有限公司合计支付</w:t>
      </w:r>
      <w:r>
        <w:rPr>
          <w:rFonts w:ascii="Times New Roman" w:hAnsi="Times New Roman" w:cs="Times New Roman" w:eastAsia="Times New Roman" w:hint="default"/>
        </w:rPr>
        <w:t>15,860.00</w:t>
      </w:r>
      <w:r>
        <w:rPr/>
        <w:t>万元投资款和亿美软通购置现金管理方面的理财产品 </w:t>
      </w:r>
      <w:r>
        <w:rPr>
          <w:rFonts w:ascii="Times New Roman" w:hAnsi="Times New Roman" w:cs="Times New Roman" w:eastAsia="Times New Roman" w:hint="default"/>
        </w:rPr>
        <w:t>11,400.00</w:t>
      </w:r>
      <w:r>
        <w:rPr/>
        <w:t>万元的原因。</w:t>
      </w:r>
    </w:p>
    <w:p>
      <w:pPr>
        <w:pStyle w:val="BodyText"/>
        <w:spacing w:line="432" w:lineRule="auto" w:before="43"/>
        <w:ind w:right="142" w:firstLine="360"/>
        <w:jc w:val="left"/>
      </w:pPr>
      <w:r>
        <w:rPr>
          <w:spacing w:val="-1"/>
        </w:rPr>
        <w:t>报告期内，筹资活动现金流入增加</w:t>
      </w:r>
      <w:r>
        <w:rPr>
          <w:rFonts w:ascii="Times New Roman" w:hAnsi="Times New Roman" w:cs="Times New Roman" w:eastAsia="Times New Roman" w:hint="default"/>
          <w:spacing w:val="-1"/>
        </w:rPr>
        <w:t>4,000.52</w:t>
      </w:r>
      <w:r>
        <w:rPr>
          <w:spacing w:val="-1"/>
        </w:rPr>
        <w:t>万元，升幅</w:t>
      </w:r>
      <w:r>
        <w:rPr>
          <w:rFonts w:ascii="Times New Roman" w:hAnsi="Times New Roman" w:cs="Times New Roman" w:eastAsia="Times New Roman" w:hint="default"/>
          <w:spacing w:val="-1"/>
        </w:rPr>
        <w:t>400,052.00%</w:t>
      </w:r>
      <w:r>
        <w:rPr>
          <w:spacing w:val="-1"/>
        </w:rPr>
        <w:t>，主要是公司报告期内发生银行借款所致；筹资活动</w:t>
      </w:r>
      <w:r>
        <w:rPr/>
        <w:t> 现金流出增加</w:t>
      </w:r>
      <w:r>
        <w:rPr>
          <w:rFonts w:ascii="Times New Roman" w:hAnsi="Times New Roman" w:cs="Times New Roman" w:eastAsia="Times New Roman" w:hint="default"/>
        </w:rPr>
        <w:t>1,495.38</w:t>
      </w:r>
      <w:r>
        <w:rPr/>
        <w:t>万元，升幅</w:t>
      </w:r>
      <w:r>
        <w:rPr>
          <w:rFonts w:ascii="Times New Roman" w:hAnsi="Times New Roman" w:cs="Times New Roman" w:eastAsia="Times New Roman" w:hint="default"/>
        </w:rPr>
        <w:t>168.96%</w:t>
      </w:r>
      <w:r>
        <w:rPr/>
        <w:t>，主要由于公司在报告期内归还部分银行借款。 报告期内公司经营活动产生的现金净流量与本年度净利润存在重大差异的原因说明</w:t>
      </w:r>
    </w:p>
    <w:p>
      <w:pPr>
        <w:pStyle w:val="BodyText"/>
        <w:spacing w:line="221" w:lineRule="exact"/>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21" w:lineRule="exact"/>
        <w:jc w:val="both"/>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240" w:lineRule="auto" w:before="44"/>
        <w:ind w:left="514" w:right="0"/>
        <w:jc w:val="left"/>
      </w:pPr>
      <w:r>
        <w:rPr/>
        <w:t>报告期内，公司经营活动的现金流量较本年度净利润减少</w:t>
      </w:r>
      <w:r>
        <w:rPr>
          <w:rFonts w:ascii="Times New Roman" w:hAnsi="Times New Roman" w:cs="Times New Roman" w:eastAsia="Times New Roman" w:hint="default"/>
        </w:rPr>
        <w:t>4,499.16</w:t>
      </w:r>
      <w:r>
        <w:rPr/>
        <w:t>万元，主要原因是：</w:t>
      </w:r>
    </w:p>
    <w:p>
      <w:pPr>
        <w:spacing w:line="240" w:lineRule="auto" w:before="9"/>
        <w:rPr>
          <w:rFonts w:ascii="宋体" w:hAnsi="宋体" w:cs="宋体" w:eastAsia="宋体" w:hint="default"/>
          <w:sz w:val="16"/>
          <w:szCs w:val="16"/>
        </w:rPr>
      </w:pPr>
    </w:p>
    <w:p>
      <w:pPr>
        <w:pStyle w:val="BodyText"/>
        <w:spacing w:line="451" w:lineRule="auto"/>
        <w:ind w:right="140" w:firstLine="360"/>
        <w:jc w:val="left"/>
      </w:pPr>
      <w:r>
        <w:rPr>
          <w:rFonts w:ascii="Times New Roman" w:hAnsi="Times New Roman" w:cs="Times New Roman" w:eastAsia="Times New Roman" w:hint="default"/>
        </w:rPr>
        <w:t>1</w:t>
      </w:r>
      <w:r>
        <w:rPr/>
        <w:t>、报告期内本公司销售产品或提供服务形成的应收账款的增加大于金融设备类产品和服务运营商购置的预付、采购成 本，减少了公司经营活动的现金流入；</w:t>
      </w:r>
    </w:p>
    <w:p>
      <w:pPr>
        <w:pStyle w:val="BodyText"/>
        <w:spacing w:line="451" w:lineRule="auto" w:before="74"/>
        <w:ind w:right="140" w:firstLine="360"/>
        <w:jc w:val="left"/>
      </w:pPr>
      <w:r>
        <w:rPr>
          <w:rFonts w:ascii="Times New Roman" w:hAnsi="Times New Roman" w:cs="Times New Roman" w:eastAsia="Times New Roman" w:hint="default"/>
        </w:rPr>
        <w:t>2</w:t>
      </w:r>
      <w:r>
        <w:rPr/>
        <w:t>、报告期内本公司股权激励计划因</w:t>
      </w:r>
      <w:r>
        <w:rPr>
          <w:rFonts w:ascii="Times New Roman" w:hAnsi="Times New Roman" w:cs="Times New Roman" w:eastAsia="Times New Roman" w:hint="default"/>
        </w:rPr>
        <w:t>2014</w:t>
      </w:r>
      <w:r>
        <w:rPr/>
        <w:t>年度业绩达标而实施行权，公司依照税法规定进行税前扣除产生的可弥补亏损 的增加，冲抵了所得税费用支出，增加了本年度净利润的数额。</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-6,210,141.22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联营企业各年度实现利润所 占的投资比例数额。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2,786,521.13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主要是软件产品销售产生的 增值税即征即退的数额。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901"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125,652,743.14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345,044,566.58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11"/>
                <w:sz w:val="18"/>
                <w:szCs w:val="18"/>
              </w:rPr>
              <w:t>主要原因是报告期内与上年同期相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比，公司对外投资、派发现金股利、</w:t>
            </w:r>
            <w:r>
              <w:rPr>
                <w:rFonts w:ascii="宋体" w:hAnsi="宋体" w:cs="宋体" w:eastAsia="宋体" w:hint="default"/>
                <w:sz w:val="18"/>
                <w:szCs w:val="18"/>
              </w:rPr>
              <w:t> 金融设备生产储备、研发项目的投入 增加和结构化存款理财增加。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280,029,194.47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174,536,753.13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41,145,609.29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33,558,835.37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40,547,405.19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41,705,249.67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183,387,936.83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26,098,078.05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
              <w:jc w:val="both"/>
              <w:rPr>
                <w:rFonts w:ascii="宋体" w:hAnsi="宋体" w:cs="宋体" w:eastAsia="宋体" w:hint="default"/>
                <w:sz w:val="18"/>
                <w:szCs w:val="18"/>
              </w:rPr>
            </w:pPr>
            <w:r>
              <w:rPr>
                <w:rFonts w:ascii="宋体" w:hAnsi="宋体" w:cs="宋体" w:eastAsia="宋体" w:hint="default"/>
                <w:spacing w:val="11"/>
                <w:sz w:val="18"/>
                <w:szCs w:val="18"/>
              </w:rPr>
              <w:t>主要原因系报告期内公司及子公司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实施了对易安保险、福建片仔癀银之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杰两家联营公司的投资。</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10,574,453.67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8,361,898.95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735,926.00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-0.08%</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5"/>
        <w:gridCol w:w="1063"/>
        <w:gridCol w:w="798"/>
        <w:gridCol w:w="291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70,778,846.15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45,987,536.86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1,417,892.67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12,317,273.22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24,160,789.36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148,076,851.84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7,200,221.70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
              <w:jc w:val="left"/>
              <w:rPr>
                <w:rFonts w:ascii="宋体" w:hAnsi="宋体" w:cs="宋体" w:eastAsia="宋体" w:hint="default"/>
                <w:sz w:val="18"/>
                <w:szCs w:val="18"/>
              </w:rPr>
            </w:pPr>
            <w:r>
              <w:rPr>
                <w:rFonts w:ascii="宋体" w:hAnsi="宋体" w:cs="宋体" w:eastAsia="宋体" w:hint="default"/>
                <w:spacing w:val="11"/>
                <w:sz w:val="18"/>
                <w:szCs w:val="18"/>
              </w:rPr>
              <w:t>主要是公司子公司亿美软通结构化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存款理财大幅增加的原因。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80,592,563.58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78,624,424.05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154,146,360.35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152,676,360.35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4,693,545.03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3,430,967.57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18,107,111.74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4,439,134.26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163,500,000.00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306,450,000.00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159"/>
        <w:jc w:val="right"/>
      </w:pPr>
      <w:r>
        <w:rPr/>
        <w:pict>
          <v:shape style="position:absolute;margin-left:56.459999pt;margin-top:-319.428009pt;width:479.1pt;height:432.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72"/>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38,895.07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15,084.02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40,958.2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2,332.42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1,675.58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项账户</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1,675.58</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38,895.07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15,084.02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40,958.2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1,675.58</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1,675.58</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474" w:hRule="exact"/>
                    </w:trPr>
                    <w:tc>
                      <w:tcPr>
                        <w:tcW w:w="956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公司经中国证券监督管理委员会“证监许可[2010]548</w:t>
                        </w:r>
                        <w:r>
                          <w:rPr>
                            <w:rFonts w:ascii="宋体" w:hAnsi="宋体" w:cs="宋体" w:eastAsia="宋体" w:hint="default"/>
                            <w:spacing w:val="-46"/>
                            <w:sz w:val="18"/>
                            <w:szCs w:val="18"/>
                          </w:rPr>
                          <w:t> </w:t>
                        </w:r>
                        <w:r>
                          <w:rPr>
                            <w:rFonts w:ascii="宋体" w:hAnsi="宋体" w:cs="宋体" w:eastAsia="宋体" w:hint="default"/>
                            <w:sz w:val="18"/>
                            <w:szCs w:val="18"/>
                          </w:rPr>
                          <w:t>号”核准，公司于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日首次向社会公开发行人民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币普通股（A 股）1500</w:t>
                        </w:r>
                        <w:r>
                          <w:rPr>
                            <w:rFonts w:ascii="宋体" w:hAnsi="宋体" w:cs="宋体" w:eastAsia="宋体" w:hint="default"/>
                            <w:spacing w:val="-46"/>
                            <w:sz w:val="18"/>
                            <w:szCs w:val="18"/>
                          </w:rPr>
                          <w:t> </w:t>
                        </w:r>
                        <w:r>
                          <w:rPr>
                            <w:rFonts w:ascii="宋体" w:hAnsi="宋体" w:cs="宋体" w:eastAsia="宋体" w:hint="default"/>
                            <w:sz w:val="18"/>
                            <w:szCs w:val="18"/>
                          </w:rPr>
                          <w:t>万股，发行价格每股</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元，募集资金总额为</w:t>
                        </w:r>
                        <w:r>
                          <w:rPr>
                            <w:rFonts w:ascii="宋体" w:hAnsi="宋体" w:cs="宋体" w:eastAsia="宋体" w:hint="default"/>
                            <w:spacing w:val="-46"/>
                            <w:sz w:val="18"/>
                            <w:szCs w:val="18"/>
                          </w:rPr>
                          <w:t> </w:t>
                        </w:r>
                        <w:r>
                          <w:rPr>
                            <w:rFonts w:ascii="宋体" w:hAnsi="宋体" w:cs="宋体" w:eastAsia="宋体" w:hint="default"/>
                            <w:sz w:val="18"/>
                            <w:szCs w:val="18"/>
                          </w:rPr>
                          <w:t>420,000,000.00</w:t>
                        </w:r>
                        <w:r>
                          <w:rPr>
                            <w:rFonts w:ascii="宋体" w:hAnsi="宋体" w:cs="宋体" w:eastAsia="宋体" w:hint="default"/>
                            <w:spacing w:val="-46"/>
                            <w:sz w:val="18"/>
                            <w:szCs w:val="18"/>
                          </w:rPr>
                          <w:t> </w:t>
                        </w:r>
                        <w:r>
                          <w:rPr>
                            <w:rFonts w:ascii="宋体" w:hAnsi="宋体" w:cs="宋体" w:eastAsia="宋体" w:hint="default"/>
                            <w:sz w:val="18"/>
                            <w:szCs w:val="18"/>
                          </w:rPr>
                          <w:t>元，扣除发行费用</w:t>
                        </w:r>
                        <w:r>
                          <w:rPr>
                            <w:rFonts w:ascii="宋体" w:hAnsi="宋体" w:cs="宋体" w:eastAsia="宋体" w:hint="default"/>
                            <w:spacing w:val="-46"/>
                            <w:sz w:val="18"/>
                            <w:szCs w:val="18"/>
                          </w:rPr>
                          <w:t> </w:t>
                        </w:r>
                        <w:r>
                          <w:rPr>
                            <w:rFonts w:ascii="宋体" w:hAnsi="宋体" w:cs="宋体" w:eastAsia="宋体" w:hint="default"/>
                            <w:sz w:val="18"/>
                            <w:szCs w:val="18"/>
                          </w:rPr>
                          <w:t>31,049,260.04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元，募集资金净额为</w:t>
                        </w:r>
                        <w:r>
                          <w:rPr>
                            <w:rFonts w:ascii="宋体" w:hAnsi="宋体" w:cs="宋体" w:eastAsia="宋体" w:hint="default"/>
                            <w:spacing w:val="-47"/>
                            <w:sz w:val="18"/>
                            <w:szCs w:val="18"/>
                          </w:rPr>
                          <w:t> </w:t>
                        </w:r>
                        <w:r>
                          <w:rPr>
                            <w:rFonts w:ascii="宋体" w:hAnsi="宋体" w:cs="宋体" w:eastAsia="宋体" w:hint="default"/>
                            <w:sz w:val="18"/>
                            <w:szCs w:val="18"/>
                          </w:rPr>
                          <w:t>388,950,739.96</w:t>
                        </w:r>
                        <w:r>
                          <w:rPr>
                            <w:rFonts w:ascii="宋体" w:hAnsi="宋体" w:cs="宋体" w:eastAsia="宋体" w:hint="default"/>
                            <w:spacing w:val="-47"/>
                            <w:sz w:val="18"/>
                            <w:szCs w:val="18"/>
                          </w:rPr>
                          <w:t> </w:t>
                        </w:r>
                        <w:r>
                          <w:rPr>
                            <w:rFonts w:ascii="宋体" w:hAnsi="宋体" w:cs="宋体" w:eastAsia="宋体" w:hint="default"/>
                            <w:sz w:val="18"/>
                            <w:szCs w:val="18"/>
                          </w:rPr>
                          <w:t>元。其中，募集资金投资项目使用资金</w:t>
                        </w:r>
                        <w:r>
                          <w:rPr>
                            <w:rFonts w:ascii="宋体" w:hAnsi="宋体" w:cs="宋体" w:eastAsia="宋体" w:hint="default"/>
                            <w:spacing w:val="-47"/>
                            <w:sz w:val="18"/>
                            <w:szCs w:val="18"/>
                          </w:rPr>
                          <w:t> </w:t>
                        </w:r>
                        <w:r>
                          <w:rPr>
                            <w:rFonts w:ascii="宋体" w:hAnsi="宋体" w:cs="宋体" w:eastAsia="宋体" w:hint="default"/>
                            <w:sz w:val="18"/>
                            <w:szCs w:val="18"/>
                          </w:rPr>
                          <w:t>137,251,000.00</w:t>
                        </w:r>
                        <w:r>
                          <w:rPr>
                            <w:rFonts w:ascii="宋体" w:hAnsi="宋体" w:cs="宋体" w:eastAsia="宋体" w:hint="default"/>
                            <w:spacing w:val="-47"/>
                            <w:sz w:val="18"/>
                            <w:szCs w:val="18"/>
                          </w:rPr>
                          <w:t> </w:t>
                        </w:r>
                        <w:r>
                          <w:rPr>
                            <w:rFonts w:ascii="宋体" w:hAnsi="宋体" w:cs="宋体" w:eastAsia="宋体" w:hint="default"/>
                            <w:sz w:val="18"/>
                            <w:szCs w:val="18"/>
                          </w:rPr>
                          <w:t>元，其余</w:t>
                        </w:r>
                        <w:r>
                          <w:rPr>
                            <w:rFonts w:ascii="宋体" w:hAnsi="宋体" w:cs="宋体" w:eastAsia="宋体" w:hint="default"/>
                            <w:spacing w:val="-47"/>
                            <w:sz w:val="18"/>
                            <w:szCs w:val="18"/>
                          </w:rPr>
                          <w:t> </w:t>
                        </w:r>
                        <w:r>
                          <w:rPr>
                            <w:rFonts w:ascii="宋体" w:hAnsi="宋体" w:cs="宋体" w:eastAsia="宋体" w:hint="default"/>
                            <w:sz w:val="18"/>
                            <w:szCs w:val="18"/>
                          </w:rPr>
                          <w:t>251,699,739.96</w:t>
                        </w:r>
                      </w:p>
                      <w:p>
                        <w:pPr>
                          <w:pStyle w:val="TableParagraph"/>
                          <w:spacing w:line="319" w:lineRule="auto" w:before="76"/>
                          <w:ind w:left="22" w:right="20"/>
                          <w:jc w:val="left"/>
                          <w:rPr>
                            <w:rFonts w:ascii="宋体" w:hAnsi="宋体" w:cs="宋体" w:eastAsia="宋体" w:hint="default"/>
                            <w:sz w:val="18"/>
                            <w:szCs w:val="18"/>
                          </w:rPr>
                        </w:pPr>
                        <w:r>
                          <w:rPr>
                            <w:rFonts w:ascii="宋体" w:hAnsi="宋体" w:cs="宋体" w:eastAsia="宋体" w:hint="default"/>
                            <w:spacing w:val="-3"/>
                            <w:sz w:val="18"/>
                            <w:szCs w:val="18"/>
                          </w:rPr>
                          <w:t>元为用于其他与主营业务相关的营运资金（超募资金）。上述资金已于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日全部到位，资金到位情况业经深</w:t>
                        </w:r>
                        <w:r>
                          <w:rPr>
                            <w:rFonts w:ascii="宋体" w:hAnsi="宋体" w:cs="宋体" w:eastAsia="宋体" w:hint="default"/>
                            <w:sz w:val="18"/>
                            <w:szCs w:val="18"/>
                          </w:rPr>
                          <w:t> </w:t>
                        </w:r>
                        <w:r>
                          <w:rPr>
                            <w:rFonts w:ascii="宋体" w:hAnsi="宋体" w:cs="宋体" w:eastAsia="宋体" w:hint="default"/>
                            <w:spacing w:val="-1"/>
                            <w:sz w:val="18"/>
                            <w:szCs w:val="18"/>
                          </w:rPr>
                          <w:t>圳市鹏城会计师事务所有限公司验证，并由其出具深鹏所验字[2010]184</w:t>
                        </w:r>
                        <w:r>
                          <w:rPr>
                            <w:rFonts w:ascii="宋体" w:hAnsi="宋体" w:cs="宋体" w:eastAsia="宋体" w:hint="default"/>
                            <w:spacing w:val="-25"/>
                            <w:sz w:val="18"/>
                            <w:szCs w:val="18"/>
                          </w:rPr>
                          <w:t> </w:t>
                        </w:r>
                        <w:r>
                          <w:rPr>
                            <w:rFonts w:ascii="宋体" w:hAnsi="宋体" w:cs="宋体" w:eastAsia="宋体" w:hint="default"/>
                            <w:spacing w:val="-7"/>
                            <w:sz w:val="18"/>
                            <w:szCs w:val="18"/>
                          </w:rPr>
                          <w:t>号《验资报告》。公司对募集资金采取了专户存储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制度。</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201</w:t>
                        </w:r>
                        <w:r>
                          <w:rPr>
                            <w:rFonts w:ascii="宋体" w:hAnsi="宋体" w:cs="宋体" w:eastAsia="宋体" w:hint="default"/>
                            <w:spacing w:val="44"/>
                            <w:sz w:val="18"/>
                            <w:szCs w:val="18"/>
                          </w:rPr>
                          <w:t>0年</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pacing w:val="44"/>
                            <w:sz w:val="18"/>
                            <w:szCs w:val="18"/>
                          </w:rPr>
                          <w:t>月</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84"/>
                            <w:sz w:val="18"/>
                            <w:szCs w:val="18"/>
                          </w:rPr>
                          <w:t>，</w:t>
                        </w:r>
                        <w:r>
                          <w:rPr>
                            <w:rFonts w:ascii="宋体" w:hAnsi="宋体" w:cs="宋体" w:eastAsia="宋体" w:hint="default"/>
                            <w:sz w:val="18"/>
                            <w:szCs w:val="18"/>
                          </w:rPr>
                          <w:t>经公司第一届董事会第十一次会议审议通过</w:t>
                        </w:r>
                        <w:r>
                          <w:rPr>
                            <w:rFonts w:ascii="宋体" w:hAnsi="宋体" w:cs="宋体" w:eastAsia="宋体" w:hint="default"/>
                            <w:spacing w:val="-84"/>
                            <w:sz w:val="18"/>
                            <w:szCs w:val="18"/>
                          </w:rPr>
                          <w:t>，</w:t>
                        </w:r>
                        <w:r>
                          <w:rPr>
                            <w:rFonts w:ascii="宋体" w:hAnsi="宋体" w:cs="宋体" w:eastAsia="宋体" w:hint="default"/>
                            <w:sz w:val="18"/>
                            <w:szCs w:val="18"/>
                          </w:rPr>
                          <w:t>公司使用</w:t>
                        </w:r>
                        <w:r>
                          <w:rPr>
                            <w:rFonts w:ascii="宋体" w:hAnsi="宋体" w:cs="宋体" w:eastAsia="宋体" w:hint="default"/>
                            <w:spacing w:val="-46"/>
                            <w:sz w:val="18"/>
                            <w:szCs w:val="18"/>
                          </w:rPr>
                          <w:t> </w:t>
                        </w:r>
                        <w:r>
                          <w:rPr>
                            <w:rFonts w:ascii="宋体" w:hAnsi="宋体" w:cs="宋体" w:eastAsia="宋体" w:hint="default"/>
                            <w:sz w:val="18"/>
                            <w:szCs w:val="18"/>
                          </w:rPr>
                          <w:t>4,500</w:t>
                        </w:r>
                        <w:r>
                          <w:rPr>
                            <w:rFonts w:ascii="宋体" w:hAnsi="宋体" w:cs="宋体" w:eastAsia="宋体" w:hint="default"/>
                            <w:spacing w:val="-46"/>
                            <w:sz w:val="18"/>
                            <w:szCs w:val="18"/>
                          </w:rPr>
                          <w:t> </w:t>
                        </w:r>
                        <w:r>
                          <w:rPr>
                            <w:rFonts w:ascii="宋体" w:hAnsi="宋体" w:cs="宋体" w:eastAsia="宋体" w:hint="default"/>
                            <w:sz w:val="18"/>
                            <w:szCs w:val="18"/>
                          </w:rPr>
                          <w:t>万元超募资金永久补充流动资金</w:t>
                        </w:r>
                        <w:r>
                          <w:rPr>
                            <w:rFonts w:ascii="宋体" w:hAnsi="宋体" w:cs="宋体" w:eastAsia="宋体" w:hint="default"/>
                            <w:spacing w:val="-84"/>
                            <w:sz w:val="18"/>
                            <w:szCs w:val="18"/>
                          </w:rPr>
                          <w:t>。</w:t>
                        </w:r>
                        <w:r>
                          <w:rPr>
                            <w:rFonts w:ascii="宋体" w:hAnsi="宋体" w:cs="宋体" w:eastAsia="宋体" w:hint="default"/>
                            <w:sz w:val="18"/>
                            <w:szCs w:val="18"/>
                          </w:rPr>
                          <w:t>2012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w:t>
                        </w:r>
                        <w:r>
                          <w:rPr>
                            <w:rFonts w:ascii="宋体" w:hAnsi="宋体" w:cs="宋体" w:eastAsia="宋体" w:hint="default"/>
                            <w:sz w:val="18"/>
                            <w:szCs w:val="18"/>
                          </w:rPr>
                          <w:t>经公司第二届董事会第七次会议审议通过，公司与北京博世金信科技有限公司签订《资产收购合同</w:t>
                        </w:r>
                        <w:r>
                          <w:rPr>
                            <w:rFonts w:ascii="宋体" w:hAnsi="宋体" w:cs="宋体" w:eastAsia="宋体" w:hint="default"/>
                            <w:spacing w:val="-90"/>
                            <w:sz w:val="18"/>
                            <w:szCs w:val="18"/>
                          </w:rPr>
                          <w:t>》</w:t>
                        </w:r>
                        <w:r>
                          <w:rPr>
                            <w:rFonts w:ascii="宋体" w:hAnsi="宋体" w:cs="宋体" w:eastAsia="宋体" w:hint="default"/>
                            <w:sz w:val="18"/>
                            <w:szCs w:val="18"/>
                          </w:rPr>
                          <w:t>，使用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宋体" w:hAnsi="宋体" w:cs="宋体" w:eastAsia="宋体" w:hint="default"/>
                            <w:sz w:val="18"/>
                            <w:szCs w:val="18"/>
                          </w:rPr>
                          <w:t>833.10</w:t>
                        </w:r>
                        <w:r>
                          <w:rPr>
                            <w:rFonts w:ascii="宋体" w:hAnsi="宋体" w:cs="宋体" w:eastAsia="宋体" w:hint="default"/>
                            <w:spacing w:val="-46"/>
                            <w:sz w:val="18"/>
                            <w:szCs w:val="18"/>
                          </w:rPr>
                          <w:t> </w:t>
                        </w:r>
                        <w:r>
                          <w:rPr>
                            <w:rFonts w:ascii="宋体" w:hAnsi="宋体" w:cs="宋体" w:eastAsia="宋体" w:hint="default"/>
                            <w:sz w:val="18"/>
                            <w:szCs w:val="18"/>
                          </w:rPr>
                          <w:t>万元收购其拥有的支票打码机的</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项专利技术、相关专有技术等无形资产，以及相关存货、固定资产等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有形资产。截至报告期末，公司本项资产收购已使用超募资金</w:t>
                        </w:r>
                        <w:r>
                          <w:rPr>
                            <w:rFonts w:ascii="宋体" w:hAnsi="宋体" w:cs="宋体" w:eastAsia="宋体" w:hint="default"/>
                            <w:spacing w:val="-46"/>
                            <w:sz w:val="18"/>
                            <w:szCs w:val="18"/>
                          </w:rPr>
                          <w:t> </w:t>
                        </w:r>
                        <w:r>
                          <w:rPr>
                            <w:rFonts w:ascii="宋体" w:hAnsi="宋体" w:cs="宋体" w:eastAsia="宋体" w:hint="default"/>
                            <w:sz w:val="18"/>
                            <w:szCs w:val="18"/>
                          </w:rPr>
                          <w:t>733.10</w:t>
                        </w:r>
                        <w:r>
                          <w:rPr>
                            <w:rFonts w:ascii="宋体" w:hAnsi="宋体" w:cs="宋体" w:eastAsia="宋体" w:hint="default"/>
                            <w:spacing w:val="-45"/>
                            <w:sz w:val="18"/>
                            <w:szCs w:val="18"/>
                          </w:rPr>
                          <w:t> </w:t>
                        </w:r>
                        <w:r>
                          <w:rPr>
                            <w:rFonts w:ascii="宋体" w:hAnsi="宋体" w:cs="宋体" w:eastAsia="宋体" w:hint="default"/>
                            <w:sz w:val="18"/>
                            <w:szCs w:val="18"/>
                          </w:rPr>
                          <w:t>万元。2013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日，经公司第二届董事会第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4"/>
                            <w:sz w:val="18"/>
                            <w:szCs w:val="18"/>
                          </w:rPr>
                          <w:t>二十一次会议审议通过，公司使用超募资金</w:t>
                        </w:r>
                        <w:r>
                          <w:rPr>
                            <w:rFonts w:ascii="宋体" w:hAnsi="宋体" w:cs="宋体" w:eastAsia="宋体" w:hint="default"/>
                            <w:spacing w:val="-67"/>
                            <w:sz w:val="18"/>
                            <w:szCs w:val="18"/>
                          </w:rPr>
                          <w:t> </w:t>
                        </w:r>
                        <w:r>
                          <w:rPr>
                            <w:rFonts w:ascii="宋体" w:hAnsi="宋体" w:cs="宋体" w:eastAsia="宋体" w:hint="default"/>
                            <w:sz w:val="18"/>
                            <w:szCs w:val="18"/>
                          </w:rPr>
                          <w:t>2,000</w:t>
                        </w:r>
                        <w:r>
                          <w:rPr>
                            <w:rFonts w:ascii="宋体" w:hAnsi="宋体" w:cs="宋体" w:eastAsia="宋体" w:hint="default"/>
                            <w:spacing w:val="-67"/>
                            <w:sz w:val="18"/>
                            <w:szCs w:val="18"/>
                          </w:rPr>
                          <w:t> </w:t>
                        </w:r>
                        <w:r>
                          <w:rPr>
                            <w:rFonts w:ascii="宋体" w:hAnsi="宋体" w:cs="宋体" w:eastAsia="宋体" w:hint="default"/>
                            <w:sz w:val="18"/>
                            <w:szCs w:val="18"/>
                          </w:rPr>
                          <w:t>万元发起设立北京华道征信有限公司，开展征信服务业务及其相关业务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pacing w:val="-3"/>
                            <w:sz w:val="18"/>
                            <w:szCs w:val="18"/>
                          </w:rPr>
                          <w:t>日，经公司第二届董事会第二十三次会议审议，并经</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年度股东大会审议通过，公司使</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70"/>
                            <w:sz w:val="18"/>
                            <w:szCs w:val="18"/>
                          </w:rPr>
                          <w:t>。</w:t>
                        </w:r>
                        <w:r>
                          <w:rPr>
                            <w:rFonts w:ascii="宋体" w:hAnsi="宋体" w:cs="宋体" w:eastAsia="宋体" w:hint="default"/>
                            <w:sz w:val="18"/>
                            <w:szCs w:val="18"/>
                          </w:rPr>
                          <w:t>201</w:t>
                        </w:r>
                        <w:r>
                          <w:rPr>
                            <w:rFonts w:ascii="宋体" w:hAnsi="宋体" w:cs="宋体" w:eastAsia="宋体" w:hint="default"/>
                            <w:spacing w:val="44"/>
                            <w:sz w:val="18"/>
                            <w:szCs w:val="18"/>
                          </w:rPr>
                          <w:t>5年</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44"/>
                            <w:sz w:val="18"/>
                            <w:szCs w:val="18"/>
                          </w:rPr>
                          <w:t>月</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pacing w:val="-70"/>
                            <w:sz w:val="18"/>
                            <w:szCs w:val="18"/>
                          </w:rPr>
                          <w:t>，</w:t>
                        </w:r>
                        <w:r>
                          <w:rPr>
                            <w:rFonts w:ascii="宋体" w:hAnsi="宋体" w:cs="宋体" w:eastAsia="宋体" w:hint="default"/>
                            <w:sz w:val="18"/>
                            <w:szCs w:val="18"/>
                          </w:rPr>
                          <w:t>经公司第三届董事会第十三次会议审议通过</w:t>
                        </w:r>
                        <w:r>
                          <w:rPr>
                            <w:rFonts w:ascii="宋体" w:hAnsi="宋体" w:cs="宋体" w:eastAsia="宋体" w:hint="default"/>
                            <w:spacing w:val="-70"/>
                            <w:sz w:val="18"/>
                            <w:szCs w:val="18"/>
                          </w:rPr>
                          <w:t>，</w:t>
                        </w:r>
                        <w:r>
                          <w:rPr>
                            <w:rFonts w:ascii="宋体" w:hAnsi="宋体" w:cs="宋体" w:eastAsia="宋体" w:hint="default"/>
                            <w:sz w:val="18"/>
                            <w:szCs w:val="18"/>
                          </w:rPr>
                          <w:t>公司使用</w:t>
                        </w:r>
                        <w:r>
                          <w:rPr>
                            <w:rFonts w:ascii="宋体" w:hAnsi="宋体" w:cs="宋体" w:eastAsia="宋体" w:hint="default"/>
                            <w:spacing w:val="-46"/>
                            <w:sz w:val="18"/>
                            <w:szCs w:val="18"/>
                          </w:rPr>
                          <w:t> </w:t>
                        </w:r>
                        <w:r>
                          <w:rPr>
                            <w:rFonts w:ascii="宋体" w:hAnsi="宋体" w:cs="宋体" w:eastAsia="宋体" w:hint="default"/>
                            <w:spacing w:val="1"/>
                            <w:sz w:val="18"/>
                            <w:szCs w:val="18"/>
                          </w:rPr>
                          <w:t>4</w:t>
                        </w:r>
                        <w:r>
                          <w:rPr>
                            <w:rFonts w:ascii="宋体" w:hAnsi="宋体" w:cs="宋体" w:eastAsia="宋体" w:hint="default"/>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万元超募资金暂时补充公司流动资金，并于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月全部归还至公司募集资金专户。2015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日，经公司</w:t>
                        </w:r>
                        <w:r>
                          <w:rPr>
                            <w:rFonts w:ascii="宋体" w:hAnsi="宋体" w:cs="宋体" w:eastAsia="宋体" w:hint="default"/>
                            <w:spacing w:val="-49"/>
                            <w:sz w:val="18"/>
                            <w:szCs w:val="18"/>
                          </w:rPr>
                          <w:t> </w:t>
                        </w:r>
                        <w:r>
                          <w:rPr>
                            <w:rFonts w:ascii="宋体" w:hAnsi="宋体" w:cs="宋体" w:eastAsia="宋体" w:hint="default"/>
                            <w:sz w:val="18"/>
                            <w:szCs w:val="18"/>
                          </w:rPr>
                          <w:t>2015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年第三次临时股东大会审议通过，公司使用超募资金及募集资金利息合计</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亿元投资发起设立易安保险。</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截至报告期末，公司首次公开发行股票募集资金净额</w:t>
                        </w:r>
                        <w:r>
                          <w:rPr>
                            <w:rFonts w:ascii="宋体" w:hAnsi="宋体" w:cs="宋体" w:eastAsia="宋体" w:hint="default"/>
                            <w:spacing w:val="-50"/>
                            <w:sz w:val="18"/>
                            <w:szCs w:val="18"/>
                          </w:rPr>
                          <w:t> </w:t>
                        </w:r>
                        <w:r>
                          <w:rPr>
                            <w:rFonts w:ascii="宋体" w:hAnsi="宋体" w:cs="宋体" w:eastAsia="宋体" w:hint="default"/>
                            <w:sz w:val="18"/>
                            <w:szCs w:val="18"/>
                          </w:rPr>
                          <w:t>38,895.07</w:t>
                        </w:r>
                        <w:r>
                          <w:rPr>
                            <w:rFonts w:ascii="宋体" w:hAnsi="宋体" w:cs="宋体" w:eastAsia="宋体" w:hint="default"/>
                            <w:spacing w:val="-50"/>
                            <w:sz w:val="18"/>
                            <w:szCs w:val="18"/>
                          </w:rPr>
                          <w:t> </w:t>
                        </w:r>
                        <w:r>
                          <w:rPr>
                            <w:rFonts w:ascii="宋体" w:hAnsi="宋体" w:cs="宋体" w:eastAsia="宋体" w:hint="default"/>
                            <w:sz w:val="18"/>
                            <w:szCs w:val="18"/>
                          </w:rPr>
                          <w:t>万元，已投入募集资金投资项目</w:t>
                        </w:r>
                        <w:r>
                          <w:rPr>
                            <w:rFonts w:ascii="宋体" w:hAnsi="宋体" w:cs="宋体" w:eastAsia="宋体" w:hint="default"/>
                            <w:spacing w:val="-50"/>
                            <w:sz w:val="18"/>
                            <w:szCs w:val="18"/>
                          </w:rPr>
                          <w:t> </w:t>
                        </w:r>
                        <w:r>
                          <w:rPr>
                            <w:rFonts w:ascii="宋体" w:hAnsi="宋体" w:cs="宋体" w:eastAsia="宋体" w:hint="default"/>
                            <w:sz w:val="18"/>
                            <w:szCs w:val="18"/>
                          </w:rPr>
                          <w:t>40,958.20</w:t>
                        </w:r>
                        <w:r>
                          <w:rPr>
                            <w:rFonts w:ascii="宋体" w:hAnsi="宋体" w:cs="宋体" w:eastAsia="宋体" w:hint="default"/>
                            <w:spacing w:val="-50"/>
                            <w:sz w:val="18"/>
                            <w:szCs w:val="18"/>
                          </w:rPr>
                          <w:t> </w:t>
                        </w:r>
                        <w:r>
                          <w:rPr>
                            <w:rFonts w:ascii="宋体" w:hAnsi="宋体" w:cs="宋体" w:eastAsia="宋体" w:hint="default"/>
                            <w:spacing w:val="-3"/>
                            <w:sz w:val="18"/>
                            <w:szCs w:val="18"/>
                          </w:rPr>
                          <w:t>万元，公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司募集资金专户尚有募集资金利息</w:t>
                        </w:r>
                        <w:r>
                          <w:rPr>
                            <w:rFonts w:ascii="宋体" w:hAnsi="宋体" w:cs="宋体" w:eastAsia="宋体" w:hint="default"/>
                            <w:spacing w:val="-46"/>
                            <w:sz w:val="18"/>
                            <w:szCs w:val="18"/>
                          </w:rPr>
                          <w:t> </w:t>
                        </w:r>
                        <w:r>
                          <w:rPr>
                            <w:rFonts w:ascii="宋体" w:hAnsi="宋体" w:cs="宋体" w:eastAsia="宋体" w:hint="default"/>
                            <w:sz w:val="18"/>
                            <w:szCs w:val="18"/>
                          </w:rPr>
                          <w:t>1,675.58</w:t>
                        </w:r>
                        <w:r>
                          <w:rPr>
                            <w:rFonts w:ascii="宋体" w:hAnsi="宋体" w:cs="宋体" w:eastAsia="宋体" w:hint="default"/>
                            <w:spacing w:val="-46"/>
                            <w:sz w:val="18"/>
                            <w:szCs w:val="18"/>
                          </w:rPr>
                          <w:t> </w:t>
                        </w:r>
                        <w:r>
                          <w:rPr>
                            <w:rFonts w:ascii="宋体" w:hAnsi="宋体" w:cs="宋体" w:eastAsia="宋体" w:hint="default"/>
                            <w:sz w:val="18"/>
                            <w:szCs w:val="18"/>
                          </w:rPr>
                          <w:t>万元未使用。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19"/>
        <w:gridCol w:w="718"/>
        <w:gridCol w:w="715"/>
        <w:gridCol w:w="720"/>
        <w:gridCol w:w="718"/>
        <w:gridCol w:w="716"/>
        <w:gridCol w:w="719"/>
        <w:gridCol w:w="718"/>
        <w:gridCol w:w="718"/>
        <w:gridCol w:w="714"/>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9" w:right="98"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3"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8.8pt;height:688.4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8"/>
                    <w:gridCol w:w="718"/>
                    <w:gridCol w:w="718"/>
                    <w:gridCol w:w="710"/>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商业银行全国票据 影像交换业务处理 系统升级改造</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2,932</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599.58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599.58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501.61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1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商业银行同城票据</w:t>
                        </w:r>
                      </w:p>
                    </w:tc>
                    <w:tc>
                      <w:tcPr>
                        <w:tcW w:w="738"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743"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影像交换业务处理</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3,763.6</w:t>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3,763.6</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z w:val="18"/>
                          </w:rPr>
                          <w:t>3,763.6</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125.42</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1,435.61</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31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38"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743"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650"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743"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银企对账管理系统</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3,144.9</w:t>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3,144.9</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z w:val="18"/>
                          </w:rPr>
                          <w:t>3,144.9</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296.68</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1,838.16</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31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650"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743"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650"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743"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客户服务中心</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1,705.2</w:t>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1,705.2</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z w:val="18"/>
                          </w:rPr>
                          <w:t>1,705.2</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477.53</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2,385.18</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31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650"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743"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650"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743"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研究开发中心</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2,179.4</w:t>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2,179.4</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z w:val="18"/>
                          </w:rPr>
                          <w:t>2,179.4</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31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650"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743"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商业银行集中运营 作业平台</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2,212.6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2,212.6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448.22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1,262.00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1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119.82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84.02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2"/>
                            <w:sz w:val="18"/>
                          </w:rPr>
                          <w:t>119.82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13,725.1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13,725.1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84.02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13,725.1</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1,347.85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7,422.56</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3" w:hRule="exact"/>
                    </w:trPr>
                    <w:tc>
                      <w:tcPr>
                        <w:tcW w:w="1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收购北京博世金信</w:t>
                        </w:r>
                      </w:p>
                    </w:tc>
                    <w:tc>
                      <w:tcPr>
                        <w:tcW w:w="738"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743"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科技有限公司部分</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4"/>
                          <w:jc w:val="right"/>
                          <w:rPr>
                            <w:rFonts w:ascii="Times New Roman" w:hAnsi="Times New Roman" w:cs="Times New Roman" w:eastAsia="Times New Roman" w:hint="default"/>
                            <w:sz w:val="18"/>
                            <w:szCs w:val="18"/>
                          </w:rPr>
                        </w:pPr>
                        <w:r>
                          <w:rPr>
                            <w:rFonts w:ascii="Times New Roman"/>
                            <w:sz w:val="18"/>
                          </w:rPr>
                          <w:t>833.1</w:t>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4"/>
                          <w:jc w:val="right"/>
                          <w:rPr>
                            <w:rFonts w:ascii="Times New Roman" w:hAnsi="Times New Roman" w:cs="Times New Roman" w:eastAsia="Times New Roman" w:hint="default"/>
                            <w:sz w:val="18"/>
                            <w:szCs w:val="18"/>
                          </w:rPr>
                        </w:pPr>
                        <w:r>
                          <w:rPr>
                            <w:rFonts w:ascii="Times New Roman"/>
                            <w:sz w:val="18"/>
                          </w:rPr>
                          <w:t>833.1</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8" w:right="0"/>
                          <w:jc w:val="left"/>
                          <w:rPr>
                            <w:rFonts w:ascii="Times New Roman" w:hAnsi="Times New Roman" w:cs="Times New Roman" w:eastAsia="Times New Roman" w:hint="default"/>
                            <w:sz w:val="18"/>
                            <w:szCs w:val="18"/>
                          </w:rPr>
                        </w:pPr>
                        <w:r>
                          <w:rPr>
                            <w:rFonts w:ascii="Times New Roman"/>
                            <w:sz w:val="18"/>
                          </w:rPr>
                          <w:t>733.1</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88.00%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37.60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536.02</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66"/>
                          <w:jc w:val="righ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8"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743"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投资设立北京华道 征信有限公司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2,000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-281.05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-275.13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投资设立易安财产 保险股份有限公司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15,000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9,500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27,333.1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27,333.1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z w:val="18"/>
                          </w:rPr>
                          <w:t>27,233.</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1</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-243.45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260.89</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41,058.2</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41,058.2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15,084.0</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z w:val="18"/>
                          </w:rPr>
                          <w:t>40,958.</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2</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1,104.40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7,683.45</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636"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912" w:type="dxa"/>
                        <w:gridSpan w:val="11"/>
                        <w:tcBorders>
                          <w:top w:val="single" w:sz="4" w:space="0" w:color="000000"/>
                          <w:left w:val="single" w:sz="4" w:space="0" w:color="000000"/>
                          <w:bottom w:val="nil" w:sz="6" w:space="0" w:color="auto"/>
                          <w:right w:val="single" w:sz="4" w:space="0" w:color="000000"/>
                        </w:tcBorders>
                      </w:tcPr>
                      <w:p>
                        <w:pPr>
                          <w:pStyle w:val="TableParagraph"/>
                          <w:spacing w:line="234" w:lineRule="exact" w:before="148"/>
                          <w:ind w:left="22" w:right="21"/>
                          <w:jc w:val="left"/>
                          <w:rPr>
                            <w:rFonts w:ascii="Calibri" w:hAnsi="Calibri" w:cs="Calibri" w:eastAsia="Calibri" w:hint="default"/>
                            <w:sz w:val="18"/>
                            <w:szCs w:val="18"/>
                          </w:rPr>
                        </w:pPr>
                        <w:r>
                          <w:rPr>
                            <w:rFonts w:ascii="宋体" w:hAnsi="宋体" w:cs="宋体" w:eastAsia="宋体" w:hint="default"/>
                            <w:sz w:val="18"/>
                            <w:szCs w:val="18"/>
                          </w:rPr>
                          <w:t>截至报告期末，商业银行同城票据影像交换业务处理系统项目累计实现效益</w:t>
                        </w:r>
                        <w:r>
                          <w:rPr>
                            <w:rFonts w:ascii="Calibri" w:hAnsi="Calibri" w:cs="Calibri" w:eastAsia="Calibri" w:hint="default"/>
                            <w:sz w:val="18"/>
                            <w:szCs w:val="18"/>
                          </w:rPr>
                          <w:t>1,435.61</w:t>
                        </w:r>
                        <w:r>
                          <w:rPr>
                            <w:rFonts w:ascii="宋体" w:hAnsi="宋体" w:cs="宋体" w:eastAsia="宋体" w:hint="default"/>
                            <w:sz w:val="18"/>
                            <w:szCs w:val="18"/>
                          </w:rPr>
                          <w:t>万元，银企对账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管理系统项目已累计实现效益</w:t>
                        </w:r>
                        <w:r>
                          <w:rPr>
                            <w:rFonts w:ascii="Calibri" w:hAnsi="Calibri" w:cs="Calibri" w:eastAsia="Calibri" w:hint="default"/>
                            <w:spacing w:val="-2"/>
                            <w:sz w:val="18"/>
                            <w:szCs w:val="18"/>
                          </w:rPr>
                          <w:t>1,838.16</w:t>
                        </w:r>
                        <w:r>
                          <w:rPr>
                            <w:rFonts w:ascii="宋体" w:hAnsi="宋体" w:cs="宋体" w:eastAsia="宋体" w:hint="default"/>
                            <w:spacing w:val="-2"/>
                            <w:sz w:val="18"/>
                            <w:szCs w:val="18"/>
                          </w:rPr>
                          <w:t>万元，商业银行集中运营作业平台项目已累计实现效益</w:t>
                        </w:r>
                        <w:r>
                          <w:rPr>
                            <w:rFonts w:ascii="Calibri" w:hAnsi="Calibri" w:cs="Calibri" w:eastAsia="Calibri" w:hint="default"/>
                            <w:spacing w:val="-2"/>
                            <w:sz w:val="18"/>
                            <w:szCs w:val="18"/>
                          </w:rPr>
                          <w:t>1,262.00</w:t>
                        </w:r>
                      </w:p>
                    </w:tc>
                  </w:tr>
                  <w:tr>
                    <w:trPr>
                      <w:trHeight w:val="225"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预计收益的情况和</w:t>
                        </w: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以上项目未达到承诺效益的主要原因是银行信息化行业市场竞争激烈</w:t>
                        </w:r>
                        <w:r>
                          <w:rPr>
                            <w:rFonts w:ascii="宋体" w:hAnsi="宋体" w:cs="宋体" w:eastAsia="宋体" w:hint="default"/>
                            <w:spacing w:val="-77"/>
                            <w:sz w:val="18"/>
                            <w:szCs w:val="18"/>
                          </w:rPr>
                          <w:t>，</w:t>
                        </w:r>
                        <w:r>
                          <w:rPr>
                            <w:rFonts w:ascii="宋体" w:hAnsi="宋体" w:cs="宋体" w:eastAsia="宋体" w:hint="default"/>
                            <w:sz w:val="18"/>
                            <w:szCs w:val="18"/>
                          </w:rPr>
                          <w:t>客户需求更新换代较快</w:t>
                        </w:r>
                      </w:p>
                    </w:tc>
                  </w:tr>
                  <w:tr>
                    <w:trPr>
                      <w:trHeight w:val="351"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随着电子支付手段的迅速发展，票据影像化处理的业务需求呈下降趋势等因素的影响。</w:t>
                        </w:r>
                      </w:p>
                    </w:tc>
                  </w:tr>
                  <w:tr>
                    <w:trPr>
                      <w:trHeight w:val="277"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12" w:type="dxa"/>
                        <w:gridSpan w:val="11"/>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截至报告期末，客户服务中心项目累计实现效益</w:t>
                        </w:r>
                        <w:r>
                          <w:rPr>
                            <w:rFonts w:ascii="Calibri" w:hAnsi="Calibri" w:cs="Calibri" w:eastAsia="Calibri" w:hint="default"/>
                            <w:sz w:val="18"/>
                            <w:szCs w:val="18"/>
                          </w:rPr>
                          <w:t>2,385.18</w:t>
                        </w:r>
                        <w:r>
                          <w:rPr>
                            <w:rFonts w:ascii="宋体" w:hAnsi="宋体" w:cs="宋体" w:eastAsia="宋体" w:hint="default"/>
                            <w:sz w:val="18"/>
                            <w:szCs w:val="18"/>
                          </w:rPr>
                          <w:t>万元，未达到承诺效益的原因是受银行客户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64"/>
        <w:jc w:val="right"/>
      </w:pPr>
      <w:r>
        <w:rPr/>
        <w:t>，</w:t>
      </w:r>
    </w:p>
    <w:p>
      <w:pPr>
        <w:spacing w:after="0" w:line="240" w:lineRule="auto"/>
        <w:jc w:val="right"/>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8.8pt;height:690.7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247" w:hRule="exact"/>
                    </w:trPr>
                    <w:tc>
                      <w:tcPr>
                        <w:tcW w:w="1650" w:type="dxa"/>
                        <w:vMerge w:val="restart"/>
                        <w:tcBorders>
                          <w:top w:val="single" w:sz="4" w:space="0" w:color="000000"/>
                          <w:left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普遍要求延长免费服务的期限至</w:t>
                        </w:r>
                        <w:r>
                          <w:rPr>
                            <w:rFonts w:ascii="Calibri" w:hAnsi="Calibri" w:cs="Calibri" w:eastAsia="Calibri" w:hint="default"/>
                            <w:spacing w:val="-2"/>
                            <w:sz w:val="18"/>
                            <w:szCs w:val="18"/>
                          </w:rPr>
                          <w:t>3</w:t>
                        </w:r>
                        <w:r>
                          <w:rPr>
                            <w:rFonts w:ascii="宋体" w:hAnsi="宋体" w:cs="宋体" w:eastAsia="宋体" w:hint="default"/>
                            <w:spacing w:val="-2"/>
                            <w:sz w:val="18"/>
                            <w:szCs w:val="18"/>
                          </w:rPr>
                          <w:t>至</w:t>
                        </w:r>
                        <w:r>
                          <w:rPr>
                            <w:rFonts w:ascii="Calibri" w:hAnsi="Calibri" w:cs="Calibri" w:eastAsia="Calibri" w:hint="default"/>
                            <w:spacing w:val="-2"/>
                            <w:sz w:val="18"/>
                            <w:szCs w:val="18"/>
                          </w:rPr>
                          <w:t>5</w:t>
                        </w:r>
                        <w:r>
                          <w:rPr>
                            <w:rFonts w:ascii="宋体" w:hAnsi="宋体" w:cs="宋体" w:eastAsia="宋体" w:hint="default"/>
                            <w:spacing w:val="-2"/>
                            <w:sz w:val="18"/>
                            <w:szCs w:val="18"/>
                          </w:rPr>
                          <w:t>年，致使服务性收入减少，以及行业内产品升级换代较快，服务</w:t>
                        </w:r>
                      </w:p>
                    </w:tc>
                  </w:tr>
                  <w:tr>
                    <w:trPr>
                      <w:trHeight w:val="302" w:hRule="exact"/>
                    </w:trPr>
                    <w:tc>
                      <w:tcPr>
                        <w:tcW w:w="1650" w:type="dxa"/>
                        <w:vMerge/>
                        <w:tcBorders>
                          <w:left w:val="single" w:sz="4" w:space="0" w:color="000000"/>
                          <w:right w:val="single" w:sz="4" w:space="0" w:color="000000"/>
                        </w:tcBorders>
                        <w:shd w:val="clear" w:color="auto" w:fill="D3D3D3"/>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性收入转化为升级换代产品的销售收入等因素的影响。</w:t>
                        </w:r>
                      </w:p>
                    </w:tc>
                  </w:tr>
                  <w:tr>
                    <w:trPr>
                      <w:trHeight w:val="311" w:hRule="exact"/>
                    </w:trPr>
                    <w:tc>
                      <w:tcPr>
                        <w:tcW w:w="1650" w:type="dxa"/>
                        <w:vMerge/>
                        <w:tcBorders>
                          <w:left w:val="single" w:sz="4" w:space="0" w:color="000000"/>
                          <w:right w:val="single" w:sz="4" w:space="0" w:color="000000"/>
                        </w:tcBorders>
                        <w:shd w:val="clear" w:color="auto" w:fill="D3D3D3"/>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以上募投项目虽未达到承诺的效益，但募投项目的实施，为公司保持在相关产品领域的市场占有率</w:t>
                        </w:r>
                      </w:p>
                    </w:tc>
                  </w:tr>
                  <w:tr>
                    <w:trPr>
                      <w:trHeight w:val="233" w:hRule="exact"/>
                    </w:trPr>
                    <w:tc>
                      <w:tcPr>
                        <w:tcW w:w="1650" w:type="dxa"/>
                        <w:vMerge/>
                        <w:tcBorders>
                          <w:left w:val="single" w:sz="4" w:space="0" w:color="000000"/>
                          <w:right w:val="single" w:sz="4" w:space="0" w:color="000000"/>
                        </w:tcBorders>
                        <w:shd w:val="clear" w:color="auto" w:fill="D3D3D3"/>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延伸发展公司产品线，储备和培养研发人才，以及维护公司广泛的银行客户关系发挥了重要作用，也</w:t>
                        </w:r>
                      </w:p>
                    </w:tc>
                  </w:tr>
                  <w:tr>
                    <w:trPr>
                      <w:trHeight w:val="240"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为公司带来其他相关产品的间接收益。</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报告期内，项目可行性未发生重大变化。</w:t>
                        </w:r>
                      </w:p>
                    </w:tc>
                  </w:tr>
                  <w:tr>
                    <w:trPr>
                      <w:trHeight w:val="402"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3"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p>
                    </w:tc>
                    <w:tc>
                      <w:tcPr>
                        <w:tcW w:w="7912"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公司超募资金共计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25,169.97</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日第一届董事会第十一次会议审议通过，公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万元永久补充流动资金。截至报告期末，该项目已全部投入。</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日第二届董事会第七次会议审议通过，公司使用超募资金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833.10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万元收购北京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博世金信科技有限公司的支票打码机的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项专利技术、相关专有技术等无形资产及相关有形资产。截</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至报告期末，公司本项资产收购已使用超募资金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101"/>
                          <w:ind w:left="22" w:right="49"/>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日第二届董事会第二十一次会议审议通过，公司使用超募资金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万元发 </w:t>
                        </w:r>
                        <w:r>
                          <w:rPr>
                            <w:rFonts w:ascii="宋体" w:hAnsi="宋体" w:cs="宋体" w:eastAsia="宋体" w:hint="default"/>
                            <w:spacing w:val="-4"/>
                            <w:sz w:val="18"/>
                            <w:szCs w:val="18"/>
                          </w:rPr>
                          <w:t>起设立北京华道征信有限公司，开展征信服务业务及其相关业务。截至报告期末，该项目已全部投入</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日第二届董事会第二十三次会议和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万元永久补充流动资金。截至报告期末，该项目已全部投入。</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日第三届董事会第十四次会议和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会审议通过，公司使用超募资金及募集资金利息合计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亿元投资发起设立易安财产保险股份有限公 司。截至报告期末，该项目已全部投入。</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截至报告期末，公司募集资金专户尚有募集资金利息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w:t>
                        </w:r>
                      </w:p>
                    </w:tc>
                  </w:tr>
                  <w:tr>
                    <w:trPr>
                      <w:trHeight w:val="2373"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912" w:type="dxa"/>
                        <w:vMerge/>
                        <w:tcBorders>
                          <w:left w:val="single" w:sz="4" w:space="0" w:color="000000"/>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12" w:hRule="exact"/>
                    </w:trPr>
                    <w:tc>
                      <w:tcPr>
                        <w:tcW w:w="1650" w:type="dxa"/>
                        <w:vMerge/>
                        <w:tcBorders>
                          <w:left w:val="single" w:sz="4" w:space="0" w:color="000000"/>
                          <w:bottom w:val="nil" w:sz="6" w:space="0" w:color="auto"/>
                          <w:right w:val="single" w:sz="4" w:space="0" w:color="000000"/>
                        </w:tcBorders>
                        <w:shd w:val="clear" w:color="auto" w:fill="D3D3D3"/>
                      </w:tcPr>
                      <w:p>
                        <w:pPr/>
                      </w:p>
                    </w:tc>
                    <w:tc>
                      <w:tcPr>
                        <w:tcW w:w="7912"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日第二届董事会第八次会议审议通过，公司原五个募集资金投资项目的实施 地点从深圳市科技园科发路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变更至深圳市福田区天安数码城天祥 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10A</w:t>
                        </w:r>
                        <w:r>
                          <w:rPr>
                            <w:rFonts w:ascii="宋体" w:hAnsi="宋体" w:cs="宋体" w:eastAsia="宋体" w:hint="default"/>
                            <w:sz w:val="18"/>
                            <w:szCs w:val="18"/>
                          </w:rPr>
                          <w:t>。独立董事和保荐机构均对本次变更发表了同意意见。</w:t>
                        </w:r>
                      </w:p>
                    </w:tc>
                  </w:tr>
                  <w:tr>
                    <w:trPr>
                      <w:trHeight w:val="914"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912" w:type="dxa"/>
                        <w:vMerge/>
                        <w:tcBorders>
                          <w:left w:val="single" w:sz="4" w:space="0" w:color="000000"/>
                          <w:bottom w:val="single" w:sz="4" w:space="0" w:color="000000"/>
                          <w:right w:val="single" w:sz="4" w:space="0" w:color="000000"/>
                        </w:tcBorders>
                      </w:tcPr>
                      <w:p>
                        <w:pPr/>
                      </w:p>
                    </w:tc>
                  </w:tr>
                  <w:tr>
                    <w:trPr>
                      <w:trHeight w:val="325"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7"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tcBorders>
                          <w:top w:val="nil" w:sz="6" w:space="0" w:color="auto"/>
                          <w:left w:val="single" w:sz="4" w:space="0" w:color="000000"/>
                          <w:bottom w:val="single" w:sz="4" w:space="0" w:color="000000"/>
                          <w:right w:val="single" w:sz="4" w:space="0" w:color="000000"/>
                        </w:tcBorders>
                      </w:tcPr>
                      <w:p>
                        <w:pPr/>
                      </w:p>
                    </w:tc>
                  </w:tr>
                  <w:tr>
                    <w:trPr>
                      <w:trHeight w:val="202" w:hRule="exact"/>
                    </w:trPr>
                    <w:tc>
                      <w:tcPr>
                        <w:tcW w:w="1650" w:type="dxa"/>
                        <w:vMerge/>
                        <w:tcBorders>
                          <w:left w:val="single" w:sz="4" w:space="0" w:color="000000"/>
                          <w:bottom w:val="nil" w:sz="6" w:space="0" w:color="auto"/>
                          <w:right w:val="single" w:sz="4" w:space="0" w:color="000000"/>
                        </w:tcBorders>
                        <w:shd w:val="clear" w:color="auto" w:fill="D3D3D3"/>
                      </w:tcPr>
                      <w:p>
                        <w:pPr/>
                      </w:p>
                    </w:tc>
                    <w:tc>
                      <w:tcPr>
                        <w:tcW w:w="7912" w:type="dxa"/>
                        <w:vMerge w:val="restart"/>
                        <w:tcBorders>
                          <w:top w:val="single" w:sz="4" w:space="0" w:color="000000"/>
                          <w:left w:val="single" w:sz="4" w:space="0" w:color="000000"/>
                          <w:right w:val="single" w:sz="4" w:space="0" w:color="000000"/>
                        </w:tcBorders>
                      </w:tcPr>
                      <w:p>
                        <w:pPr/>
                      </w:p>
                    </w:tc>
                  </w:tr>
                  <w:tr>
                    <w:trPr>
                      <w:trHeight w:val="200"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912" w:type="dxa"/>
                        <w:vMerge/>
                        <w:tcBorders>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0"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190"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tcBorders>
                          <w:top w:val="nil" w:sz="6" w:space="0" w:color="auto"/>
                          <w:left w:val="single" w:sz="4" w:space="0" w:color="000000"/>
                          <w:bottom w:val="single" w:sz="4" w:space="0" w:color="000000"/>
                          <w:right w:val="single" w:sz="4" w:space="0" w:color="000000"/>
                        </w:tcBorders>
                      </w:tcPr>
                      <w:p>
                        <w:pPr/>
                      </w:p>
                    </w:tc>
                  </w:tr>
                  <w:tr>
                    <w:trPr>
                      <w:trHeight w:val="156" w:hRule="exact"/>
                    </w:trPr>
                    <w:tc>
                      <w:tcPr>
                        <w:tcW w:w="1650" w:type="dxa"/>
                        <w:vMerge/>
                        <w:tcBorders>
                          <w:left w:val="single" w:sz="4" w:space="0" w:color="000000"/>
                          <w:bottom w:val="nil" w:sz="6" w:space="0" w:color="auto"/>
                          <w:right w:val="single" w:sz="4" w:space="0" w:color="000000"/>
                        </w:tcBorders>
                        <w:shd w:val="clear" w:color="auto" w:fill="D3D3D3"/>
                      </w:tcPr>
                      <w:p>
                        <w:pPr/>
                      </w:p>
                    </w:tc>
                    <w:tc>
                      <w:tcPr>
                        <w:tcW w:w="7912"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日第一届董事会第十一次会议审议通过，公司以募集资金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8,793,875.86 </w:t>
                        </w:r>
                        <w:r>
                          <w:rPr>
                            <w:rFonts w:ascii="宋体" w:hAnsi="宋体" w:cs="宋体" w:eastAsia="宋体" w:hint="default"/>
                            <w:sz w:val="18"/>
                            <w:szCs w:val="18"/>
                          </w:rPr>
                          <w:t>元置 </w:t>
                        </w:r>
                        <w:r>
                          <w:rPr>
                            <w:rFonts w:ascii="宋体" w:hAnsi="宋体" w:cs="宋体" w:eastAsia="宋体" w:hint="default"/>
                            <w:spacing w:val="-2"/>
                            <w:sz w:val="18"/>
                            <w:szCs w:val="18"/>
                          </w:rPr>
                          <w:t>换预先已投入募投项目的自筹资金。本次置换业经深圳市鹏城会计师事务所有限公司核验并出具了深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鹏所股专字</w:t>
                        </w:r>
                        <w:r>
                          <w:rPr>
                            <w:rFonts w:ascii="Times New Roman" w:hAnsi="Times New Roman" w:cs="Times New Roman" w:eastAsia="Times New Roman" w:hint="default"/>
                            <w:sz w:val="18"/>
                            <w:szCs w:val="18"/>
                          </w:rPr>
                          <w:t>[2010]438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号鉴证报告。独立董事和保荐机构均对本次置换发表了同意意见。</w:t>
                        </w:r>
                      </w:p>
                    </w:tc>
                  </w:tr>
                  <w:tr>
                    <w:trPr>
                      <w:trHeight w:val="313"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7912" w:type="dxa"/>
                        <w:vMerge/>
                        <w:tcBorders>
                          <w:left w:val="single" w:sz="4" w:space="0" w:color="000000"/>
                          <w:right w:val="single" w:sz="4" w:space="0" w:color="000000"/>
                        </w:tcBorders>
                      </w:tcPr>
                      <w:p>
                        <w:pPr/>
                      </w:p>
                    </w:tc>
                  </w:tr>
                  <w:tr>
                    <w:trPr>
                      <w:trHeight w:val="557"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2" w:type="dxa"/>
                        <w:vMerge/>
                        <w:tcBorders>
                          <w:left w:val="single" w:sz="4" w:space="0" w:color="000000"/>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912"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日第三届董事会第十三次会议决议审议通过，同意公司使用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万元超募</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资金暂时补充公司流动资金，使用期限自董事会审议通过之日起不超过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个月。公司于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实际使用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万元超募资金暂时补充公司流动资金，并于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月全部归还至公司募集资金专 户。</w:t>
                        </w:r>
                      </w:p>
                    </w:tc>
                  </w:tr>
                  <w:tr>
                    <w:trPr>
                      <w:trHeight w:val="313"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7912" w:type="dxa"/>
                        <w:vMerge/>
                        <w:tcBorders>
                          <w:left w:val="single" w:sz="4" w:space="0" w:color="000000"/>
                          <w:right w:val="single" w:sz="4" w:space="0" w:color="000000"/>
                        </w:tcBorders>
                      </w:tcPr>
                      <w:p>
                        <w:pPr/>
                      </w:p>
                    </w:tc>
                  </w:tr>
                  <w:tr>
                    <w:trPr>
                      <w:trHeight w:val="713"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2" w:type="dxa"/>
                        <w:vMerge/>
                        <w:tcBorders>
                          <w:left w:val="single" w:sz="4" w:space="0" w:color="000000"/>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791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9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165"/>
        <w:jc w:val="right"/>
      </w:pPr>
      <w:r>
        <w:rPr/>
        <w:t>。</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尚未使用的募集资金均存放在公司募集资金专项账户。</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59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4" w:right="707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公司报告期未出售重大资产。</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600" w:bottom="280" w:left="980" w:right="980"/>
          <w:cols w:num="2" w:equalWidth="0">
            <w:col w:w="4849" w:space="407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648"/>
        <w:gridCol w:w="2126"/>
        <w:gridCol w:w="708"/>
        <w:gridCol w:w="850"/>
        <w:gridCol w:w="1045"/>
        <w:gridCol w:w="1045"/>
        <w:gridCol w:w="1045"/>
        <w:gridCol w:w="1046"/>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9" w:right="4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北京亿美软 通科技有限 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为国内外企业提供移动通 讯服务和移动互联网应用 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157" w:right="0"/>
              <w:jc w:val="center"/>
              <w:rPr>
                <w:rFonts w:ascii="Times New Roman" w:hAnsi="Times New Roman" w:cs="Times New Roman" w:eastAsia="Times New Roman" w:hint="default"/>
                <w:sz w:val="18"/>
                <w:szCs w:val="18"/>
              </w:rPr>
            </w:pPr>
            <w:r>
              <w:rPr>
                <w:rFonts w:ascii="Times New Roman"/>
                <w:sz w:val="18"/>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400,501,0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48.73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232,971,181.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353,730,620.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98,969,626.6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84,337,364.9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深圳市科安 数字有限公 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z w:val="18"/>
                <w:szCs w:val="18"/>
              </w:rPr>
              <w:t>家居安防及相关产品的电 子商务业务。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1,020,40</w:t>
            </w:r>
          </w:p>
          <w:p>
            <w:pPr>
              <w:pStyle w:val="TableParagraph"/>
              <w:spacing w:line="240" w:lineRule="auto" w:before="106"/>
              <w:ind w:left="269"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47,098,26</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1.36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20,832,173.3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114,748,648.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12,275,327.7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10,763,640.9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34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648"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主要为本公司提供金融专</w:t>
            </w: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19"/>
              <w:jc w:val="both"/>
              <w:rPr>
                <w:rFonts w:ascii="宋体" w:hAnsi="宋体" w:cs="宋体" w:eastAsia="宋体" w:hint="default"/>
                <w:sz w:val="18"/>
                <w:szCs w:val="18"/>
              </w:rPr>
            </w:pPr>
            <w:r>
              <w:rPr>
                <w:rFonts w:ascii="宋体" w:hAnsi="宋体" w:cs="宋体" w:eastAsia="宋体" w:hint="default"/>
                <w:sz w:val="18"/>
                <w:szCs w:val="18"/>
              </w:rPr>
              <w:t>深圳市银之 杰金融设备 有限公司</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0"/>
              <w:jc w:val="both"/>
              <w:rPr>
                <w:rFonts w:ascii="宋体" w:hAnsi="宋体" w:cs="宋体" w:eastAsia="宋体" w:hint="default"/>
                <w:sz w:val="18"/>
                <w:szCs w:val="18"/>
              </w:rPr>
            </w:pPr>
            <w:r>
              <w:rPr>
                <w:rFonts w:ascii="宋体" w:hAnsi="宋体" w:cs="宋体" w:eastAsia="宋体" w:hint="default"/>
                <w:sz w:val="18"/>
                <w:szCs w:val="18"/>
              </w:rPr>
              <w:t>用设备的组装加工生产服 务和部分核心技术的开发 </w:t>
            </w:r>
            <w:r>
              <w:rPr>
                <w:rFonts w:ascii="宋体" w:hAnsi="宋体" w:cs="宋体" w:eastAsia="宋体" w:hint="default"/>
                <w:spacing w:val="-8"/>
                <w:sz w:val="18"/>
                <w:szCs w:val="18"/>
              </w:rPr>
              <w:t>服务，其收入销售对象是本</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29,729,43</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1.15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6,210,199.74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58,502,890.4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758,767.34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-7,718.20</w:t>
            </w:r>
          </w:p>
        </w:tc>
      </w:tr>
      <w:tr>
        <w:trPr>
          <w:trHeight w:val="31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648"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9"/>
              <w:jc w:val="center"/>
              <w:rPr>
                <w:rFonts w:ascii="宋体" w:hAnsi="宋体" w:cs="宋体" w:eastAsia="宋体" w:hint="default"/>
                <w:sz w:val="18"/>
                <w:szCs w:val="18"/>
              </w:rPr>
            </w:pPr>
            <w:r>
              <w:rPr>
                <w:rFonts w:ascii="宋体" w:hAnsi="宋体" w:cs="宋体" w:eastAsia="宋体" w:hint="default"/>
                <w:sz w:val="18"/>
                <w:szCs w:val="18"/>
              </w:rPr>
              <w:t>公司，再由本公司对外销</w:t>
            </w: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54"/>
        <w:gridCol w:w="648"/>
        <w:gridCol w:w="2126"/>
        <w:gridCol w:w="708"/>
        <w:gridCol w:w="850"/>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648"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主要为本公司提供金融专</w:t>
            </w: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深圳市银之 杰技术开发 有限公司</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业设备产品的底层控制软 件及终端应用软件技术的 </w:t>
            </w:r>
            <w:r>
              <w:rPr>
                <w:rFonts w:ascii="宋体" w:hAnsi="宋体" w:cs="宋体" w:eastAsia="宋体" w:hint="default"/>
                <w:spacing w:val="-8"/>
                <w:sz w:val="18"/>
                <w:szCs w:val="18"/>
              </w:rPr>
              <w:t>开发服务，其收入销售对象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是本公司，再由本公司组成</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7" w:right="0"/>
              <w:jc w:val="left"/>
              <w:rPr>
                <w:rFonts w:ascii="Times New Roman" w:hAnsi="Times New Roman" w:cs="Times New Roman" w:eastAsia="Times New Roman" w:hint="default"/>
                <w:sz w:val="18"/>
                <w:szCs w:val="18"/>
              </w:rPr>
            </w:pPr>
            <w:r>
              <w:rPr>
                <w:rFonts w:ascii="Times New Roman"/>
                <w:sz w:val="18"/>
              </w:rPr>
              <w:t>18,739,84</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9.41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4,506,695.39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13,337,521.3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11,606,310.3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11,318,369.0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648"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产品对外销售。</w:t>
            </w: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90"/>
        <w:jc w:val="left"/>
      </w:pPr>
      <w:r>
        <w:rPr/>
        <w:t>报告期内取得和处置子公司的情况</w:t>
      </w:r>
    </w:p>
    <w:p>
      <w:pPr>
        <w:pStyle w:val="BodyText"/>
        <w:spacing w:line="338" w:lineRule="auto" w:before="117"/>
        <w:ind w:right="7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主要控股参股公司情况说明</w:t>
      </w:r>
    </w:p>
    <w:p>
      <w:pPr>
        <w:pStyle w:val="BodyText"/>
        <w:spacing w:line="451" w:lineRule="auto" w:before="119"/>
        <w:ind w:left="514" w:right="210"/>
        <w:jc w:val="left"/>
      </w:pPr>
      <w:r>
        <w:rPr>
          <w:rFonts w:ascii="Times New Roman" w:hAnsi="Times New Roman" w:cs="Times New Roman" w:eastAsia="Times New Roman" w:hint="default"/>
        </w:rPr>
        <w:t>1</w:t>
      </w:r>
      <w:r>
        <w:rPr/>
        <w:t>、北京亿美软通科技有限公司 亿美软通是公司的全资子公司，公司持有其</w:t>
      </w:r>
      <w:r>
        <w:rPr>
          <w:rFonts w:ascii="Times New Roman" w:hAnsi="Times New Roman" w:cs="Times New Roman" w:eastAsia="Times New Roman" w:hint="default"/>
        </w:rPr>
        <w:t>100%</w:t>
      </w:r>
      <w:r>
        <w:rPr/>
        <w:t>的股权。亿美软通成立于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15</w:t>
      </w:r>
      <w:r>
        <w:rPr/>
        <w:t>日，住所为北京市海淀区紫竹</w:t>
      </w:r>
    </w:p>
    <w:p>
      <w:pPr>
        <w:pStyle w:val="BodyText"/>
        <w:spacing w:line="468" w:lineRule="auto" w:before="43"/>
        <w:ind w:right="188"/>
        <w:jc w:val="both"/>
      </w:pPr>
      <w:r>
        <w:rPr/>
        <w:t>院路</w:t>
      </w:r>
      <w:r>
        <w:rPr>
          <w:rFonts w:ascii="Times New Roman" w:hAnsi="Times New Roman" w:cs="Times New Roman" w:eastAsia="Times New Roman" w:hint="default"/>
        </w:rPr>
        <w:t>62</w:t>
      </w:r>
      <w:r>
        <w:rPr/>
        <w:t>号</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4041</w:t>
      </w:r>
      <w:r>
        <w:rPr/>
        <w:t>室，注册资本人民币</w:t>
      </w:r>
      <w:r>
        <w:rPr>
          <w:rFonts w:ascii="Times New Roman" w:hAnsi="Times New Roman" w:cs="Times New Roman" w:eastAsia="Times New Roman" w:hint="default"/>
        </w:rPr>
        <w:t>20,000</w:t>
      </w:r>
      <w:r>
        <w:rPr/>
        <w:t>万元，法定代表人为冯军。经营范围为第二类增值电信业务中的信息服务业 </w:t>
      </w:r>
      <w:r>
        <w:rPr>
          <w:spacing w:val="-2"/>
        </w:rPr>
        <w:t>务（不含固定网电话信息服务）；技术开发、技术咨询、技术转让、技术服务；计算机技术培训；应用软件服务（不含医用</w:t>
      </w:r>
      <w:r>
        <w:rPr>
          <w:spacing w:val="-72"/>
        </w:rPr>
        <w:t> </w:t>
      </w:r>
      <w:r>
        <w:rPr>
          <w:spacing w:val="-72"/>
        </w:rPr>
      </w:r>
      <w:r>
        <w:rPr>
          <w:spacing w:val="-5"/>
        </w:rPr>
        <w:t>软件服务）；基础软件服务；计算机系统服务；销售自行开发后的产品；代理、发布广告。</w:t>
      </w:r>
      <w:r>
        <w:rPr>
          <w:spacing w:val="18"/>
        </w:rPr>
        <w:t> </w:t>
      </w:r>
      <w:r>
        <w:rPr/>
        <w:t>第二类增值电信业务中的信息服</w:t>
      </w:r>
      <w:r>
        <w:rPr>
          <w:spacing w:val="-85"/>
        </w:rPr>
        <w:t> </w:t>
      </w:r>
      <w:r>
        <w:rPr>
          <w:spacing w:val="-85"/>
        </w:rPr>
      </w:r>
      <w:r>
        <w:rPr>
          <w:spacing w:val="-6"/>
        </w:rPr>
        <w:t>务业务（不含固定网电话信息服务）。</w:t>
      </w:r>
    </w:p>
    <w:p>
      <w:pPr>
        <w:pStyle w:val="BodyText"/>
        <w:spacing w:line="458" w:lineRule="auto" w:before="61"/>
        <w:ind w:right="90" w:firstLine="36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日，亿美软通总资产、净资产较上年末相比分别增长</w:t>
      </w:r>
      <w:r>
        <w:rPr>
          <w:rFonts w:ascii="Times New Roman" w:hAnsi="Times New Roman" w:cs="Times New Roman" w:eastAsia="Times New Roman" w:hint="default"/>
        </w:rPr>
        <w:t>71.50%</w:t>
      </w:r>
      <w:r>
        <w:rPr/>
        <w:t>、</w:t>
      </w:r>
      <w:r>
        <w:rPr>
          <w:rFonts w:ascii="Times New Roman" w:hAnsi="Times New Roman" w:cs="Times New Roman" w:eastAsia="Times New Roman" w:hint="default"/>
        </w:rPr>
        <w:t>81.11%</w:t>
      </w:r>
      <w:r>
        <w:rPr/>
        <w:t>。本报告期，亿美软通营业收 入、营业利润、净利润较</w:t>
      </w:r>
      <w:r>
        <w:rPr>
          <w:rFonts w:ascii="Times New Roman" w:hAnsi="Times New Roman" w:cs="Times New Roman" w:eastAsia="Times New Roman" w:hint="default"/>
        </w:rPr>
        <w:t>2014</w:t>
      </w:r>
      <w:r>
        <w:rPr/>
        <w:t>年度相比分别增长</w:t>
      </w:r>
      <w:r>
        <w:rPr>
          <w:rFonts w:ascii="Times New Roman" w:hAnsi="Times New Roman" w:cs="Times New Roman" w:eastAsia="Times New Roman" w:hint="default"/>
        </w:rPr>
        <w:t>33.02%</w:t>
      </w:r>
      <w:r>
        <w:rPr/>
        <w:t>、</w:t>
      </w:r>
      <w:r>
        <w:rPr>
          <w:rFonts w:ascii="Times New Roman" w:hAnsi="Times New Roman" w:cs="Times New Roman" w:eastAsia="Times New Roman" w:hint="default"/>
        </w:rPr>
        <w:t>89.66%</w:t>
      </w:r>
      <w:r>
        <w:rPr/>
        <w:t>、</w:t>
      </w:r>
      <w:r>
        <w:rPr>
          <w:rFonts w:ascii="Times New Roman" w:hAnsi="Times New Roman" w:cs="Times New Roman" w:eastAsia="Times New Roman" w:hint="default"/>
        </w:rPr>
        <w:t>91.64%</w:t>
      </w:r>
      <w:r>
        <w:rPr/>
        <w:t>，主要原因系报告期内亿美软通依托移动互联网 </w:t>
      </w:r>
      <w:r>
        <w:rPr>
          <w:spacing w:val="-4"/>
        </w:rPr>
        <w:t>时代的发展趋势，发挥在市场渠道、技术、人才、行业品牌等方面的核心竞争优势，充分利用本公司各项业务协同发展资源，</w:t>
      </w:r>
      <w:r>
        <w:rPr>
          <w:spacing w:val="-44"/>
        </w:rPr>
        <w:t> </w:t>
      </w:r>
      <w:r>
        <w:rPr>
          <w:spacing w:val="-44"/>
        </w:rPr>
      </w:r>
      <w:r>
        <w:rPr/>
        <w:t>在移动商务服务领域不断渗透，实现自身业绩的较快增长。</w:t>
      </w:r>
    </w:p>
    <w:p>
      <w:pPr>
        <w:pStyle w:val="BodyText"/>
        <w:spacing w:line="451" w:lineRule="auto" w:before="68"/>
        <w:ind w:left="514" w:right="210"/>
        <w:jc w:val="left"/>
      </w:pPr>
      <w:r>
        <w:rPr>
          <w:rFonts w:ascii="Times New Roman" w:hAnsi="Times New Roman" w:cs="Times New Roman" w:eastAsia="Times New Roman" w:hint="default"/>
        </w:rPr>
        <w:t>2</w:t>
      </w:r>
      <w:r>
        <w:rPr/>
        <w:t>、深圳市科安数字有限公司 科安数字是公司的控股子公司，公司持有其</w:t>
      </w:r>
      <w:r>
        <w:rPr>
          <w:rFonts w:ascii="Times New Roman" w:hAnsi="Times New Roman" w:cs="Times New Roman" w:eastAsia="Times New Roman" w:hint="default"/>
        </w:rPr>
        <w:t>51%</w:t>
      </w:r>
      <w:r>
        <w:rPr/>
        <w:t>的股权。科安数字成立于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日，住所为深圳市龙岗区坂田街</w:t>
      </w:r>
    </w:p>
    <w:p>
      <w:pPr>
        <w:pStyle w:val="BodyText"/>
        <w:spacing w:line="463" w:lineRule="auto" w:before="43"/>
        <w:ind w:right="90"/>
        <w:jc w:val="left"/>
      </w:pPr>
      <w:r>
        <w:rPr/>
        <w:t>道马安堂社区中心路</w:t>
      </w:r>
      <w:r>
        <w:rPr>
          <w:rFonts w:ascii="Times New Roman" w:hAnsi="Times New Roman" w:cs="Times New Roman" w:eastAsia="Times New Roman" w:hint="default"/>
        </w:rPr>
        <w:t>105</w:t>
      </w:r>
      <w:r>
        <w:rPr/>
        <w:t>号儒骏大厦</w:t>
      </w:r>
      <w:r>
        <w:rPr>
          <w:rFonts w:ascii="Times New Roman" w:hAnsi="Times New Roman" w:cs="Times New Roman" w:eastAsia="Times New Roman" w:hint="default"/>
        </w:rPr>
        <w:t>4</w:t>
      </w:r>
      <w:r>
        <w:rPr/>
        <w:t>楼，注册资本人民币</w:t>
      </w:r>
      <w:r>
        <w:rPr>
          <w:rFonts w:ascii="Times New Roman" w:hAnsi="Times New Roman" w:cs="Times New Roman" w:eastAsia="Times New Roman" w:hint="default"/>
        </w:rPr>
        <w:t>102.04</w:t>
      </w:r>
      <w:r>
        <w:rPr/>
        <w:t>万元，法定代表人为李俊。经营范围为经营电子商务；安防 监控产品、计算机软硬件产品的技术开发；国内贸易；经营进出口业务。数码产品、电脑周边产品、硬盘录像机、摄像头、 监控摄像、网络摄像机及其他电子产品的生产与销售。</w:t>
      </w:r>
    </w:p>
    <w:p>
      <w:pPr>
        <w:pStyle w:val="BodyText"/>
        <w:spacing w:line="458" w:lineRule="auto" w:before="65"/>
        <w:ind w:right="90" w:firstLine="36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日，科安数字总资产、净资产较上年末相比分别增长</w:t>
      </w:r>
      <w:r>
        <w:rPr>
          <w:rFonts w:ascii="Times New Roman" w:hAnsi="Times New Roman" w:cs="Times New Roman" w:eastAsia="Times New Roman" w:hint="default"/>
        </w:rPr>
        <w:t>236.34%</w:t>
      </w:r>
      <w:r>
        <w:rPr/>
        <w:t>、</w:t>
      </w:r>
      <w:r>
        <w:rPr>
          <w:rFonts w:ascii="Times New Roman" w:hAnsi="Times New Roman" w:cs="Times New Roman" w:eastAsia="Times New Roman" w:hint="default"/>
        </w:rPr>
        <w:t>194.72%</w:t>
      </w:r>
      <w:r>
        <w:rPr/>
        <w:t>。本报告期，科安数字营业 </w:t>
      </w:r>
      <w:r>
        <w:rPr>
          <w:spacing w:val="-1"/>
        </w:rPr>
        <w:t>收入、营业利润、净利润较</w:t>
      </w:r>
      <w:r>
        <w:rPr>
          <w:rFonts w:ascii="Times New Roman" w:hAnsi="Times New Roman" w:cs="Times New Roman" w:eastAsia="Times New Roman" w:hint="default"/>
          <w:spacing w:val="-1"/>
        </w:rPr>
        <w:t>2014</w:t>
      </w:r>
      <w:r>
        <w:rPr>
          <w:spacing w:val="-1"/>
        </w:rPr>
        <w:t>年度相比分别增长</w:t>
      </w:r>
      <w:r>
        <w:rPr>
          <w:rFonts w:ascii="Times New Roman" w:hAnsi="Times New Roman" w:cs="Times New Roman" w:eastAsia="Times New Roman" w:hint="default"/>
          <w:spacing w:val="-1"/>
        </w:rPr>
        <w:t>392.46%</w:t>
      </w:r>
      <w:r>
        <w:rPr>
          <w:spacing w:val="-1"/>
        </w:rPr>
        <w:t>、</w:t>
      </w:r>
      <w:r>
        <w:rPr>
          <w:rFonts w:ascii="Times New Roman" w:hAnsi="Times New Roman" w:cs="Times New Roman" w:eastAsia="Times New Roman" w:hint="default"/>
          <w:spacing w:val="-1"/>
        </w:rPr>
        <w:t>301.68%</w:t>
      </w:r>
      <w:r>
        <w:rPr>
          <w:spacing w:val="-1"/>
        </w:rPr>
        <w:t>、</w:t>
      </w:r>
      <w:r>
        <w:rPr>
          <w:rFonts w:ascii="Times New Roman" w:hAnsi="Times New Roman" w:cs="Times New Roman" w:eastAsia="Times New Roman" w:hint="default"/>
          <w:spacing w:val="-1"/>
        </w:rPr>
        <w:t>311.41%</w:t>
      </w:r>
      <w:r>
        <w:rPr>
          <w:spacing w:val="-1"/>
        </w:rPr>
        <w:t>，主要原因系报告期内科安数字凭借其在产</w:t>
      </w:r>
      <w:r>
        <w:rPr>
          <w:spacing w:val="-66"/>
        </w:rPr>
        <w:t> </w:t>
      </w:r>
      <w:r>
        <w:rPr>
          <w:spacing w:val="-66"/>
        </w:rPr>
      </w:r>
      <w:r>
        <w:rPr>
          <w:spacing w:val="-2"/>
        </w:rPr>
        <w:t>品解决方案和电商渠道方面的优势，以及本公司上市公司的平台优势，电商产品服务区域覆盖区域大幅增加，电子商务业务</w:t>
      </w:r>
      <w:r>
        <w:rPr>
          <w:spacing w:val="-66"/>
        </w:rPr>
        <w:t> </w:t>
      </w:r>
      <w:r>
        <w:rPr>
          <w:spacing w:val="-66"/>
        </w:rPr>
      </w:r>
      <w:r>
        <w:rPr/>
        <w:t>迅速发展，经营业绩大幅增长。</w:t>
      </w:r>
    </w:p>
    <w:p>
      <w:pPr>
        <w:spacing w:line="240" w:lineRule="auto" w:before="8"/>
        <w:rPr>
          <w:rFonts w:ascii="宋体" w:hAnsi="宋体" w:cs="宋体" w:eastAsia="宋体" w:hint="default"/>
          <w:sz w:val="18"/>
          <w:szCs w:val="18"/>
        </w:rPr>
      </w:pPr>
    </w:p>
    <w:p>
      <w:pPr>
        <w:pStyle w:val="Heading2"/>
        <w:spacing w:line="240" w:lineRule="auto"/>
        <w:ind w:right="9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90"/>
        <w:jc w:val="left"/>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4" w:right="90"/>
        <w:jc w:val="left"/>
      </w:pPr>
      <w:r>
        <w:rPr>
          <w:rFonts w:ascii="宋体" w:hAnsi="宋体" w:cs="宋体" w:eastAsia="宋体" w:hint="default"/>
          <w:b/>
          <w:bCs/>
        </w:rPr>
        <w:t>（一）行业格局和趋势</w:t>
      </w:r>
      <w:r>
        <w:rPr>
          <w:rFonts w:ascii="宋体" w:hAnsi="宋体" w:cs="宋体" w:eastAsia="宋体" w:hint="default"/>
          <w:b/>
          <w:bCs/>
          <w:w w:val="99"/>
        </w:rPr>
        <w:t> </w:t>
      </w:r>
      <w:r>
        <w:rPr>
          <w:spacing w:val="-2"/>
        </w:rPr>
        <w:t>按照公司既定的战略发展规划，公司的主营业务已经从金融信息化向互联网金融综合服务领域延伸发展。</w:t>
      </w:r>
      <w:r>
        <w:rPr>
          <w:rFonts w:ascii="Times New Roman" w:hAnsi="Times New Roman" w:cs="Times New Roman" w:eastAsia="Times New Roman" w:hint="default"/>
          <w:spacing w:val="-2"/>
        </w:rPr>
        <w:t>2013</w:t>
      </w:r>
      <w:r>
        <w:rPr>
          <w:spacing w:val="-2"/>
        </w:rPr>
        <w:t>年起，随</w:t>
      </w:r>
    </w:p>
    <w:p>
      <w:pPr>
        <w:pStyle w:val="BodyText"/>
        <w:spacing w:line="477" w:lineRule="auto" w:before="21"/>
        <w:ind w:left="153" w:right="90"/>
        <w:jc w:val="left"/>
      </w:pPr>
      <w:r>
        <w:rPr>
          <w:spacing w:val="-2"/>
        </w:rPr>
        <w:t>着互联网金融元年的到来，移动互联网、互联网金融、大数据等新兴产业迅猛发展，公司积极探索，迅速把握历史机遇，凭</w:t>
      </w:r>
      <w:r>
        <w:rPr>
          <w:spacing w:val="-67"/>
        </w:rPr>
        <w:t> </w:t>
      </w:r>
      <w:r>
        <w:rPr>
          <w:spacing w:val="-67"/>
        </w:rPr>
      </w:r>
      <w:r>
        <w:rPr>
          <w:spacing w:val="-4"/>
        </w:rPr>
        <w:t>借丰富的行业经验、广泛的客户资源以及深厚的技术实力，充分利用资本市场平台优势，通过对外投资计划和实施收购兼并，</w:t>
      </w:r>
      <w:r>
        <w:rPr>
          <w:spacing w:val="-44"/>
        </w:rPr>
        <w:t> </w:t>
      </w:r>
      <w:r>
        <w:rPr>
          <w:spacing w:val="-44"/>
        </w:rPr>
      </w:r>
      <w:r>
        <w:rPr/>
        <w:t>大力拓展新业务，在互联网金融领域进行了一系列的布局，为企业打开了全新的发展局面。</w:t>
      </w:r>
    </w:p>
    <w:p>
      <w:pPr>
        <w:pStyle w:val="BodyText"/>
        <w:spacing w:line="240" w:lineRule="auto" w:before="54"/>
        <w:ind w:left="513" w:right="90"/>
        <w:jc w:val="left"/>
      </w:pPr>
      <w:r>
        <w:rPr>
          <w:rFonts w:ascii="Times New Roman" w:hAnsi="Times New Roman" w:cs="Times New Roman" w:eastAsia="Times New Roman" w:hint="default"/>
        </w:rPr>
        <w:t>1</w:t>
      </w:r>
      <w:r>
        <w:rPr/>
        <w:t>、金融信息化行业领域的发展趋势</w:t>
      </w:r>
    </w:p>
    <w:p>
      <w:pPr>
        <w:spacing w:line="240" w:lineRule="auto" w:before="9"/>
        <w:rPr>
          <w:rFonts w:ascii="宋体" w:hAnsi="宋体" w:cs="宋体" w:eastAsia="宋体" w:hint="default"/>
          <w:sz w:val="16"/>
          <w:szCs w:val="16"/>
        </w:rPr>
      </w:pPr>
    </w:p>
    <w:p>
      <w:pPr>
        <w:pStyle w:val="BodyText"/>
        <w:spacing w:line="468" w:lineRule="auto"/>
        <w:ind w:left="153" w:right="91" w:firstLine="360"/>
        <w:jc w:val="left"/>
      </w:pPr>
      <w:r>
        <w:rPr/>
        <w:t>根据中国产业信息网发布的《</w:t>
      </w:r>
      <w:r>
        <w:rPr>
          <w:rFonts w:ascii="Times New Roman" w:hAnsi="Times New Roman" w:cs="Times New Roman" w:eastAsia="Times New Roman" w:hint="default"/>
        </w:rPr>
        <w:t>2015-2020</w:t>
      </w:r>
      <w:r>
        <w:rPr/>
        <w:t>年中国银行市场调查运营及投资趋势分析报告》指出：我国银行信息化建设不 </w:t>
      </w:r>
      <w:r>
        <w:rPr>
          <w:spacing w:val="-2"/>
        </w:rPr>
        <w:t>断深化，经历了从无到有，从小到大：业务应用范围也从单一项目到综合业务服务；业务经营模式从分散处理到逐步进行业</w:t>
      </w:r>
      <w:r>
        <w:rPr>
          <w:spacing w:val="-66"/>
        </w:rPr>
        <w:t> </w:t>
      </w:r>
      <w:r>
        <w:rPr>
          <w:spacing w:val="-66"/>
        </w:rPr>
      </w:r>
      <w:r>
        <w:rPr/>
        <w:t>务集中管理，并实现了业务系统的全国联网运行。当前，随着我国互联网技术的发展，互联网对银行行业的渗透正在加速； </w:t>
      </w:r>
      <w:r>
        <w:rPr>
          <w:spacing w:val="-2"/>
        </w:rPr>
        <w:t>同时，随着一些信息安全事件的发生，国家已将安全可控提升到了战略高度，银行</w:t>
      </w:r>
      <w:r>
        <w:rPr>
          <w:rFonts w:ascii="Times New Roman" w:hAnsi="Times New Roman" w:cs="Times New Roman" w:eastAsia="Times New Roman" w:hint="default"/>
          <w:spacing w:val="-2"/>
        </w:rPr>
        <w:t>IT</w:t>
      </w:r>
      <w:r>
        <w:rPr>
          <w:spacing w:val="-2"/>
        </w:rPr>
        <w:t>也启动了相应的国产替代进程。我国银</w:t>
      </w:r>
      <w:r>
        <w:rPr>
          <w:spacing w:val="-52"/>
        </w:rPr>
        <w:t> </w:t>
      </w:r>
      <w:r>
        <w:rPr>
          <w:spacing w:val="-52"/>
        </w:rPr>
      </w:r>
      <w:r>
        <w:rPr>
          <w:spacing w:val="-2"/>
        </w:rPr>
        <w:t>行信息化建设正迈向互联网化、国产化、差异化。因此，银行等金融机构需要更多的管理创新、产品创新与服务创新，从而</w:t>
      </w:r>
      <w:r>
        <w:rPr>
          <w:spacing w:val="-67"/>
        </w:rPr>
        <w:t> </w:t>
      </w:r>
      <w:r>
        <w:rPr>
          <w:spacing w:val="-67"/>
        </w:rPr>
      </w:r>
      <w:r>
        <w:rPr/>
        <w:t>加快银行等金融行业信息化建设的步伐。</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日，央行进一步推动利率市场化改革，取消金融机构贷款利率</w:t>
      </w:r>
      <w:r>
        <w:rPr>
          <w:rFonts w:ascii="Times New Roman" w:hAnsi="Times New Roman" w:cs="Times New Roman" w:eastAsia="Times New Roman" w:hint="default"/>
        </w:rPr>
        <w:t>0.7</w:t>
      </w:r>
      <w:r>
        <w:rPr/>
        <w:t>倍的 </w:t>
      </w:r>
      <w:r>
        <w:rPr>
          <w:spacing w:val="-2"/>
        </w:rPr>
        <w:t>下限，由金融机构根据商业原则自主确定贷款利率水平。随着人民币利率市场化来临，银行盈利空间下降对运营成本形成新</w:t>
      </w:r>
      <w:r>
        <w:rPr>
          <w:spacing w:val="-66"/>
        </w:rPr>
        <w:t> </w:t>
      </w:r>
      <w:r>
        <w:rPr>
          <w:spacing w:val="-66"/>
        </w:rPr>
      </w:r>
      <w:r>
        <w:rPr>
          <w:spacing w:val="-2"/>
        </w:rPr>
        <w:t>的压力，因此，通过智能化、虚拟化的业务处理手段，促进银行网点向小型化、自助化转变是行业趋势，从而为公司自助终</w:t>
      </w:r>
      <w:r>
        <w:rPr>
          <w:spacing w:val="-68"/>
        </w:rPr>
        <w:t> </w:t>
      </w:r>
      <w:r>
        <w:rPr>
          <w:spacing w:val="-68"/>
        </w:rPr>
      </w:r>
      <w:r>
        <w:rPr>
          <w:spacing w:val="-2"/>
        </w:rPr>
        <w:t>端产品提供了重要的市场机遇。同时，银行日益重视风险控制，不断采用新的技术手段提升风控水平，也为公司的风险防范</w:t>
      </w:r>
      <w:r>
        <w:rPr>
          <w:spacing w:val="-66"/>
        </w:rPr>
        <w:t> </w:t>
      </w:r>
      <w:r>
        <w:rPr>
          <w:spacing w:val="-66"/>
        </w:rPr>
      </w:r>
      <w:r>
        <w:rPr/>
        <w:t>产品提供了广泛的应用需求。</w:t>
      </w:r>
    </w:p>
    <w:p>
      <w:pPr>
        <w:pStyle w:val="BodyText"/>
        <w:spacing w:line="240" w:lineRule="auto" w:before="61"/>
        <w:ind w:left="514" w:right="90"/>
        <w:jc w:val="left"/>
      </w:pPr>
      <w:r>
        <w:rPr>
          <w:rFonts w:ascii="Times New Roman" w:hAnsi="Times New Roman" w:cs="Times New Roman" w:eastAsia="Times New Roman" w:hint="default"/>
        </w:rPr>
        <w:t>2</w:t>
      </w:r>
      <w:r>
        <w:rPr/>
        <w:t>、新兴金融行业领域的发展趋势</w:t>
      </w:r>
    </w:p>
    <w:p>
      <w:pPr>
        <w:spacing w:line="240" w:lineRule="auto" w:before="9"/>
        <w:rPr>
          <w:rFonts w:ascii="宋体" w:hAnsi="宋体" w:cs="宋体" w:eastAsia="宋体" w:hint="default"/>
          <w:sz w:val="16"/>
          <w:szCs w:val="16"/>
        </w:rPr>
      </w:pPr>
    </w:p>
    <w:p>
      <w:pPr>
        <w:pStyle w:val="BodyText"/>
        <w:spacing w:line="456" w:lineRule="auto"/>
        <w:ind w:right="162" w:firstLine="360"/>
        <w:jc w:val="both"/>
      </w:pPr>
      <w:r>
        <w:rPr>
          <w:rFonts w:ascii="Times New Roman" w:hAnsi="Times New Roman" w:cs="Times New Roman" w:eastAsia="Times New Roman" w:hint="default"/>
        </w:rPr>
        <w:t>2013</w:t>
      </w:r>
      <w:r>
        <w:rPr/>
        <w:t>年以来，一系列有利于互联网金融发展的政策相继出台。</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日，国务院推出措施，推动民营资本进入金 </w:t>
      </w:r>
      <w:r>
        <w:rPr>
          <w:spacing w:val="-2"/>
        </w:rPr>
        <w:t>融业，鼓励金融创新；</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日，金融“国十条”出台，再次强调要扩大民间资本进入金融业，明确了民资进入金融业</w:t>
      </w:r>
      <w:r>
        <w:rPr>
          <w:spacing w:val="-59"/>
        </w:rPr>
        <w:t> </w:t>
      </w:r>
      <w:r>
        <w:rPr>
          <w:spacing w:val="-59"/>
        </w:rPr>
      </w:r>
      <w:r>
        <w:rPr/>
        <w:t>的改革政策。十八届三中全会提出，发展“普惠”金融，鼓励金融创新，丰富金融市场层次和产品。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月，银监会宣 布对组织架构进行调整，成立了普惠金融工作部负责小额贷款、网络借贷等行业的监管。直到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月，李克强总理在政 府工作报告中首次提出“互联网</w:t>
      </w:r>
      <w:r>
        <w:rPr>
          <w:rFonts w:ascii="Times New Roman" w:hAnsi="Times New Roman" w:cs="Times New Roman" w:eastAsia="Times New Roman" w:hint="default"/>
        </w:rPr>
        <w:t>+</w:t>
      </w:r>
      <w:r>
        <w:rPr/>
        <w:t>”行动计划，将“互联网</w:t>
      </w:r>
      <w:r>
        <w:rPr>
          <w:rFonts w:ascii="Times New Roman" w:hAnsi="Times New Roman" w:cs="Times New Roman" w:eastAsia="Times New Roman" w:hint="default"/>
        </w:rPr>
        <w:t>+</w:t>
      </w:r>
      <w:r>
        <w:rPr/>
        <w:t>”上升到国家战略层面。报告提到制定“互联网</w:t>
      </w:r>
      <w:r>
        <w:rPr>
          <w:rFonts w:ascii="Times New Roman" w:hAnsi="Times New Roman" w:cs="Times New Roman" w:eastAsia="Times New Roman" w:hint="default"/>
        </w:rPr>
        <w:t>+</w:t>
      </w:r>
      <w:r>
        <w:rPr/>
        <w:t>”行动计划， </w:t>
      </w:r>
      <w:r>
        <w:rPr>
          <w:spacing w:val="-2"/>
        </w:rPr>
        <w:t>推动移动互联网、云计算、大数据、物联网等与现代制造业结合，促进电子商务、工业互联网和互联网金融健康发展，引导</w:t>
      </w:r>
      <w:r>
        <w:rPr>
          <w:spacing w:val="-67"/>
        </w:rPr>
        <w:t> </w:t>
      </w:r>
      <w:r>
        <w:rPr>
          <w:spacing w:val="-67"/>
        </w:rPr>
      </w:r>
      <w:r>
        <w:rPr/>
        <w:t>互联网企业拓展国际市场。</w:t>
      </w:r>
    </w:p>
    <w:p>
      <w:pPr>
        <w:pStyle w:val="BodyText"/>
        <w:spacing w:line="458" w:lineRule="auto" w:before="70"/>
        <w:ind w:right="90" w:firstLine="360"/>
        <w:jc w:val="left"/>
      </w:pPr>
      <w:r>
        <w:rPr>
          <w:spacing w:val="-4"/>
        </w:rPr>
        <w:t>金融行业是传统行业中与互联网相结合的一个重点行业，随着金融工具的成熟和金融产品市场的逐步完善，结合大数据、</w:t>
      </w:r>
      <w:r>
        <w:rPr/>
        <w:t> 云平台等的互联网手段，可以在有效降低金融行业销售、运营成本的同时，提高金融行业的盈利能力和盈利水平。从</w:t>
      </w:r>
      <w:r>
        <w:rPr>
          <w:rFonts w:ascii="Times New Roman" w:hAnsi="Times New Roman" w:cs="Times New Roman" w:eastAsia="Times New Roman" w:hint="default"/>
        </w:rPr>
        <w:t>2014 </w:t>
      </w:r>
      <w:r>
        <w:rPr>
          <w:spacing w:val="-2"/>
        </w:rPr>
        <w:t>年开始，互联网金融已连续三年被写入政府工作报告，从最初提出促进互联网金融发展，到</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日政府工作报告中提</w:t>
      </w:r>
      <w:r>
        <w:rPr>
          <w:spacing w:val="-60"/>
        </w:rPr>
        <w:t> </w:t>
      </w:r>
      <w:r>
        <w:rPr>
          <w:spacing w:val="-2"/>
        </w:rPr>
        <w:t>出要“规范发展互联网金融”。随着国家相关政策和措施的不断出台，互联网金融服务行业将迎来更加广阔的发展空间。近</w:t>
      </w:r>
    </w:p>
    <w:p>
      <w:pPr>
        <w:spacing w:after="0" w:line="458"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0"/>
        <w:jc w:val="left"/>
      </w:pPr>
      <w:r>
        <w:rPr>
          <w:spacing w:val="-2"/>
        </w:rPr>
        <w:t>几年，国家政策的大力支持给互联网金融未来的健康发展提供了有力保障，互联网金融行业由野蛮增长到净化监管，“互联</w:t>
      </w:r>
      <w:r>
        <w:rPr>
          <w:spacing w:val="-72"/>
        </w:rPr>
        <w:t> </w:t>
      </w:r>
      <w:r>
        <w:rPr>
          <w:spacing w:val="-72"/>
        </w:rPr>
      </w:r>
      <w:r>
        <w:rPr/>
        <w:t>网</w:t>
      </w:r>
      <w:r>
        <w:rPr>
          <w:rFonts w:ascii="Times New Roman" w:hAnsi="Times New Roman" w:cs="Times New Roman" w:eastAsia="Times New Roman" w:hint="default"/>
        </w:rPr>
        <w:t>+</w:t>
      </w:r>
      <w:r>
        <w:rPr/>
        <w:t>”上升为国家战略，将促进互联网金融行业蓬勃发展。</w:t>
      </w:r>
    </w:p>
    <w:p>
      <w:pPr>
        <w:pStyle w:val="BodyText"/>
        <w:spacing w:line="477" w:lineRule="auto" w:before="21"/>
        <w:ind w:left="514" w:right="90"/>
        <w:jc w:val="left"/>
      </w:pPr>
      <w:r>
        <w:rPr>
          <w:rFonts w:ascii="宋体" w:hAnsi="宋体" w:cs="宋体" w:eastAsia="宋体" w:hint="default"/>
          <w:b/>
          <w:bCs/>
        </w:rPr>
        <w:t>（二）公司发展战略</w:t>
      </w:r>
      <w:r>
        <w:rPr>
          <w:rFonts w:ascii="宋体" w:hAnsi="宋体" w:cs="宋体" w:eastAsia="宋体" w:hint="default"/>
          <w:b/>
          <w:bCs/>
          <w:spacing w:val="1"/>
          <w:w w:val="99"/>
        </w:rPr>
        <w:t> </w:t>
      </w:r>
      <w:r>
        <w:rPr/>
        <w:t>目前，公司主营业务已经涉及金融信息化、移动商务服务、电子商务等多个行业领域，并且投资和布局个人征信服务、</w:t>
      </w:r>
    </w:p>
    <w:p>
      <w:pPr>
        <w:pStyle w:val="BodyText"/>
        <w:spacing w:line="477" w:lineRule="auto" w:before="54"/>
        <w:ind w:right="90"/>
        <w:jc w:val="left"/>
      </w:pPr>
      <w:r>
        <w:rPr>
          <w:spacing w:val="-2"/>
        </w:rPr>
        <w:t>票据自助金融服务、互联网保险、大数据运营服务等业务领域。未来公司将在夯实现有业务布局的基础上，继续延伸发展互</w:t>
      </w:r>
      <w:r>
        <w:rPr>
          <w:spacing w:val="-66"/>
        </w:rPr>
        <w:t> </w:t>
      </w:r>
      <w:r>
        <w:rPr>
          <w:spacing w:val="-66"/>
        </w:rPr>
      </w:r>
      <w:r>
        <w:rPr/>
        <w:t>联网金融的其他业务领域，打造以互联网、大数据为基础的综合金融服务平台。</w:t>
      </w:r>
    </w:p>
    <w:p>
      <w:pPr>
        <w:pStyle w:val="BodyText"/>
        <w:spacing w:line="460" w:lineRule="auto" w:before="54"/>
        <w:ind w:right="90" w:firstLine="360"/>
        <w:jc w:val="left"/>
      </w:pPr>
      <w:r>
        <w:rPr/>
        <w:t>互联网金融大潮涌动，围绕“金融</w:t>
      </w:r>
      <w:r>
        <w:rPr>
          <w:rFonts w:ascii="Times New Roman" w:hAnsi="Times New Roman" w:cs="Times New Roman" w:eastAsia="Times New Roman" w:hint="default"/>
        </w:rPr>
        <w:t>+</w:t>
      </w:r>
      <w:r>
        <w:rPr/>
        <w:t>互联网”的业务创新层出不穷，市场空间巨大。同时，互联网银行创新运营模式的 </w:t>
      </w:r>
      <w:r>
        <w:rPr>
          <w:spacing w:val="-2"/>
        </w:rPr>
        <w:t>出现，倒逼传统银行业务模式、业务手段发生变革。移动互联网技术和互联网金融思维相互渗透，传统金融行业与移动互联</w:t>
      </w:r>
      <w:r>
        <w:rPr>
          <w:spacing w:val="-66"/>
        </w:rPr>
        <w:t> </w:t>
      </w:r>
      <w:r>
        <w:rPr>
          <w:spacing w:val="-66"/>
        </w:rPr>
      </w:r>
      <w:r>
        <w:rPr>
          <w:spacing w:val="-4"/>
        </w:rPr>
        <w:t>网相结合，未来发展潜力无限。</w:t>
      </w:r>
      <w:r>
        <w:rPr>
          <w:rFonts w:ascii="Times New Roman" w:hAnsi="Times New Roman" w:cs="Times New Roman" w:eastAsia="Times New Roman" w:hint="default"/>
          <w:spacing w:val="-4"/>
        </w:rPr>
        <w:t>2015</w:t>
      </w:r>
      <w:r>
        <w:rPr>
          <w:spacing w:val="-4"/>
        </w:rPr>
        <w:t>年，银行、证券、保险等金融行业迎来全面互联网化，各大金融机构开始向互联网转型，</w:t>
      </w:r>
      <w:r>
        <w:rPr>
          <w:spacing w:val="-36"/>
        </w:rPr>
        <w:t> </w:t>
      </w:r>
      <w:r>
        <w:rPr>
          <w:spacing w:val="-36"/>
        </w:rPr>
      </w:r>
      <w:r>
        <w:rPr/>
        <w:t>过去以投资和房地产为导向的经济增长模式不可持续，以消费金融为代表的新经济逐步崛起，倒逼传统业务模式互联网化。 </w:t>
      </w:r>
      <w:r>
        <w:rPr>
          <w:spacing w:val="-2"/>
        </w:rPr>
        <w:t>在与银行等金融机构的合作中，公司也将转变传统的</w:t>
      </w:r>
      <w:r>
        <w:rPr>
          <w:rFonts w:ascii="Times New Roman" w:hAnsi="Times New Roman" w:cs="Times New Roman" w:eastAsia="Times New Roman" w:hint="default"/>
          <w:spacing w:val="-2"/>
        </w:rPr>
        <w:t>IT</w:t>
      </w:r>
      <w:r>
        <w:rPr>
          <w:spacing w:val="-2"/>
        </w:rPr>
        <w:t>系统服务商的角色，在个人征信等创新金融服务领域，以独立第三方</w:t>
      </w:r>
      <w:r>
        <w:rPr>
          <w:spacing w:val="-52"/>
        </w:rPr>
        <w:t> </w:t>
      </w:r>
      <w:r>
        <w:rPr>
          <w:spacing w:val="-52"/>
        </w:rPr>
      </w:r>
      <w:r>
        <w:rPr/>
        <w:t>的角色与银行等金融机构建立全面的、长期的战略合作关系，实现资源共享、优势互补、合作共赢。</w:t>
      </w:r>
    </w:p>
    <w:p>
      <w:pPr>
        <w:pStyle w:val="BodyText"/>
        <w:spacing w:line="468" w:lineRule="auto" w:before="67"/>
        <w:ind w:right="189" w:firstLine="360"/>
        <w:jc w:val="both"/>
      </w:pPr>
      <w:r>
        <w:rPr>
          <w:spacing w:val="-2"/>
        </w:rPr>
        <w:t>公司将始终坚持拥抱监管、持牌经营，夯实基础，着力构建以大数据技术、征信业务牌照及移动支付平台为基石，以精</w:t>
      </w:r>
      <w:r>
        <w:rPr/>
        <w:t> </w:t>
      </w:r>
      <w:r>
        <w:rPr>
          <w:spacing w:val="-2"/>
        </w:rPr>
        <w:t>准营销和风险定价为核心能力，为客户提供集大数据技术服务、软件开发、系统运维、金融中介为一体的综合性服务的战略</w:t>
      </w:r>
      <w:r>
        <w:rPr>
          <w:spacing w:val="-66"/>
        </w:rPr>
        <w:t> </w:t>
      </w:r>
      <w:r>
        <w:rPr>
          <w:spacing w:val="-66"/>
        </w:rPr>
      </w:r>
      <w:r>
        <w:rPr/>
        <w:t>布局。在此基础上，始终坚持市场化、轻资产、面向终端客户的发展思路</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以开放、共享、合作、共赢的态度迎接挑战，为 公司开拓更广阔的发展空间。</w:t>
      </w:r>
    </w:p>
    <w:p>
      <w:pPr>
        <w:spacing w:line="477" w:lineRule="auto" w:before="61"/>
        <w:ind w:left="514" w:right="5220" w:firstLine="0"/>
        <w:jc w:val="left"/>
        <w:rPr>
          <w:rFonts w:ascii="宋体" w:hAnsi="宋体" w:cs="宋体" w:eastAsia="宋体" w:hint="default"/>
          <w:sz w:val="18"/>
          <w:szCs w:val="18"/>
        </w:rPr>
      </w:pPr>
      <w:r>
        <w:rPr>
          <w:rFonts w:ascii="宋体" w:hAnsi="宋体" w:cs="宋体" w:eastAsia="宋体" w:hint="default"/>
          <w:b/>
          <w:bCs/>
          <w:sz w:val="18"/>
          <w:szCs w:val="18"/>
        </w:rPr>
        <w:t>（三）公司经营计划</w:t>
      </w:r>
      <w:r>
        <w:rPr>
          <w:rFonts w:ascii="宋体" w:hAnsi="宋体" w:cs="宋体" w:eastAsia="宋体" w:hint="default"/>
          <w:b/>
          <w:bCs/>
          <w:spacing w:val="1"/>
          <w:w w:val="99"/>
          <w:sz w:val="18"/>
          <w:szCs w:val="18"/>
        </w:rPr>
        <w:t> </w:t>
      </w:r>
      <w:r>
        <w:rPr>
          <w:rFonts w:ascii="宋体" w:hAnsi="宋体" w:cs="宋体" w:eastAsia="宋体" w:hint="default"/>
          <w:sz w:val="18"/>
          <w:szCs w:val="18"/>
        </w:rPr>
        <w:t>1、前期披露的发展战略和经营计划在报告期内的进展</w:t>
      </w:r>
    </w:p>
    <w:p>
      <w:pPr>
        <w:pStyle w:val="BodyText"/>
        <w:spacing w:line="477" w:lineRule="auto" w:before="54"/>
        <w:ind w:right="190" w:firstLine="360"/>
        <w:jc w:val="both"/>
      </w:pPr>
      <w:r>
        <w:rPr>
          <w:spacing w:val="-2"/>
        </w:rPr>
        <w:t>公司2014年度报告中披露了本报告期内公司将坚持既定发展战略，立足于公司已有的业务布局基础，一方面着力推动已</w:t>
      </w:r>
      <w:r>
        <w:rPr/>
        <w:t> </w:t>
      </w:r>
      <w:r>
        <w:rPr>
          <w:spacing w:val="-2"/>
        </w:rPr>
        <w:t>投资项目的落地，同时发挥在各投资领域的整合优势，扎实推进公司互联网金融产业发展战略，逐步构建互联网金融的产业</w:t>
      </w:r>
      <w:r>
        <w:rPr>
          <w:spacing w:val="-66"/>
        </w:rPr>
        <w:t> </w:t>
      </w:r>
      <w:r>
        <w:rPr>
          <w:spacing w:val="-66"/>
        </w:rPr>
      </w:r>
      <w:r>
        <w:rPr/>
        <w:t>生态圈，推动公司整体业绩提升，为股东创造更大的价值。</w:t>
      </w:r>
    </w:p>
    <w:p>
      <w:pPr>
        <w:pStyle w:val="BodyText"/>
        <w:spacing w:line="477" w:lineRule="auto" w:before="54"/>
        <w:ind w:right="191" w:firstLine="360"/>
        <w:jc w:val="both"/>
      </w:pPr>
      <w:r>
        <w:rPr>
          <w:spacing w:val="-2"/>
        </w:rPr>
        <w:t>报告期内，公司按照既定的发展战略和年度经营计划，立足于公司已有的业务布局基础，积极推进已投资项目的落地实</w:t>
      </w:r>
      <w:r>
        <w:rPr/>
        <w:t> </w:t>
      </w:r>
      <w:r>
        <w:rPr>
          <w:spacing w:val="-2"/>
        </w:rPr>
        <w:t>施，同时整合各业务板块的资源优势，优化公司互联网金融服务产业结构，将公司业务向移动互联网、互联网金融、大数据</w:t>
      </w:r>
      <w:r>
        <w:rPr>
          <w:spacing w:val="-66"/>
        </w:rPr>
        <w:t> </w:t>
      </w:r>
      <w:r>
        <w:rPr>
          <w:spacing w:val="-66"/>
        </w:rPr>
      </w:r>
      <w:r>
        <w:rPr/>
        <w:t>运营等新兴产业领域进行深度延伸拓展，稳步开展各项工作。</w:t>
      </w:r>
    </w:p>
    <w:p>
      <w:pPr>
        <w:pStyle w:val="BodyText"/>
        <w:spacing w:line="477" w:lineRule="auto" w:before="54"/>
        <w:ind w:left="514" w:right="90"/>
        <w:jc w:val="left"/>
      </w:pPr>
      <w:r>
        <w:rPr/>
        <w:t>（1）继续落实和推进公司金融信息化领域的重点新产品的研发和市场推广。 </w:t>
      </w:r>
      <w:r>
        <w:rPr>
          <w:spacing w:val="-2"/>
        </w:rPr>
        <w:t>报告期内，公司重点创新产品印章智能控制机已经在中国农业银行、光大银行、兴业银行、交通银行、上海浦东发展银</w:t>
      </w:r>
    </w:p>
    <w:p>
      <w:pPr>
        <w:pStyle w:val="BodyText"/>
        <w:spacing w:line="240" w:lineRule="auto" w:before="54"/>
        <w:ind w:right="90"/>
        <w:jc w:val="left"/>
      </w:pPr>
      <w:r>
        <w:rPr/>
        <w:t>行等银行取得了招标入围或上线应用，市场推广成果良好，带动公司金融信息化业务在报告期内实现了较大幅增长。</w:t>
      </w:r>
    </w:p>
    <w:p>
      <w:pPr>
        <w:spacing w:line="240" w:lineRule="auto" w:before="10"/>
        <w:rPr>
          <w:rFonts w:ascii="宋体" w:hAnsi="宋体" w:cs="宋体" w:eastAsia="宋体" w:hint="default"/>
          <w:sz w:val="17"/>
          <w:szCs w:val="17"/>
        </w:rPr>
      </w:pPr>
    </w:p>
    <w:p>
      <w:pPr>
        <w:pStyle w:val="BodyText"/>
        <w:spacing w:line="477" w:lineRule="auto"/>
        <w:ind w:left="514" w:right="90"/>
        <w:jc w:val="left"/>
      </w:pPr>
      <w:r>
        <w:rPr/>
        <w:t>（2）务实推进公司投资的票联金融业务、个人征信业务，早日实现新业务模式、新业务领域的创收和盈利。 </w:t>
      </w:r>
      <w:r>
        <w:rPr>
          <w:spacing w:val="-2"/>
        </w:rPr>
        <w:t>报告期内，公司继续积极推进“票联通”业务在深圳地区的深入推广。同时，借助票联金服控股股东的资源优势，开展</w:t>
      </w:r>
    </w:p>
    <w:p>
      <w:pPr>
        <w:pStyle w:val="BodyText"/>
        <w:spacing w:line="240" w:lineRule="auto" w:before="54"/>
        <w:ind w:right="0"/>
        <w:jc w:val="left"/>
      </w:pPr>
      <w:r>
        <w:rPr/>
        <w:t>基于互联网的新型支付的服务，包括票据清算支付自助服务、基于移动端的新一代对公和个人支付平台、以及银行间互联网</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574" w:right="190" w:hanging="420"/>
        <w:jc w:val="left"/>
      </w:pPr>
      <w:r>
        <w:rPr/>
        <w:t>快捷支付平台等。 征信服务业务方面，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日，华道征信被中国人民银行列入</w:t>
      </w:r>
      <w:r>
        <w:rPr>
          <w:rFonts w:ascii="Times New Roman" w:hAnsi="Times New Roman" w:cs="Times New Roman" w:eastAsia="Times New Roman" w:hint="default"/>
        </w:rPr>
        <w:t>“</w:t>
      </w:r>
      <w:r>
        <w:rPr/>
        <w:t>开展个人征信业务准备工作的机构名单</w:t>
      </w:r>
      <w:r>
        <w:rPr>
          <w:rFonts w:ascii="Times New Roman" w:hAnsi="Times New Roman" w:cs="Times New Roman" w:eastAsia="Times New Roman" w:hint="default"/>
        </w:rPr>
        <w:t>”</w:t>
      </w:r>
      <w:r>
        <w:rPr/>
        <w:t>，成为国</w:t>
      </w:r>
    </w:p>
    <w:p>
      <w:pPr>
        <w:pStyle w:val="BodyText"/>
        <w:spacing w:line="477" w:lineRule="auto" w:before="21"/>
        <w:ind w:right="149"/>
        <w:jc w:val="both"/>
      </w:pPr>
      <w:r>
        <w:rPr>
          <w:spacing w:val="-2"/>
        </w:rPr>
        <w:t>内首批开展个人征信准备工作的八家机构之一。报告期内，华道征信一方面严格按照《征信业管理条例》和《征信机构管理</w:t>
      </w:r>
      <w:r>
        <w:rPr>
          <w:spacing w:val="-66"/>
        </w:rPr>
        <w:t> </w:t>
      </w:r>
      <w:r>
        <w:rPr>
          <w:spacing w:val="-66"/>
        </w:rPr>
      </w:r>
      <w:r>
        <w:rPr>
          <w:spacing w:val="-2"/>
        </w:rPr>
        <w:t>办法》等相关法律法规要求，为正式获得中国人民银行颁发的个人征信业务牌照积极做好相关准备工作；另一方面以机构用</w:t>
      </w:r>
      <w:r>
        <w:rPr>
          <w:spacing w:val="-66"/>
        </w:rPr>
        <w:t> </w:t>
      </w:r>
      <w:r>
        <w:rPr>
          <w:spacing w:val="-66"/>
        </w:rPr>
      </w:r>
      <w:r>
        <w:rPr>
          <w:spacing w:val="-2"/>
        </w:rPr>
        <w:t>户和个人用户的业务需求为导向，从信用评估模型、征信数据源、征信产品设计、征信系统建设等各方面积极开展个人征信</w:t>
      </w:r>
      <w:r>
        <w:rPr>
          <w:spacing w:val="-66"/>
        </w:rPr>
        <w:t> </w:t>
      </w:r>
      <w:r>
        <w:rPr>
          <w:spacing w:val="-66"/>
        </w:rPr>
      </w:r>
      <w:r>
        <w:rPr/>
        <w:t>的业务准备工作。</w:t>
      </w:r>
    </w:p>
    <w:p>
      <w:pPr>
        <w:pStyle w:val="BodyText"/>
        <w:spacing w:line="477" w:lineRule="auto" w:before="54"/>
        <w:ind w:left="574" w:right="170"/>
        <w:jc w:val="left"/>
      </w:pPr>
      <w:r>
        <w:rPr/>
        <w:t>（3）利用上市公司品牌和融资平台工具，积极筹措业务发展所需的资金支持。 报告期内，公司积极推进了非公开发行股票再融资计划。公司已于2015年10月30日经公司第三届董事会第十七次会议</w:t>
      </w:r>
    </w:p>
    <w:p>
      <w:pPr>
        <w:pStyle w:val="BodyText"/>
        <w:spacing w:line="477" w:lineRule="auto" w:before="54"/>
        <w:ind w:right="149"/>
        <w:jc w:val="both"/>
      </w:pPr>
      <w:r>
        <w:rPr>
          <w:spacing w:val="-2"/>
        </w:rPr>
        <w:t>审议，制定了非公开发行股票募集资金预案。目前，公司非公开发行股票事项尚处于中国证监会审核程序中，公司将积极推</w:t>
      </w:r>
      <w:r>
        <w:rPr>
          <w:spacing w:val="-66"/>
        </w:rPr>
        <w:t> </w:t>
      </w:r>
      <w:r>
        <w:rPr>
          <w:spacing w:val="-66"/>
        </w:rPr>
      </w:r>
      <w:r>
        <w:rPr/>
        <w:t>进上述再融资计划的进程。</w:t>
      </w:r>
    </w:p>
    <w:p>
      <w:pPr>
        <w:pStyle w:val="BodyText"/>
        <w:spacing w:line="477" w:lineRule="auto" w:before="54"/>
        <w:ind w:right="140" w:firstLine="360"/>
        <w:jc w:val="left"/>
      </w:pPr>
      <w:r>
        <w:rPr/>
        <w:t>（4）通过并购或投资与公司战略发展业务领域相关联或互补的优质企业或产品，开拓新的业务领域和业务模式，促进 公司做大做强。</w:t>
      </w:r>
    </w:p>
    <w:p>
      <w:pPr>
        <w:pStyle w:val="BodyText"/>
        <w:spacing w:line="477" w:lineRule="auto" w:before="54"/>
        <w:ind w:right="142" w:firstLine="360"/>
        <w:jc w:val="left"/>
      </w:pPr>
      <w:r>
        <w:rPr>
          <w:spacing w:val="-2"/>
        </w:rPr>
        <w:t>报告期内，公司、深圳弘道天瑞投资有限责任公司（以下简称“弘道天瑞”）与北京明略软件系统有限公司（以下简称</w:t>
      </w:r>
      <w:r>
        <w:rPr/>
        <w:t> “明略软件”）及其控股股东吴明辉签署了《投资框架协议》，达成了公司与弘道天瑞出资共计</w:t>
      </w:r>
      <w:r>
        <w:rPr>
          <w:spacing w:val="-46"/>
        </w:rPr>
        <w:t> </w:t>
      </w:r>
      <w:r>
        <w:rPr/>
        <w:t>9900</w:t>
      </w:r>
      <w:r>
        <w:rPr>
          <w:spacing w:val="-46"/>
        </w:rPr>
        <w:t> </w:t>
      </w:r>
      <w:r>
        <w:rPr/>
        <w:t>万元（其中公司出资</w:t>
      </w:r>
    </w:p>
    <w:p>
      <w:pPr>
        <w:pStyle w:val="BodyText"/>
        <w:spacing w:line="477" w:lineRule="auto" w:before="54"/>
        <w:ind w:right="151"/>
        <w:jc w:val="both"/>
      </w:pPr>
      <w:r>
        <w:rPr/>
        <w:t>5000</w:t>
      </w:r>
      <w:r>
        <w:rPr>
          <w:spacing w:val="-60"/>
        </w:rPr>
        <w:t> </w:t>
      </w:r>
      <w:r>
        <w:rPr>
          <w:spacing w:val="-3"/>
        </w:rPr>
        <w:t>万元、弘道天瑞出资</w:t>
      </w:r>
      <w:r>
        <w:rPr>
          <w:spacing w:val="-60"/>
        </w:rPr>
        <w:t> </w:t>
      </w:r>
      <w:r>
        <w:rPr/>
        <w:t>4900</w:t>
      </w:r>
      <w:r>
        <w:rPr>
          <w:spacing w:val="-60"/>
        </w:rPr>
        <w:t> </w:t>
      </w:r>
      <w:r>
        <w:rPr/>
        <w:t>万元），以收购股权和增资扩股的形式获得明略软件</w:t>
      </w:r>
      <w:r>
        <w:rPr>
          <w:spacing w:val="-60"/>
        </w:rPr>
        <w:t> </w:t>
      </w:r>
      <w:r>
        <w:rPr/>
        <w:t>24.75%股权的初步意向。目前该投资事</w:t>
      </w:r>
      <w:r>
        <w:rPr/>
        <w:t> 项尚在进行中。</w:t>
      </w:r>
    </w:p>
    <w:p>
      <w:pPr>
        <w:pStyle w:val="BodyText"/>
        <w:spacing w:line="451" w:lineRule="auto" w:before="54"/>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年度经营计划 </w:t>
      </w:r>
      <w:r>
        <w:rPr>
          <w:spacing w:val="-2"/>
        </w:rPr>
        <w:t>围绕公司长期战略规划和近期发展目标，</w:t>
      </w:r>
      <w:r>
        <w:rPr>
          <w:rFonts w:ascii="Times New Roman" w:hAnsi="Times New Roman" w:cs="Times New Roman" w:eastAsia="Times New Roman" w:hint="default"/>
          <w:spacing w:val="-2"/>
        </w:rPr>
        <w:t>2016</w:t>
      </w:r>
      <w:r>
        <w:rPr>
          <w:spacing w:val="-2"/>
        </w:rPr>
        <w:t>年度公司将立足于目前公司已有的业务布局基础，一方面着力推动已投资</w:t>
      </w:r>
    </w:p>
    <w:p>
      <w:pPr>
        <w:pStyle w:val="BodyText"/>
        <w:spacing w:line="477" w:lineRule="auto" w:before="43"/>
        <w:ind w:right="151"/>
        <w:jc w:val="both"/>
      </w:pPr>
      <w:r>
        <w:rPr>
          <w:spacing w:val="-2"/>
        </w:rPr>
        <w:t>项目的落地，同时发挥在各投资领域的整合优势，扎实推进公司互联网金融产业发展战略，逐步构建互联网金融的产业生态</w:t>
      </w:r>
      <w:r>
        <w:rPr>
          <w:spacing w:val="-66"/>
        </w:rPr>
        <w:t> </w:t>
      </w:r>
      <w:r>
        <w:rPr>
          <w:spacing w:val="-66"/>
        </w:rPr>
      </w:r>
      <w:r>
        <w:rPr/>
        <w:t>圈，推动公司整体业绩提升，为股东创造更大的价值。</w:t>
      </w:r>
    </w:p>
    <w:p>
      <w:pPr>
        <w:pStyle w:val="BodyText"/>
        <w:spacing w:line="468" w:lineRule="auto" w:before="54"/>
        <w:ind w:left="514" w:right="0"/>
        <w:jc w:val="left"/>
      </w:pPr>
      <w:r>
        <w:rPr/>
        <w:t>为了逐步实现以上发展构想，公司</w:t>
      </w:r>
      <w:r>
        <w:rPr>
          <w:rFonts w:ascii="Times New Roman" w:hAnsi="Times New Roman" w:cs="Times New Roman" w:eastAsia="Times New Roman" w:hint="default"/>
        </w:rPr>
        <w:t>2016</w:t>
      </w:r>
      <w:r>
        <w:rPr/>
        <w:t>年度将重点做好以下主要工作： 一是积极推进公司非公开发行股票募集资金计划，为公司业务发展筹措所需的资金支持； 二是继续落实和推进公司金融信息化领域的重点新产品市场推广； </w:t>
      </w:r>
      <w:r>
        <w:rPr>
          <w:spacing w:val="-2"/>
        </w:rPr>
        <w:t>三是大力支持推进公司投资的个人征信、互联网保险、票联金融移动支付服务等创新业务，早日实现新业务模式、新业</w:t>
      </w:r>
    </w:p>
    <w:p>
      <w:pPr>
        <w:pStyle w:val="BodyText"/>
        <w:spacing w:line="477" w:lineRule="auto" w:before="61"/>
        <w:ind w:left="514" w:right="0" w:hanging="360"/>
        <w:jc w:val="left"/>
      </w:pPr>
      <w:r>
        <w:rPr/>
        <w:t>务领域的创收和盈利； </w:t>
      </w:r>
      <w:r>
        <w:rPr>
          <w:spacing w:val="-2"/>
        </w:rPr>
        <w:t>四是继续通过并购或投资与公司业务布局相关或互补的产业领域，按照公司既定战略规划推进业务延伸发展，促进公司</w:t>
      </w:r>
    </w:p>
    <w:p>
      <w:pPr>
        <w:pStyle w:val="BodyText"/>
        <w:spacing w:line="240" w:lineRule="auto" w:before="54"/>
        <w:ind w:right="0"/>
        <w:jc w:val="left"/>
      </w:pPr>
      <w:r>
        <w:rPr/>
        <w:t>做大做强。</w:t>
      </w:r>
    </w:p>
    <w:p>
      <w:pPr>
        <w:spacing w:line="240" w:lineRule="auto" w:before="10"/>
        <w:rPr>
          <w:rFonts w:ascii="宋体" w:hAnsi="宋体" w:cs="宋体" w:eastAsia="宋体" w:hint="default"/>
          <w:sz w:val="17"/>
          <w:szCs w:val="17"/>
        </w:rPr>
      </w:pPr>
    </w:p>
    <w:p>
      <w:pPr>
        <w:pStyle w:val="Heading5"/>
        <w:spacing w:line="240" w:lineRule="auto"/>
        <w:ind w:left="514" w:right="0"/>
        <w:jc w:val="left"/>
        <w:rPr>
          <w:b w:val="0"/>
          <w:bCs w:val="0"/>
        </w:rPr>
      </w:pPr>
      <w:r>
        <w:rPr/>
        <w:t>（四）可能面对的风险</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14" w:right="0"/>
        <w:jc w:val="left"/>
      </w:pPr>
      <w:r>
        <w:rPr>
          <w:rFonts w:ascii="Times New Roman" w:hAnsi="Times New Roman" w:cs="Times New Roman" w:eastAsia="Times New Roman" w:hint="default"/>
        </w:rPr>
        <w:t>1</w:t>
      </w:r>
      <w:r>
        <w:rPr/>
        <w:t>、新业务发展不达预期的风险 </w:t>
      </w:r>
      <w:r>
        <w:rPr>
          <w:spacing w:val="-2"/>
        </w:rPr>
        <w:t>公司按照既定的战略发展规划，持续开拓新的业务领域，推进公司业务向互联网金融综合服务领域延伸发展。已经开展</w:t>
      </w:r>
    </w:p>
    <w:p>
      <w:pPr>
        <w:spacing w:after="0" w:line="451" w:lineRule="auto"/>
        <w:jc w:val="left"/>
        <w:sectPr>
          <w:footerReference w:type="default" r:id="rId13"/>
          <w:pgSz w:w="11910" w:h="16840"/>
          <w:pgMar w:footer="982" w:header="877" w:top="1100" w:bottom="1180" w:left="980" w:right="980"/>
          <w:pgNumType w:start="35"/>
        </w:sectPr>
      </w:pPr>
    </w:p>
    <w:p>
      <w:pPr>
        <w:spacing w:line="240" w:lineRule="auto" w:before="11"/>
        <w:rPr>
          <w:rFonts w:ascii="宋体" w:hAnsi="宋体" w:cs="宋体" w:eastAsia="宋体" w:hint="default"/>
          <w:sz w:val="27"/>
          <w:szCs w:val="27"/>
        </w:rPr>
      </w:pPr>
    </w:p>
    <w:p>
      <w:pPr>
        <w:pStyle w:val="BodyText"/>
        <w:spacing w:line="477" w:lineRule="auto" w:before="44"/>
        <w:ind w:right="189"/>
        <w:jc w:val="both"/>
      </w:pPr>
      <w:r>
        <w:rPr>
          <w:spacing w:val="-2"/>
        </w:rPr>
        <w:t>或布局的业务包括：合资成立华道征信发展个人征信服务业务；发起设立互联网财产保险公司等。目前，华道征信已经被中</w:t>
      </w:r>
      <w:r>
        <w:rPr>
          <w:spacing w:val="-66"/>
        </w:rPr>
        <w:t> </w:t>
      </w:r>
      <w:r>
        <w:rPr>
          <w:spacing w:val="-66"/>
        </w:rPr>
      </w:r>
      <w:r>
        <w:rPr>
          <w:spacing w:val="-2"/>
        </w:rPr>
        <w:t>国人民银行列入“开展个人征信业务准备工作的机构名单”；易安保险已获得中国保监会核发的《保险公司法人许可证》和</w:t>
      </w:r>
      <w:r>
        <w:rPr>
          <w:spacing w:val="-72"/>
        </w:rPr>
        <w:t> </w:t>
      </w:r>
      <w:r>
        <w:rPr>
          <w:spacing w:val="-72"/>
        </w:rPr>
      </w:r>
      <w:r>
        <w:rPr>
          <w:spacing w:val="-2"/>
        </w:rPr>
        <w:t>深圳市市场监督管理局颁发的《营业执照》。但是鉴于：华道征信的个人征信业务尚处于准备工作阶段，尚未正式获得中国</w:t>
      </w:r>
      <w:r>
        <w:rPr>
          <w:spacing w:val="-72"/>
        </w:rPr>
        <w:t> </w:t>
      </w:r>
      <w:r>
        <w:rPr>
          <w:spacing w:val="-72"/>
        </w:rPr>
      </w:r>
      <w:r>
        <w:rPr>
          <w:spacing w:val="-2"/>
        </w:rPr>
        <w:t>人民银行开展个人征信业务的经营许可；发起设立的互联网财产保险公司近期刚获得中国保监会的验收并取得经营许可，开</w:t>
      </w:r>
      <w:r>
        <w:rPr>
          <w:spacing w:val="-64"/>
        </w:rPr>
        <w:t> </w:t>
      </w:r>
      <w:r>
        <w:rPr>
          <w:spacing w:val="-64"/>
        </w:rPr>
      </w:r>
      <w:r>
        <w:rPr/>
        <w:t>展业务处于起步阶段。因此，公司新业务的发展仍有较大的不确定性，存在新业务发展不达预期的风险。</w:t>
      </w:r>
    </w:p>
    <w:p>
      <w:pPr>
        <w:pStyle w:val="BodyText"/>
        <w:spacing w:line="477" w:lineRule="auto" w:before="54"/>
        <w:ind w:right="90" w:firstLine="360"/>
        <w:jc w:val="left"/>
      </w:pPr>
      <w:r>
        <w:rPr>
          <w:spacing w:val="-2"/>
        </w:rPr>
        <w:t>针对上述风险，公司将从战略高度充分重视新业务的发展，充分调集公司人才、技术、资金和平台资源，发挥公司各项</w:t>
      </w:r>
      <w:r>
        <w:rPr/>
        <w:t> 业务的整合优势，与各合作方一起，努力推进新业务的快速发展。</w:t>
      </w:r>
    </w:p>
    <w:p>
      <w:pPr>
        <w:pStyle w:val="BodyText"/>
        <w:spacing w:line="451" w:lineRule="auto" w:before="54"/>
        <w:ind w:left="514" w:right="90"/>
        <w:jc w:val="left"/>
      </w:pPr>
      <w:r>
        <w:rPr>
          <w:rFonts w:ascii="Times New Roman" w:hAnsi="Times New Roman" w:cs="Times New Roman" w:eastAsia="Times New Roman" w:hint="default"/>
        </w:rPr>
        <w:t>2</w:t>
      </w:r>
      <w:r>
        <w:rPr/>
        <w:t>、短期盈利能力风险 </w:t>
      </w:r>
      <w:r>
        <w:rPr>
          <w:spacing w:val="-2"/>
        </w:rPr>
        <w:t>近年来，公司按照战略发展规划推进公司业务向互联网金融综合服务领域延伸发展，已经开展和布局的业务包括：个人</w:t>
      </w:r>
    </w:p>
    <w:p>
      <w:pPr>
        <w:pStyle w:val="BodyText"/>
        <w:spacing w:line="477" w:lineRule="auto" w:before="74"/>
        <w:ind w:right="189"/>
        <w:jc w:val="both"/>
      </w:pPr>
      <w:r>
        <w:rPr>
          <w:spacing w:val="-2"/>
        </w:rPr>
        <w:t>征信业务、互联网保险业务、移动支付服务业务等，并且公司仍在按照战略规划继续推进在互联网金融以及大数据运营领域</w:t>
      </w:r>
      <w:r>
        <w:rPr>
          <w:spacing w:val="-66"/>
        </w:rPr>
        <w:t> </w:t>
      </w:r>
      <w:r>
        <w:rPr>
          <w:spacing w:val="-66"/>
        </w:rPr>
      </w:r>
      <w:r>
        <w:rPr>
          <w:spacing w:val="-2"/>
        </w:rPr>
        <w:t>的业务布局。公司实施以上战略布局，是公司为企业长远发展而采取的积极措施，并且在各项战略投资实施之前，公司已对</w:t>
      </w:r>
      <w:r>
        <w:rPr>
          <w:spacing w:val="-66"/>
        </w:rPr>
        <w:t> </w:t>
      </w:r>
      <w:r>
        <w:rPr>
          <w:spacing w:val="-66"/>
        </w:rPr>
      </w:r>
      <w:r>
        <w:rPr>
          <w:spacing w:val="-2"/>
        </w:rPr>
        <w:t>新兴业务的市场空间和项目可行性进行了充分的论证。但是由于部分新业务，如个人征信服务、票联通业务、互联网保险业</w:t>
      </w:r>
      <w:r>
        <w:rPr>
          <w:spacing w:val="-66"/>
        </w:rPr>
        <w:t> </w:t>
      </w:r>
      <w:r>
        <w:rPr>
          <w:spacing w:val="-66"/>
        </w:rPr>
      </w:r>
      <w:r>
        <w:rPr>
          <w:spacing w:val="-2"/>
        </w:rPr>
        <w:t>务等，在业务开展初期阶段需要比较高的投入，可能在一定时期内不具备盈利能力，因此可能致使公司存在短期盈利能力下</w:t>
      </w:r>
      <w:r>
        <w:rPr>
          <w:spacing w:val="-66"/>
        </w:rPr>
        <w:t> </w:t>
      </w:r>
      <w:r>
        <w:rPr>
          <w:spacing w:val="-66"/>
        </w:rPr>
      </w:r>
      <w:r>
        <w:rPr>
          <w:spacing w:val="-2"/>
        </w:rPr>
        <w:t>降的风险，一定时期内影响公司整体的盈利能力。针对上述风险，公司一方面将从战略高度充分重视新兴业务的进展，全力</w:t>
      </w:r>
      <w:r>
        <w:rPr>
          <w:spacing w:val="-66"/>
        </w:rPr>
        <w:t> </w:t>
      </w:r>
      <w:r>
        <w:rPr>
          <w:spacing w:val="-66"/>
        </w:rPr>
      </w:r>
      <w:r>
        <w:rPr>
          <w:spacing w:val="-2"/>
        </w:rPr>
        <w:t>推进新业务的健康发展，科学把控新兴业务投资进度，降低投资风险；另一方面将努力推进成熟业务的业绩提升，保持公司</w:t>
      </w:r>
      <w:r>
        <w:rPr>
          <w:spacing w:val="-66"/>
        </w:rPr>
        <w:t> </w:t>
      </w:r>
      <w:r>
        <w:rPr>
          <w:spacing w:val="-66"/>
        </w:rPr>
      </w:r>
      <w:r>
        <w:rPr/>
        <w:t>整体盈利情况的合理性。</w:t>
      </w:r>
    </w:p>
    <w:p>
      <w:pPr>
        <w:pStyle w:val="BodyText"/>
        <w:spacing w:line="451" w:lineRule="auto" w:before="54"/>
        <w:ind w:left="514" w:right="90"/>
        <w:jc w:val="left"/>
      </w:pPr>
      <w:r>
        <w:rPr>
          <w:rFonts w:ascii="Times New Roman" w:hAnsi="Times New Roman" w:cs="Times New Roman" w:eastAsia="Times New Roman" w:hint="default"/>
        </w:rPr>
        <w:t>3</w:t>
      </w:r>
      <w:r>
        <w:rPr/>
        <w:t>、运营资金短缺风险 </w:t>
      </w:r>
      <w:r>
        <w:rPr>
          <w:spacing w:val="-2"/>
        </w:rPr>
        <w:t>随着公司新业务板块持续拓展，经营规模不断扩大，公司对运营资金的需求日益扩大。如果不能及时解决资金需求，将</w:t>
      </w:r>
    </w:p>
    <w:p>
      <w:pPr>
        <w:pStyle w:val="BodyText"/>
        <w:spacing w:line="477" w:lineRule="auto" w:before="74"/>
        <w:ind w:right="189"/>
        <w:jc w:val="both"/>
      </w:pPr>
      <w:r>
        <w:rPr>
          <w:spacing w:val="-2"/>
        </w:rPr>
        <w:t>给公司的业务运营和后续发展带来风险。针对该项风险，公司首先将加强应收账款的管理，加强自有资金和募集资金的有效</w:t>
      </w:r>
      <w:r>
        <w:rPr>
          <w:spacing w:val="-66"/>
        </w:rPr>
        <w:t> </w:t>
      </w:r>
      <w:r>
        <w:rPr>
          <w:spacing w:val="-66"/>
        </w:rPr>
      </w:r>
      <w:r>
        <w:rPr>
          <w:spacing w:val="-2"/>
        </w:rPr>
        <w:t>利用，持续改善公司现金流情况，确保日常运营资金充足；同时充分利用上市公司融资平台和其他融资渠道，积极筹措运营</w:t>
      </w:r>
      <w:r>
        <w:rPr>
          <w:spacing w:val="-66"/>
        </w:rPr>
        <w:t> </w:t>
      </w:r>
      <w:r>
        <w:rPr>
          <w:spacing w:val="-66"/>
        </w:rPr>
      </w:r>
      <w:r>
        <w:rPr/>
        <w:t>发展资金，降低公司运营资金短缺的风险。</w:t>
      </w:r>
    </w:p>
    <w:p>
      <w:pPr>
        <w:pStyle w:val="BodyText"/>
        <w:spacing w:line="451" w:lineRule="auto" w:before="54"/>
        <w:ind w:left="514" w:right="90"/>
        <w:jc w:val="left"/>
      </w:pPr>
      <w:r>
        <w:rPr>
          <w:rFonts w:ascii="Times New Roman" w:hAnsi="Times New Roman" w:cs="Times New Roman" w:eastAsia="Times New Roman" w:hint="default"/>
        </w:rPr>
        <w:t>4</w:t>
      </w:r>
      <w:r>
        <w:rPr/>
        <w:t>、非公开发行股票募集资金的相关风险 </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日和</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日分别召开了第三届董事会第十七次会议和</w:t>
      </w:r>
      <w:r>
        <w:rPr>
          <w:rFonts w:ascii="Times New Roman" w:hAnsi="Times New Roman" w:cs="Times New Roman" w:eastAsia="Times New Roman" w:hint="default"/>
          <w:spacing w:val="-1"/>
        </w:rPr>
        <w:t>2015</w:t>
      </w:r>
      <w:r>
        <w:rPr>
          <w:spacing w:val="-1"/>
        </w:rPr>
        <w:t>年第四次临时股东大会，审议通过了</w:t>
      </w:r>
    </w:p>
    <w:p>
      <w:pPr>
        <w:pStyle w:val="BodyText"/>
        <w:spacing w:line="472" w:lineRule="auto" w:before="43"/>
        <w:ind w:right="90"/>
        <w:jc w:val="left"/>
      </w:pPr>
      <w:r>
        <w:rPr>
          <w:spacing w:val="-3"/>
        </w:rPr>
        <w:t>《公司非公开发行股票预案》等相关议案，拟募集资金总额不超过</w:t>
      </w:r>
      <w:r>
        <w:rPr>
          <w:rFonts w:ascii="Times New Roman" w:hAnsi="Times New Roman" w:cs="Times New Roman" w:eastAsia="Times New Roman" w:hint="default"/>
          <w:spacing w:val="-3"/>
        </w:rPr>
        <w:t>82,970.88</w:t>
      </w:r>
      <w:r>
        <w:rPr>
          <w:spacing w:val="-3"/>
        </w:rPr>
        <w:t>万元。本次非公开发行股票尚需中国证监会核准，</w:t>
      </w:r>
      <w:r>
        <w:rPr>
          <w:spacing w:val="-86"/>
        </w:rPr>
        <w:t> </w:t>
      </w:r>
      <w:r>
        <w:rPr>
          <w:spacing w:val="-86"/>
        </w:rPr>
      </w:r>
      <w:r>
        <w:rPr>
          <w:spacing w:val="-2"/>
        </w:rPr>
        <w:t>能否取得中国证监会的核准以及最终取得核准的时间存在不确定性。同时，本次非公开发行股票募集资金扣除发行费用后将</w:t>
      </w:r>
      <w:r>
        <w:rPr>
          <w:spacing w:val="-64"/>
        </w:rPr>
        <w:t> </w:t>
      </w:r>
      <w:r>
        <w:rPr>
          <w:spacing w:val="-64"/>
        </w:rPr>
      </w:r>
      <w:r>
        <w:rPr>
          <w:spacing w:val="-2"/>
        </w:rPr>
        <w:t>全部用于“互联网金融大数据服务平台（一期）”项目，本次募集资金投资项目的可行性分析是基于当前市场环境、技术发</w:t>
      </w:r>
      <w:r>
        <w:rPr>
          <w:spacing w:val="-72"/>
        </w:rPr>
        <w:t> </w:t>
      </w:r>
      <w:r>
        <w:rPr>
          <w:spacing w:val="-72"/>
        </w:rPr>
      </w:r>
      <w:r>
        <w:rPr>
          <w:spacing w:val="-2"/>
        </w:rPr>
        <w:t>展趋势等因素做出的，投资项目经过充分的可行性研究论证；但是仍存在因市场环境发生较大变化、项目实施过程中发生不</w:t>
      </w:r>
      <w:r>
        <w:rPr>
          <w:spacing w:val="-66"/>
        </w:rPr>
        <w:t> </w:t>
      </w:r>
      <w:r>
        <w:rPr>
          <w:spacing w:val="-66"/>
        </w:rPr>
      </w:r>
      <w:r>
        <w:rPr>
          <w:spacing w:val="-2"/>
        </w:rPr>
        <w:t>可预见因素等导致募集资金投资项目不达预期的风险。公司将紧跟行业发展趋势，把握产品和技术研发方向，及时顺应市场</w:t>
      </w:r>
      <w:r>
        <w:rPr>
          <w:spacing w:val="-66"/>
        </w:rPr>
        <w:t> </w:t>
      </w:r>
      <w:r>
        <w:rPr>
          <w:spacing w:val="-66"/>
        </w:rPr>
      </w:r>
      <w:r>
        <w:rPr/>
        <w:t>变化，避免或者降低募集资金投资项目不达预期的风险。</w:t>
      </w:r>
    </w:p>
    <w:p>
      <w:pPr>
        <w:pStyle w:val="BodyText"/>
        <w:spacing w:line="240" w:lineRule="auto" w:before="58"/>
        <w:ind w:left="514" w:right="0"/>
        <w:jc w:val="left"/>
      </w:pPr>
      <w:r>
        <w:rPr/>
        <w:t>针对上述风险，公司将集合公司内部及外部中介机构等多方力量积极推动非公开发行股票事项的进展，争取早日完成募</w:t>
      </w:r>
    </w:p>
    <w:p>
      <w:pPr>
        <w:spacing w:after="0" w:line="240" w:lineRule="auto"/>
        <w:jc w:val="left"/>
        <w:sectPr>
          <w:footerReference w:type="default" r:id="rId14"/>
          <w:pgSz w:w="11910" w:h="16840"/>
          <w:pgMar w:footer="982" w:header="877" w:top="1100" w:bottom="1180" w:left="980" w:right="940"/>
          <w:pgNumType w:start="36"/>
        </w:sectPr>
      </w:pPr>
    </w:p>
    <w:p>
      <w:pPr>
        <w:spacing w:line="240" w:lineRule="auto" w:before="11"/>
        <w:rPr>
          <w:rFonts w:ascii="宋体" w:hAnsi="宋体" w:cs="宋体" w:eastAsia="宋体" w:hint="default"/>
          <w:sz w:val="27"/>
          <w:szCs w:val="27"/>
        </w:rPr>
      </w:pPr>
    </w:p>
    <w:p>
      <w:pPr>
        <w:pStyle w:val="BodyText"/>
        <w:spacing w:line="477" w:lineRule="auto" w:before="44"/>
        <w:ind w:right="191"/>
        <w:jc w:val="both"/>
      </w:pPr>
      <w:r>
        <w:rPr>
          <w:spacing w:val="-2"/>
        </w:rPr>
        <w:t>集资金计划。如果非公发行募集资金计划得以实现，公司将全力推进募投项目的实施与市场推广，充分保障募集资金使用效</w:t>
      </w:r>
      <w:r>
        <w:rPr>
          <w:spacing w:val="-66"/>
        </w:rPr>
        <w:t> </w:t>
      </w:r>
      <w:r>
        <w:rPr>
          <w:spacing w:val="-66"/>
        </w:rPr>
      </w:r>
      <w:r>
        <w:rPr/>
        <w:t>率，努力达到项目预期收益，进一步提升公司经营业绩。</w:t>
      </w:r>
    </w:p>
    <w:p>
      <w:pPr>
        <w:pStyle w:val="BodyText"/>
        <w:spacing w:line="240" w:lineRule="auto" w:before="54"/>
        <w:ind w:left="514" w:right="90"/>
        <w:jc w:val="left"/>
      </w:pPr>
      <w:r>
        <w:rPr>
          <w:rFonts w:ascii="Times New Roman" w:hAnsi="Times New Roman" w:cs="Times New Roman" w:eastAsia="Times New Roman" w:hint="default"/>
        </w:rPr>
        <w:t>5</w:t>
      </w:r>
      <w:r>
        <w:rPr/>
        <w:t>、产业并购的整合风险</w:t>
      </w:r>
    </w:p>
    <w:p>
      <w:pPr>
        <w:spacing w:line="240" w:lineRule="auto" w:before="9"/>
        <w:rPr>
          <w:rFonts w:ascii="宋体" w:hAnsi="宋体" w:cs="宋体" w:eastAsia="宋体" w:hint="default"/>
          <w:sz w:val="16"/>
          <w:szCs w:val="16"/>
        </w:rPr>
      </w:pPr>
    </w:p>
    <w:p>
      <w:pPr>
        <w:pStyle w:val="BodyText"/>
        <w:spacing w:line="470" w:lineRule="auto"/>
        <w:ind w:right="90" w:firstLine="360"/>
        <w:jc w:val="left"/>
      </w:pPr>
      <w:r>
        <w:rPr>
          <w:rFonts w:ascii="Times New Roman" w:hAnsi="Times New Roman" w:cs="Times New Roman" w:eastAsia="Times New Roman" w:hint="default"/>
        </w:rPr>
        <w:t>2014</w:t>
      </w:r>
      <w:r>
        <w:rPr/>
        <w:t>年公司通过实施重大资产重组，以发行股份的方式收购了亿美软通的</w:t>
      </w:r>
      <w:r>
        <w:rPr>
          <w:rFonts w:ascii="Times New Roman" w:hAnsi="Times New Roman" w:cs="Times New Roman" w:eastAsia="Times New Roman" w:hint="default"/>
        </w:rPr>
        <w:t>100%</w:t>
      </w:r>
      <w:r>
        <w:rPr/>
        <w:t>股权。上述收购完成后，亿美软通作为 </w:t>
      </w:r>
      <w:r>
        <w:rPr>
          <w:spacing w:val="-2"/>
        </w:rPr>
        <w:t>独立经营实体存续并由其原有经营管理团队继续运营，目前经营情况良好，经营业绩情况符合收购预期。但由于上述并购企</w:t>
      </w:r>
      <w:r>
        <w:rPr>
          <w:spacing w:val="-66"/>
        </w:rPr>
        <w:t> </w:t>
      </w:r>
      <w:r>
        <w:rPr>
          <w:spacing w:val="-66"/>
        </w:rPr>
      </w:r>
      <w:r>
        <w:rPr>
          <w:spacing w:val="-2"/>
        </w:rPr>
        <w:t>业所处的细分行业、业务模式、发展阶段、企业文化等与公司不可避免地存在一定差异，纳入上市公司控制后，对并购公司</w:t>
      </w:r>
      <w:r>
        <w:rPr>
          <w:spacing w:val="-66"/>
        </w:rPr>
        <w:t> </w:t>
      </w:r>
      <w:r>
        <w:rPr>
          <w:spacing w:val="-66"/>
        </w:rPr>
      </w:r>
      <w:r>
        <w:rPr/>
        <w:t>的内部控制、规范运作、业务发展提出了更高的要求，因此上述并购实施后，公司存在未来能否顺利完成整合的不确定性。 如果并购整合效果不及预期，亿美软通的业绩承诺无法达标，将对公司经营业绩造成不利影响。</w:t>
      </w:r>
    </w:p>
    <w:p>
      <w:pPr>
        <w:pStyle w:val="BodyText"/>
        <w:spacing w:line="477" w:lineRule="auto" w:before="59"/>
        <w:ind w:right="90" w:firstLine="360"/>
        <w:jc w:val="left"/>
      </w:pPr>
      <w:r>
        <w:rPr>
          <w:spacing w:val="-2"/>
        </w:rPr>
        <w:t>针对上述风险，公司将充分尊重不同企业管理体系的差异性，从公司治理、发展战略、市场协同、人才激励等各个方面</w:t>
      </w:r>
      <w:r>
        <w:rPr/>
        <w:t> 不断完善相关内控制度与流程，加强内部管控和文化融合，以实现有效的整合，努力创造产业并购良好的协同效应。</w:t>
      </w:r>
    </w:p>
    <w:p>
      <w:pPr>
        <w:pStyle w:val="BodyText"/>
        <w:spacing w:line="477" w:lineRule="auto" w:before="54"/>
        <w:ind w:left="514" w:right="90"/>
        <w:jc w:val="left"/>
      </w:pPr>
      <w:r>
        <w:rPr/>
        <w:t>6、经营管理风险 </w:t>
      </w:r>
      <w:r>
        <w:rPr>
          <w:spacing w:val="-2"/>
        </w:rPr>
        <w:t>随着公司经营规模的不断扩大，公司组织结构和管理体系日趋复杂，公司的经营决策、风险控制的难度大为增加，对公</w:t>
      </w:r>
    </w:p>
    <w:p>
      <w:pPr>
        <w:pStyle w:val="BodyText"/>
        <w:spacing w:line="477" w:lineRule="auto" w:before="54"/>
        <w:ind w:right="188"/>
        <w:jc w:val="both"/>
      </w:pPr>
      <w:r>
        <w:rPr>
          <w:spacing w:val="-2"/>
        </w:rPr>
        <w:t>司管理团队的人才储备、管理水平以及驾驭经营管理风险的能力提出了更高的要求。如果公司在经营管理过程中不能解决人</w:t>
      </w:r>
      <w:r>
        <w:rPr>
          <w:spacing w:val="-64"/>
        </w:rPr>
        <w:t> </w:t>
      </w:r>
      <w:r>
        <w:rPr>
          <w:spacing w:val="-64"/>
        </w:rPr>
      </w:r>
      <w:r>
        <w:rPr>
          <w:spacing w:val="-2"/>
        </w:rPr>
        <w:t>才、文化、管理能力、管理效率等方面的新的挑战，将对公司的有效运营和业务发展带来一定风险。公司目前具有较好的人</w:t>
      </w:r>
      <w:r>
        <w:rPr>
          <w:spacing w:val="-66"/>
        </w:rPr>
        <w:t> </w:t>
      </w:r>
      <w:r>
        <w:rPr>
          <w:spacing w:val="-66"/>
        </w:rPr>
      </w:r>
      <w:r>
        <w:rPr>
          <w:spacing w:val="-2"/>
        </w:rPr>
        <w:t>才基础，并将持续引进、储备高素质人才。同时，公司将严格按照上市公司规范治理要求，不断优化组织结构，提升管理水</w:t>
      </w:r>
      <w:r>
        <w:rPr>
          <w:spacing w:val="-68"/>
        </w:rPr>
        <w:t> </w:t>
      </w:r>
      <w:r>
        <w:rPr>
          <w:spacing w:val="-68"/>
        </w:rPr>
      </w:r>
      <w:r>
        <w:rPr/>
        <w:t>平，提高公司经营管理抗风险的能力。</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 </w:t>
            </w:r>
            <w:hyperlink r:id="rId15">
              <w:r>
                <w:rPr>
                  <w:rFonts w:ascii="Times New Roman" w:hAnsi="Times New Roman" w:cs="Times New Roman" w:eastAsia="Times New Roman" w:hint="default"/>
                  <w:sz w:val="18"/>
                  <w:szCs w:val="18"/>
                </w:rPr>
                <w:t>http://irm.cninfo.com.cn/ssessgs/S30008</w:t>
              </w:r>
            </w:hyperlink>
            <w:r>
              <w:rPr>
                <w:rFonts w:ascii="Times New Roman" w:hAnsi="Times New Roman" w:cs="Times New Roman" w:eastAsia="Times New Roman" w:hint="default"/>
                <w:sz w:val="18"/>
                <w:szCs w:val="18"/>
              </w:rPr>
              <w:t> 5/index.html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 </w:t>
            </w:r>
            <w:hyperlink r:id="rId15">
              <w:r>
                <w:rPr>
                  <w:rFonts w:ascii="Times New Roman" w:hAnsi="Times New Roman" w:cs="Times New Roman" w:eastAsia="Times New Roman" w:hint="default"/>
                  <w:sz w:val="18"/>
                  <w:szCs w:val="18"/>
                </w:rPr>
                <w:t>http://irm.cninfo.com.cn/ssessgs/S30008</w:t>
              </w:r>
            </w:hyperlink>
            <w:r>
              <w:rPr>
                <w:rFonts w:ascii="Times New Roman" w:hAnsi="Times New Roman" w:cs="Times New Roman" w:eastAsia="Times New Roman" w:hint="default"/>
                <w:sz w:val="18"/>
                <w:szCs w:val="18"/>
              </w:rPr>
              <w:t> 5/index.html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 </w:t>
            </w:r>
            <w:hyperlink r:id="rId15">
              <w:r>
                <w:rPr>
                  <w:rFonts w:ascii="Times New Roman" w:hAnsi="Times New Roman" w:cs="Times New Roman" w:eastAsia="Times New Roman" w:hint="default"/>
                  <w:sz w:val="18"/>
                  <w:szCs w:val="18"/>
                </w:rPr>
                <w:t>http://irm.cninfo.com.cn/ssessgs/S30008</w:t>
              </w:r>
            </w:hyperlink>
            <w:r>
              <w:rPr>
                <w:rFonts w:ascii="Times New Roman" w:hAnsi="Times New Roman" w:cs="Times New Roman" w:eastAsia="Times New Roman" w:hint="default"/>
                <w:sz w:val="18"/>
                <w:szCs w:val="18"/>
              </w:rPr>
              <w:t> 5/index.html</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 </w:t>
            </w:r>
            <w:hyperlink r:id="rId15">
              <w:r>
                <w:rPr>
                  <w:rFonts w:ascii="Times New Roman" w:hAnsi="Times New Roman" w:cs="Times New Roman" w:eastAsia="Times New Roman" w:hint="default"/>
                  <w:sz w:val="18"/>
                  <w:szCs w:val="18"/>
                </w:rPr>
                <w:t>http://irm.cninfo.com.cn/ssessgs/S30008</w:t>
              </w:r>
            </w:hyperlink>
            <w:r>
              <w:rPr>
                <w:rFonts w:ascii="Times New Roman" w:hAnsi="Times New Roman" w:cs="Times New Roman" w:eastAsia="Times New Roman" w:hint="default"/>
                <w:sz w:val="18"/>
                <w:szCs w:val="18"/>
              </w:rPr>
              <w:t> 5/index.html</w:t>
            </w:r>
          </w:p>
        </w:tc>
      </w:tr>
    </w:tbl>
    <w:p>
      <w:pPr>
        <w:spacing w:after="0" w:line="360" w:lineRule="auto"/>
        <w:jc w:val="lef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 </w:t>
            </w:r>
            <w:hyperlink r:id="rId15">
              <w:r>
                <w:rPr>
                  <w:rFonts w:ascii="Times New Roman" w:hAnsi="Times New Roman" w:cs="Times New Roman" w:eastAsia="Times New Roman" w:hint="default"/>
                  <w:sz w:val="18"/>
                  <w:szCs w:val="18"/>
                </w:rPr>
                <w:t>http://irm.cninfo.com.cn/ssessgs/S30008</w:t>
              </w:r>
            </w:hyperlink>
            <w:r>
              <w:rPr>
                <w:rFonts w:ascii="Times New Roman" w:hAnsi="Times New Roman" w:cs="Times New Roman" w:eastAsia="Times New Roman" w:hint="default"/>
                <w:sz w:val="18"/>
                <w:szCs w:val="18"/>
              </w:rPr>
              <w:t> 5/index.html</w:t>
            </w:r>
          </w:p>
        </w:tc>
      </w:tr>
    </w:tbl>
    <w:p>
      <w:pPr>
        <w:spacing w:after="0" w:line="36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494"/>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412" w:lineRule="auto" w:before="117"/>
        <w:ind w:left="530" w:right="214" w:hanging="3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报告期内，公司严格执行《公司章程》有关现金分红政策，《2014年度利润分配和资本公积金转增股本方案》经公司</w:t>
      </w:r>
    </w:p>
    <w:p>
      <w:pPr>
        <w:pStyle w:val="BodyText"/>
        <w:spacing w:line="477" w:lineRule="auto" w:before="103"/>
        <w:ind w:right="151"/>
        <w:jc w:val="both"/>
      </w:pPr>
      <w:r>
        <w:rPr/>
        <w:pict>
          <v:shape style="position:absolute;margin-left:56.459999pt;margin-top:141.122009pt;width:479.1pt;height:172.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spacing w:val="-2"/>
        </w:rPr>
        <w:t>2015年4月8日第三届董事会第十次会议及2015年4月30日2014年度股东大会审议通过，以2014年12月31日总股本262,722,219</w:t>
      </w:r>
      <w:r>
        <w:rPr>
          <w:spacing w:val="-28"/>
        </w:rPr>
        <w:t> </w:t>
      </w:r>
      <w:r>
        <w:rPr>
          <w:spacing w:val="-28"/>
        </w:rPr>
      </w:r>
      <w:r>
        <w:rPr/>
        <w:t>股为基数，向全体股东每10股派0.3元人民币现金（含税），合计派发现金股利7,881,666.57元（含税），剩余未分配利润 </w:t>
      </w:r>
      <w:r>
        <w:rPr>
          <w:spacing w:val="-2"/>
        </w:rPr>
        <w:t>59,468,093.80元结转以后年度。同时，以2014年12月31日总股本262,722,219股为基数，以资本公积金向全体股东每10股转</w:t>
      </w:r>
      <w:r>
        <w:rPr>
          <w:spacing w:val="-32"/>
        </w:rPr>
        <w:t> </w:t>
      </w:r>
      <w:r>
        <w:rPr>
          <w:spacing w:val="-32"/>
        </w:rPr>
      </w:r>
      <w:r>
        <w:rPr/>
        <w:t>增10股，合计转增股本262,722,219股。截至2014年12月31日，母公司资本公积金为467,211,676.96元，转增股本后，公司 的资本公积金余额为204,489,457.96元。根据2014年度股东大会决议，公司已于2015年5月12日实施了上述利润分配和资本 公积金转增股本方案。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44"/>
        <w:ind w:right="0"/>
        <w:jc w:val="left"/>
      </w:pPr>
      <w:r>
        <w:rPr/>
        <w:t>公司报告期利润分配预案及资本公积金转增股本预案与公司章程和分红管理办法等的相关规定一致</w:t>
      </w:r>
    </w:p>
    <w:p>
      <w:pPr>
        <w:pStyle w:val="BodyText"/>
        <w:spacing w:line="412" w:lineRule="auto" w:before="117"/>
        <w:ind w:left="514" w:right="2930" w:hanging="3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w:t>
      </w:r>
    </w:p>
    <w:p>
      <w:pPr>
        <w:pStyle w:val="BodyText"/>
        <w:spacing w:line="240" w:lineRule="auto" w:before="65"/>
        <w:ind w:right="0"/>
        <w:jc w:val="left"/>
      </w:pPr>
      <w:r>
        <w:rPr/>
        <w:t>本年度利润分配及资本公积金转增股本预案</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525,804,438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15,774,133.14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84,222,361.19</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68"/>
      </w:tblGrid>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27"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经瑞华会计师事务所审计，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27,504,741.55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元，根据《公司法》和《公司章程》的有关规 定，按照实现净利润的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2,750,474.16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元后，加上年初未分配利润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67,349,760.37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现金分红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7,881,666.57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84,222,361.19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公司董事会拟定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年度利润分配和资本公积金转增股本预案为：以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525,804,438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元人民币现金（含税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15,774,13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68,448,228.05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元结转以后年度。同时，以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525,804,438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股为基数，以资本公积金向全体股东每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股，合计转增股本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157,741,331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日，母公司资本公积金为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207,270,712.93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元，转增股本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后，公司的资本公积金余额为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49,529,381.93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6"/>
        <w:rPr>
          <w:rFonts w:ascii="宋体" w:hAnsi="宋体" w:cs="宋体" w:eastAsia="宋体" w:hint="default"/>
          <w:sz w:val="6"/>
          <w:szCs w:val="6"/>
        </w:rPr>
      </w:pPr>
    </w:p>
    <w:p>
      <w:pPr>
        <w:pStyle w:val="BodyText"/>
        <w:spacing w:line="496" w:lineRule="auto" w:before="44"/>
        <w:ind w:left="499" w:right="110" w:hanging="346"/>
        <w:jc w:val="left"/>
      </w:pPr>
      <w:r>
        <w:rPr/>
        <w:t>公司近</w:t>
      </w:r>
      <w:r>
        <w:rPr>
          <w:spacing w:val="-46"/>
        </w:rPr>
        <w:t> </w:t>
      </w:r>
      <w:r>
        <w:rPr/>
        <w:t>3</w:t>
      </w:r>
      <w:r>
        <w:rPr>
          <w:spacing w:val="-46"/>
        </w:rPr>
        <w:t> </w:t>
      </w:r>
      <w:r>
        <w:rPr>
          <w:spacing w:val="-3"/>
        </w:rPr>
        <w:t>年（包括本报告期）的普通股股利分配方案（预案）、资本公积金转增股本方案（预案）情况</w:t>
      </w:r>
      <w:r>
        <w:rPr>
          <w:spacing w:val="-58"/>
        </w:rPr>
        <w:t> </w:t>
      </w:r>
      <w:r>
        <w:rPr>
          <w:spacing w:val="-58"/>
        </w:rPr>
      </w:r>
      <w:r>
        <w:rPr/>
        <w:t>1．2015年度利润分配和资本公积金转增股本预案 经瑞华会计师事务所审计，</w:t>
      </w:r>
      <w:r>
        <w:rPr>
          <w:rFonts w:ascii="Times New Roman" w:hAnsi="Times New Roman" w:cs="Times New Roman" w:eastAsia="Times New Roman" w:hint="default"/>
        </w:rPr>
        <w:t>2015</w:t>
      </w:r>
      <w:r>
        <w:rPr/>
        <w:t>年度母公司实现净利润</w:t>
      </w:r>
      <w:r>
        <w:rPr>
          <w:rFonts w:ascii="Times New Roman" w:hAnsi="Times New Roman" w:cs="Times New Roman" w:eastAsia="Times New Roman" w:hint="default"/>
        </w:rPr>
        <w:t>27,504,741.55</w:t>
      </w:r>
      <w:r>
        <w:rPr/>
        <w:t>元，根据《公司法》和《公司章程》的有关规定，</w:t>
      </w:r>
    </w:p>
    <w:p>
      <w:pPr>
        <w:pStyle w:val="BodyText"/>
        <w:spacing w:line="240" w:lineRule="auto" w:before="5"/>
        <w:ind w:right="0"/>
        <w:jc w:val="left"/>
      </w:pPr>
      <w:r>
        <w:rPr/>
        <w:t>按照实现净利润的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2,750,474.16</w:t>
      </w:r>
      <w:r>
        <w:rPr/>
        <w:t>元后，加上年初未分配利润</w:t>
      </w:r>
      <w:r>
        <w:rPr>
          <w:rFonts w:ascii="Times New Roman" w:hAnsi="Times New Roman" w:cs="Times New Roman" w:eastAsia="Times New Roman" w:hint="default"/>
        </w:rPr>
        <w:t>67,349,760.37</w:t>
      </w:r>
      <w:r>
        <w:rPr/>
        <w:t>元，减去</w:t>
      </w:r>
      <w:r>
        <w:rPr>
          <w:rFonts w:ascii="Times New Roman" w:hAnsi="Times New Roman" w:cs="Times New Roman" w:eastAsia="Times New Roman" w:hint="default"/>
        </w:rPr>
        <w:t>2014</w:t>
      </w:r>
      <w:r>
        <w:rPr/>
        <w:t>年度现金分红</w:t>
      </w:r>
    </w:p>
    <w:p>
      <w:pPr>
        <w:spacing w:line="240" w:lineRule="auto" w:before="9"/>
        <w:rPr>
          <w:rFonts w:ascii="宋体" w:hAnsi="宋体" w:cs="宋体" w:eastAsia="宋体" w:hint="default"/>
          <w:sz w:val="16"/>
          <w:szCs w:val="16"/>
        </w:rPr>
      </w:pPr>
    </w:p>
    <w:p>
      <w:pPr>
        <w:pStyle w:val="BodyText"/>
        <w:spacing w:line="451" w:lineRule="auto"/>
        <w:ind w:left="513" w:right="0" w:hanging="360"/>
        <w:jc w:val="left"/>
      </w:pPr>
      <w:r>
        <w:rPr>
          <w:rFonts w:ascii="Times New Roman" w:hAnsi="Times New Roman" w:cs="Times New Roman" w:eastAsia="Times New Roman" w:hint="default"/>
        </w:rPr>
        <w:t>7,881,666.57</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日，母公司可供股东分配的利润为</w:t>
      </w:r>
      <w:r>
        <w:rPr>
          <w:rFonts w:ascii="Times New Roman" w:hAnsi="Times New Roman" w:cs="Times New Roman" w:eastAsia="Times New Roman" w:hint="default"/>
        </w:rPr>
        <w:t>84,222,361.19</w:t>
      </w:r>
      <w:r>
        <w:rPr/>
        <w:t>元。 </w:t>
      </w:r>
      <w:r>
        <w:rPr>
          <w:spacing w:val="-2"/>
        </w:rPr>
        <w:t>公司董事会拟定</w:t>
      </w:r>
      <w:r>
        <w:rPr>
          <w:rFonts w:ascii="Times New Roman" w:hAnsi="Times New Roman" w:cs="Times New Roman" w:eastAsia="Times New Roman" w:hint="default"/>
          <w:spacing w:val="-2"/>
        </w:rPr>
        <w:t>2015</w:t>
      </w:r>
      <w:r>
        <w:rPr>
          <w:spacing w:val="-2"/>
        </w:rPr>
        <w:t>年度利润分配和资本公积金转增股本预案为：以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525,804,438</w:t>
      </w:r>
      <w:r>
        <w:rPr>
          <w:spacing w:val="-2"/>
        </w:rPr>
        <w:t>股为基数，向全</w:t>
      </w:r>
    </w:p>
    <w:p>
      <w:pPr>
        <w:pStyle w:val="BodyText"/>
        <w:spacing w:line="451" w:lineRule="auto" w:before="43"/>
        <w:ind w:left="153" w:right="151"/>
        <w:jc w:val="both"/>
      </w:pPr>
      <w:r>
        <w:rPr>
          <w:spacing w:val="-4"/>
        </w:rPr>
        <w:t>体股东每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0.3</w:t>
      </w:r>
      <w:r>
        <w:rPr>
          <w:spacing w:val="-4"/>
        </w:rPr>
        <w:t>元人民币现金（含税），合计派发现金股利</w:t>
      </w:r>
      <w:r>
        <w:rPr>
          <w:rFonts w:ascii="Times New Roman" w:hAnsi="Times New Roman" w:cs="Times New Roman" w:eastAsia="Times New Roman" w:hint="default"/>
          <w:spacing w:val="-4"/>
        </w:rPr>
        <w:t>15,774,133.14</w:t>
      </w:r>
      <w:r>
        <w:rPr>
          <w:spacing w:val="-4"/>
        </w:rPr>
        <w:t>元（含税），剩余未分配利润</w:t>
      </w:r>
      <w:r>
        <w:rPr>
          <w:rFonts w:ascii="Times New Roman" w:hAnsi="Times New Roman" w:cs="Times New Roman" w:eastAsia="Times New Roman" w:hint="default"/>
          <w:spacing w:val="-4"/>
        </w:rPr>
        <w:t>68,448,228.05</w:t>
      </w:r>
      <w:r>
        <w:rPr>
          <w:spacing w:val="-4"/>
        </w:rPr>
        <w:t>元结转</w:t>
      </w:r>
      <w:r>
        <w:rPr>
          <w:spacing w:val="-27"/>
        </w:rPr>
        <w:t> </w:t>
      </w:r>
      <w:r>
        <w:rPr/>
        <w:t>以后年度。同时，以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525,804,438</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 </w:t>
      </w:r>
      <w:r>
        <w:rPr>
          <w:rFonts w:ascii="Times New Roman" w:hAnsi="Times New Roman" w:cs="Times New Roman" w:eastAsia="Times New Roman" w:hint="default"/>
        </w:rPr>
        <w:t>157,741,331</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日，母公司资本公积金为</w:t>
      </w:r>
      <w:r>
        <w:rPr>
          <w:rFonts w:ascii="Times New Roman" w:hAnsi="Times New Roman" w:cs="Times New Roman" w:eastAsia="Times New Roman" w:hint="default"/>
        </w:rPr>
        <w:t>207,270,712.93</w:t>
      </w:r>
      <w:r>
        <w:rPr/>
        <w:t>元，转增股本后，公司的资本公积金余额为</w:t>
      </w:r>
    </w:p>
    <w:p>
      <w:pPr>
        <w:pStyle w:val="BodyText"/>
        <w:spacing w:line="240" w:lineRule="auto" w:before="43"/>
        <w:ind w:left="153" w:right="0"/>
        <w:jc w:val="left"/>
      </w:pPr>
      <w:r>
        <w:rPr>
          <w:rFonts w:ascii="Times New Roman" w:hAnsi="Times New Roman" w:cs="Times New Roman" w:eastAsia="Times New Roman" w:hint="default"/>
        </w:rPr>
        <w:t>49,529,381.93</w:t>
      </w:r>
      <w:r>
        <w:rPr/>
        <w:t>元。</w:t>
      </w:r>
    </w:p>
    <w:p>
      <w:pPr>
        <w:spacing w:line="240" w:lineRule="auto" w:before="9"/>
        <w:rPr>
          <w:rFonts w:ascii="宋体" w:hAnsi="宋体" w:cs="宋体" w:eastAsia="宋体" w:hint="default"/>
          <w:sz w:val="16"/>
          <w:szCs w:val="16"/>
        </w:rPr>
      </w:pPr>
    </w:p>
    <w:p>
      <w:pPr>
        <w:pStyle w:val="BodyText"/>
        <w:spacing w:line="458" w:lineRule="auto"/>
        <w:ind w:left="153" w:right="151" w:firstLine="360"/>
        <w:jc w:val="both"/>
      </w:pPr>
      <w:r>
        <w:rPr>
          <w:spacing w:val="-2"/>
        </w:rPr>
        <w:t>公司独立董事认为：公司</w:t>
      </w:r>
      <w:r>
        <w:rPr>
          <w:rFonts w:ascii="Times New Roman" w:hAnsi="Times New Roman" w:cs="Times New Roman" w:eastAsia="Times New Roman" w:hint="default"/>
          <w:spacing w:val="-2"/>
        </w:rPr>
        <w:t>2015</w:t>
      </w:r>
      <w:r>
        <w:rPr>
          <w:spacing w:val="-2"/>
        </w:rPr>
        <w:t>年度利润分配预案符合公司实际情况，在保证公司正常经营和长远发展的前提下，更好地</w:t>
      </w:r>
      <w:r>
        <w:rPr/>
        <w:t> </w:t>
      </w:r>
      <w:r>
        <w:rPr>
          <w:spacing w:val="-2"/>
        </w:rPr>
        <w:t>兼顾了股东的即期利益和长远利益；符合中国证监会《关于进一步落实上市公司现金分红有关事项的通知》、《上市公司监</w:t>
      </w:r>
      <w:r>
        <w:rPr>
          <w:spacing w:val="-66"/>
        </w:rPr>
        <w:t> </w:t>
      </w:r>
      <w:r>
        <w:rPr>
          <w:spacing w:val="-66"/>
        </w:rPr>
      </w:r>
      <w:r>
        <w:rPr/>
        <w:t>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上市公司现金分红》的文件精神；不存在违反法律、法规、公司章程的情形，也不存在损害公司股东尤其 是中小股东利益的情形，有利于公司的正常经营和健康发展。</w:t>
      </w:r>
    </w:p>
    <w:p>
      <w:pPr>
        <w:pStyle w:val="BodyText"/>
        <w:spacing w:line="451" w:lineRule="auto" w:before="68"/>
        <w:ind w:left="513" w:right="3291"/>
        <w:jc w:val="left"/>
      </w:pPr>
      <w:r>
        <w:rPr/>
        <w:t>本利润分配和资本公积金转增股本预案尚需提交公司</w:t>
      </w:r>
      <w:r>
        <w:rPr>
          <w:rFonts w:ascii="Times New Roman" w:hAnsi="Times New Roman" w:cs="Times New Roman" w:eastAsia="Times New Roman" w:hint="default"/>
        </w:rPr>
        <w:t>2015</w:t>
      </w:r>
      <w:r>
        <w:rPr/>
        <w:t>年度股东大会审议。 2．2014年度利润分配和资本公积金转增股本预案</w:t>
      </w:r>
    </w:p>
    <w:p>
      <w:pPr>
        <w:pStyle w:val="BodyText"/>
        <w:spacing w:line="458" w:lineRule="auto" w:before="74"/>
        <w:ind w:left="153" w:right="150" w:firstLine="360"/>
        <w:jc w:val="both"/>
      </w:pPr>
      <w:r>
        <w:rPr>
          <w:spacing w:val="-2"/>
        </w:rPr>
        <w:t>2014年度，公司以经瑞华会计师事务所审计的母公司可供分配利润为基础，以2014年末总股本</w:t>
      </w:r>
      <w:r>
        <w:rPr>
          <w:rFonts w:ascii="Times New Roman" w:hAnsi="Times New Roman" w:cs="Times New Roman" w:eastAsia="Times New Roman" w:hint="default"/>
          <w:spacing w:val="-2"/>
        </w:rPr>
        <w:t>262,722,219</w:t>
      </w:r>
      <w:r>
        <w:rPr>
          <w:spacing w:val="-2"/>
        </w:rPr>
        <w:t>股为基数，向</w:t>
      </w:r>
      <w:r>
        <w:rPr/>
        <w:t> </w:t>
      </w:r>
      <w:r>
        <w:rPr>
          <w:spacing w:val="-1"/>
        </w:rPr>
        <w:t>全体股东每10股派发人民币0.30元现金（含税）,合计派发现金股利利</w:t>
      </w:r>
      <w:r>
        <w:rPr>
          <w:rFonts w:ascii="Times New Roman" w:hAnsi="Times New Roman" w:cs="Times New Roman" w:eastAsia="Times New Roman" w:hint="default"/>
          <w:spacing w:val="-1"/>
        </w:rPr>
        <w:t>7,881,666.57</w:t>
      </w:r>
      <w:r>
        <w:rPr>
          <w:spacing w:val="-1"/>
        </w:rPr>
        <w:t>元（含税），同时，以2014年12月31日总</w:t>
      </w:r>
      <w:r>
        <w:rPr>
          <w:spacing w:val="-62"/>
        </w:rPr>
        <w:t> </w:t>
      </w:r>
      <w:r>
        <w:rPr>
          <w:spacing w:val="-62"/>
        </w:rPr>
      </w:r>
      <w:r>
        <w:rPr/>
        <w:t>股本</w:t>
      </w:r>
      <w:r>
        <w:rPr>
          <w:rFonts w:ascii="Times New Roman" w:hAnsi="Times New Roman" w:cs="Times New Roman" w:eastAsia="Times New Roman" w:hint="default"/>
        </w:rPr>
        <w:t>262,722,219</w:t>
      </w:r>
      <w:r>
        <w:rPr/>
        <w:t>股为基数，以资本公积金向全体股东每10股转增10股，合计转增股本</w:t>
      </w:r>
      <w:r>
        <w:rPr>
          <w:rFonts w:ascii="Times New Roman" w:hAnsi="Times New Roman" w:cs="Times New Roman" w:eastAsia="Times New Roman" w:hint="default"/>
        </w:rPr>
        <w:t>262,722,219</w:t>
      </w:r>
      <w:r>
        <w:rPr/>
        <w:t>股。2015年4月8日,公司第 三届董事会第十次会议审议通过了《2014年度利润分配和资本公积金转增股本方案》；4月30日，2014年度股东大会审议通 过上述权益分派方案；5月12日，上述方案实施完毕。</w:t>
      </w:r>
    </w:p>
    <w:p>
      <w:pPr>
        <w:spacing w:after="0" w:line="458"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240" w:lineRule="auto" w:before="44"/>
        <w:ind w:left="499" w:right="0"/>
        <w:jc w:val="left"/>
      </w:pPr>
      <w:r>
        <w:rPr/>
        <w:t>3．</w:t>
      </w:r>
      <w:r>
        <w:rPr>
          <w:spacing w:val="-19"/>
        </w:rPr>
        <w:t> </w:t>
      </w:r>
      <w:r>
        <w:rPr/>
        <w:t>2013年度利润分配和资本公积金转增股本预案</w:t>
      </w:r>
    </w:p>
    <w:p>
      <w:pPr>
        <w:spacing w:line="240" w:lineRule="auto" w:before="10"/>
        <w:rPr>
          <w:rFonts w:ascii="宋体" w:hAnsi="宋体" w:cs="宋体" w:eastAsia="宋体" w:hint="default"/>
          <w:sz w:val="17"/>
          <w:szCs w:val="17"/>
        </w:rPr>
      </w:pPr>
    </w:p>
    <w:p>
      <w:pPr>
        <w:pStyle w:val="BodyText"/>
        <w:spacing w:line="477" w:lineRule="auto"/>
        <w:ind w:right="149" w:firstLine="345"/>
        <w:jc w:val="both"/>
      </w:pPr>
      <w:r>
        <w:rPr>
          <w:spacing w:val="-2"/>
        </w:rPr>
        <w:t>2013年度，公司以经瑞华会计师事务所审计的母公司可供分配利润为基础，以2013年末总股本12,133万股为基数，向全</w:t>
      </w:r>
      <w:r>
        <w:rPr/>
        <w:t> </w:t>
      </w:r>
      <w:r>
        <w:rPr>
          <w:spacing w:val="-7"/>
        </w:rPr>
        <w:t>体股东每10股派发人民币0.50元现金（含税），合计派发现金股利606.65万元（含税），同时，以2013年12月31日总股本12,133</w:t>
      </w:r>
      <w:r>
        <w:rPr>
          <w:spacing w:val="-53"/>
        </w:rPr>
        <w:t> </w:t>
      </w:r>
      <w:r>
        <w:rPr>
          <w:spacing w:val="-53"/>
        </w:rPr>
      </w:r>
      <w:r>
        <w:rPr/>
        <w:t>万股为基数，以资本公积金向全体股东每10股转增10股，合计转增股本12,133万股。2013年3月5日,公司第二届董事会第二 </w:t>
      </w:r>
      <w:r>
        <w:rPr>
          <w:spacing w:val="-2"/>
        </w:rPr>
        <w:t>十三次会议审议通过了《2013年度利润分配和资本公积金转增股本方案》；4月9日，2013年度股东大会审议通过上述权益分</w:t>
      </w:r>
      <w:r>
        <w:rPr>
          <w:spacing w:val="-56"/>
        </w:rPr>
        <w:t> </w:t>
      </w:r>
      <w:r>
        <w:rPr>
          <w:spacing w:val="-56"/>
        </w:rPr>
      </w:r>
      <w:r>
        <w:rPr/>
        <w:t>派方案；4月21日，上述方案实施完毕。</w:t>
      </w:r>
    </w:p>
    <w:p>
      <w:pPr>
        <w:spacing w:line="240" w:lineRule="auto" w:before="10"/>
        <w:rPr>
          <w:rFonts w:ascii="宋体" w:hAnsi="宋体" w:cs="宋体" w:eastAsia="宋体" w:hint="default"/>
          <w:sz w:val="21"/>
          <w:szCs w:val="21"/>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15,774,133.14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72,960,653.41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7,881,666.57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27,686,672.11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14,446,722.90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985"/>
        <w:gridCol w:w="851"/>
        <w:gridCol w:w="1276"/>
        <w:gridCol w:w="992"/>
        <w:gridCol w:w="1134"/>
        <w:gridCol w:w="1345"/>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冯军、李岩、深圳弘道天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瑞投资有限责任公司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宋体" w:hAnsi="宋体" w:cs="宋体" w:eastAsia="宋体" w:hint="default"/>
                <w:sz w:val="18"/>
                <w:szCs w:val="18"/>
              </w:rPr>
            </w:pPr>
            <w:r>
              <w:rPr>
                <w:rFonts w:ascii="宋体" w:hAnsi="宋体" w:cs="宋体" w:eastAsia="宋体" w:hint="default"/>
                <w:sz w:val="18"/>
                <w:szCs w:val="18"/>
              </w:rPr>
              <w:t>截止报告期末， 公司上述股东均 遵守以上承诺， 未发生违反上述 承诺的情况。</w:t>
            </w:r>
          </w:p>
        </w:tc>
      </w:tr>
      <w:tr>
        <w:trPr>
          <w:trHeight w:val="1651"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冯军、李岩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业绩承诺及补 偿安排</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宋体" w:hAnsi="宋体" w:cs="宋体" w:eastAsia="宋体" w:hint="default"/>
                <w:sz w:val="18"/>
                <w:szCs w:val="18"/>
              </w:rPr>
            </w:pPr>
            <w:r>
              <w:rPr>
                <w:rFonts w:ascii="宋体" w:hAnsi="宋体" w:cs="宋体" w:eastAsia="宋体" w:hint="default"/>
                <w:sz w:val="18"/>
                <w:szCs w:val="18"/>
              </w:rPr>
              <w:t>截止报告期末， 公司上述股东均 遵守以上承诺， 未发生违反上述 承诺的情况。</w:t>
            </w:r>
          </w:p>
        </w:tc>
      </w:tr>
    </w:tbl>
    <w:p>
      <w:pPr>
        <w:spacing w:after="0" w:line="316"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55.419998pt;margin-top:643.020020pt;width:42pt;height:97.6pt;mso-position-horizontal-relative:page;mso-position-vertical-relative:page;z-index:-757480" coordorigin="5108,12860" coordsize="840,1952">
            <v:group style="position:absolute;left:5108;top:12860;width:840;height:1952" coordorigin="5108,12860" coordsize="840,1952">
              <v:shape style="position:absolute;left:5108;top:12860;width:840;height:1952" coordorigin="5108,12860" coordsize="840,1952" path="m5108,14812l5948,14812,5948,12860,5108,12860,5108,14812xe" filled="true" fillcolor="#ffffff" stroked="false">
                <v:path arrowok="t"/>
                <v:fill type="solid"/>
              </v:shape>
            </v:group>
            <v:group style="position:absolute;left:5131;top:12860;width:795;height:352" coordorigin="5131,12860" coordsize="795,352">
              <v:shape style="position:absolute;left:5131;top:12860;width:795;height:352" coordorigin="5131,12860" coordsize="795,352" path="m5131,13212l5926,13212,5926,12860,5131,12860,5131,13212xe" filled="true" fillcolor="#ffffff" stroked="false">
                <v:path arrowok="t"/>
                <v:fill type="solid"/>
              </v:shape>
            </v:group>
            <v:group style="position:absolute;left:5131;top:13212;width:795;height:312" coordorigin="5131,13212" coordsize="795,312">
              <v:shape style="position:absolute;left:5131;top:13212;width:795;height:312" coordorigin="5131,13212" coordsize="795,312" path="m5131,13524l5926,13524,5926,13212,5131,13212,5131,13524xe" filled="true" fillcolor="#ffffff" stroked="false">
                <v:path arrowok="t"/>
                <v:fill type="solid"/>
              </v:shape>
            </v:group>
            <v:group style="position:absolute;left:5131;top:13524;width:795;height:312" coordorigin="5131,13524" coordsize="795,312">
              <v:shape style="position:absolute;left:5131;top:13524;width:795;height:312" coordorigin="5131,13524" coordsize="795,312" path="m5131,13836l5926,13836,5926,13524,5131,13524,5131,13836xe" filled="true" fillcolor="#ffffff" stroked="false">
                <v:path arrowok="t"/>
                <v:fill type="solid"/>
              </v:shape>
            </v:group>
            <v:group style="position:absolute;left:5131;top:13836;width:795;height:312" coordorigin="5131,13836" coordsize="795,312">
              <v:shape style="position:absolute;left:5131;top:13836;width:795;height:312" coordorigin="5131,13836" coordsize="795,312" path="m5131,14148l5926,14148,5926,13836,5131,13836,5131,14148xe" filled="true" fillcolor="#ffffff" stroked="false">
                <v:path arrowok="t"/>
                <v:fill type="solid"/>
              </v:shape>
            </v:group>
            <v:group style="position:absolute;left:5131;top:14148;width:795;height:312" coordorigin="5131,14148" coordsize="795,312">
              <v:shape style="position:absolute;left:5131;top:14148;width:795;height:312" coordorigin="5131,14148" coordsize="795,312" path="m5131,14460l5926,14460,5926,14148,5131,14148,5131,14460xe" filled="true" fillcolor="#ffffff" stroked="false">
                <v:path arrowok="t"/>
                <v:fill type="solid"/>
              </v:shape>
            </v:group>
            <v:group style="position:absolute;left:5131;top:14460;width:795;height:352" coordorigin="5131,14460" coordsize="795,352">
              <v:shape style="position:absolute;left:5131;top:14460;width:795;height:352" coordorigin="5131,14460" coordsize="795,352" path="m5131,14812l5926,14812,5926,14460,5131,14460,5131,1481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985"/>
        <w:gridCol w:w="1985"/>
        <w:gridCol w:w="851"/>
        <w:gridCol w:w="1276"/>
        <w:gridCol w:w="992"/>
        <w:gridCol w:w="1134"/>
        <w:gridCol w:w="1345"/>
      </w:tblGrid>
      <w:tr>
        <w:trPr>
          <w:trHeight w:val="196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冯军、李岩、深圳弘道天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瑞投资有限责任公司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避免关联交易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0"/>
              <w:jc w:val="both"/>
              <w:rPr>
                <w:rFonts w:ascii="宋体" w:hAnsi="宋体" w:cs="宋体" w:eastAsia="宋体" w:hint="default"/>
                <w:sz w:val="18"/>
                <w:szCs w:val="18"/>
              </w:rPr>
            </w:pPr>
            <w:r>
              <w:rPr>
                <w:rFonts w:ascii="宋体" w:hAnsi="宋体" w:cs="宋体" w:eastAsia="宋体" w:hint="default"/>
                <w:sz w:val="18"/>
                <w:szCs w:val="18"/>
              </w:rPr>
              <w:t>截止报告期末， 公司上述股东均 遵守以上承诺， 未发生违反上述 承诺的情况。</w:t>
            </w:r>
          </w:p>
        </w:tc>
      </w:tr>
      <w:tr>
        <w:trPr>
          <w:trHeight w:val="196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冯军、李岩、深圳弘道天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瑞投资有限责任公司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避免同业竞争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0"/>
              <w:jc w:val="both"/>
              <w:rPr>
                <w:rFonts w:ascii="宋体" w:hAnsi="宋体" w:cs="宋体" w:eastAsia="宋体" w:hint="default"/>
                <w:sz w:val="18"/>
                <w:szCs w:val="18"/>
              </w:rPr>
            </w:pPr>
            <w:r>
              <w:rPr>
                <w:rFonts w:ascii="宋体" w:hAnsi="宋体" w:cs="宋体" w:eastAsia="宋体" w:hint="default"/>
                <w:sz w:val="18"/>
                <w:szCs w:val="18"/>
              </w:rPr>
              <w:t>截止报告期末， 公司上述股东均 遵守以上承诺， 未发生违反上述 承诺的情况。</w:t>
            </w:r>
          </w:p>
        </w:tc>
      </w:tr>
      <w:tr>
        <w:trPr>
          <w:trHeight w:val="738"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3"/>
              <w:ind w:left="22" w:right="20"/>
              <w:jc w:val="left"/>
              <w:rPr>
                <w:rFonts w:ascii="宋体" w:hAnsi="宋体" w:cs="宋体" w:eastAsia="宋体" w:hint="default"/>
                <w:sz w:val="18"/>
                <w:szCs w:val="18"/>
              </w:rPr>
            </w:pPr>
            <w:r>
              <w:rPr>
                <w:rFonts w:ascii="宋体" w:hAnsi="宋体" w:cs="宋体" w:eastAsia="宋体" w:hint="default"/>
                <w:spacing w:val="-6"/>
                <w:sz w:val="18"/>
                <w:szCs w:val="18"/>
              </w:rPr>
              <w:t>（一）公司股票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上市前股东所</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（一）公司股 票上市前股</w:t>
            </w: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205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2"/>
              <w:ind w:left="22" w:right="22"/>
              <w:jc w:val="left"/>
              <w:rPr>
                <w:rFonts w:ascii="宋体" w:hAnsi="宋体" w:cs="宋体" w:eastAsia="宋体" w:hint="default"/>
                <w:sz w:val="18"/>
                <w:szCs w:val="18"/>
              </w:rPr>
            </w:pPr>
            <w:r>
              <w:rPr>
                <w:rFonts w:ascii="宋体" w:hAnsi="宋体" w:cs="宋体" w:eastAsia="宋体" w:hint="default"/>
                <w:spacing w:val="-5"/>
                <w:sz w:val="18"/>
                <w:szCs w:val="18"/>
              </w:rPr>
              <w:t>上市前股东、共同实际控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both"/>
              <w:rPr>
                <w:rFonts w:ascii="宋体" w:hAnsi="宋体" w:cs="宋体" w:eastAsia="宋体" w:hint="default"/>
                <w:sz w:val="18"/>
                <w:szCs w:val="18"/>
              </w:rPr>
            </w:pPr>
            <w:r>
              <w:rPr>
                <w:rFonts w:ascii="宋体" w:hAnsi="宋体" w:cs="宋体" w:eastAsia="宋体" w:hint="default"/>
                <w:sz w:val="18"/>
                <w:szCs w:val="18"/>
              </w:rPr>
              <w:t>关于同业</w:t>
            </w:r>
          </w:p>
          <w:p>
            <w:pPr>
              <w:pStyle w:val="TableParagraph"/>
              <w:spacing w:line="319" w:lineRule="auto" w:before="76"/>
              <w:ind w:left="22" w:right="96"/>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 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9" w:lineRule="auto" w:before="78"/>
              <w:ind w:left="22"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持股份的流通 限制和自愿锁 定股份的承诺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16" w:lineRule="auto" w:before="35"/>
              <w:ind w:left="22" w:right="20"/>
              <w:jc w:val="left"/>
              <w:rPr>
                <w:rFonts w:ascii="宋体" w:hAnsi="宋体" w:cs="宋体" w:eastAsia="宋体" w:hint="default"/>
                <w:sz w:val="18"/>
                <w:szCs w:val="18"/>
              </w:rPr>
            </w:pPr>
            <w:r>
              <w:rPr>
                <w:rFonts w:ascii="宋体" w:hAnsi="宋体" w:cs="宋体" w:eastAsia="宋体" w:hint="default"/>
                <w:spacing w:val="-6"/>
                <w:sz w:val="18"/>
                <w:szCs w:val="18"/>
              </w:rPr>
              <w:t>（二）避免同业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东所持股份</w:t>
            </w:r>
          </w:p>
          <w:p>
            <w:pPr>
              <w:pStyle w:val="TableParagraph"/>
              <w:spacing w:line="316" w:lineRule="auto" w:before="76"/>
              <w:ind w:left="22" w:right="19"/>
              <w:jc w:val="left"/>
              <w:rPr>
                <w:rFonts w:ascii="宋体" w:hAnsi="宋体" w:cs="宋体" w:eastAsia="宋体" w:hint="default"/>
                <w:sz w:val="18"/>
                <w:szCs w:val="18"/>
              </w:rPr>
            </w:pPr>
            <w:r>
              <w:rPr>
                <w:rFonts w:ascii="宋体" w:hAnsi="宋体" w:cs="宋体" w:eastAsia="宋体" w:hint="default"/>
                <w:sz w:val="18"/>
                <w:szCs w:val="18"/>
              </w:rPr>
              <w:t>的流通限制 和自愿锁定 股份的承诺： 三十六个月；</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（二）避免同</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9" w:lineRule="auto" w:before="98"/>
              <w:ind w:left="22" w:right="50"/>
              <w:jc w:val="both"/>
              <w:rPr>
                <w:rFonts w:ascii="宋体" w:hAnsi="宋体" w:cs="宋体" w:eastAsia="宋体" w:hint="default"/>
                <w:sz w:val="18"/>
                <w:szCs w:val="18"/>
              </w:rPr>
            </w:pPr>
            <w:r>
              <w:rPr>
                <w:rFonts w:ascii="宋体" w:hAnsi="宋体" w:cs="宋体" w:eastAsia="宋体" w:hint="default"/>
                <w:sz w:val="18"/>
                <w:szCs w:val="18"/>
              </w:rPr>
              <w:t>截止报告期末， 公司上述股东均 遵守以上承诺， 未发生违反上述 承诺的情况。</w:t>
            </w:r>
          </w:p>
        </w:tc>
      </w:tr>
      <w:tr>
        <w:trPr>
          <w:trHeight w:val="420"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186" w:lineRule="exact"/>
              <w:ind w:left="22" w:right="0"/>
              <w:jc w:val="left"/>
              <w:rPr>
                <w:rFonts w:ascii="Times New Roman" w:hAnsi="Times New Roman" w:cs="Times New Roman" w:eastAsia="Times New Roman" w:hint="default"/>
                <w:sz w:val="18"/>
                <w:szCs w:val="18"/>
              </w:rPr>
            </w:pPr>
            <w:r>
              <w:rPr>
                <w:rFonts w:ascii="Times New Roman"/>
                <w:sz w:val="18"/>
              </w:rPr>
              <w:t>6]</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诺：长期。</w:t>
            </w: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截止报告期末，</w:t>
            </w:r>
          </w:p>
        </w:tc>
      </w:tr>
      <w:tr>
        <w:trPr>
          <w:trHeight w:val="89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关于财务 资助及补 偿的承诺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不提供财务资 助及补偿的承</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公司遵守以上承 诺，未发生违反 上述承诺的情</w:t>
            </w:r>
          </w:p>
        </w:tc>
      </w:tr>
      <w:tr>
        <w:trPr>
          <w:trHeight w:val="308"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w:t>
            </w: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89" w:hRule="exact"/>
        </w:trPr>
        <w:tc>
          <w:tcPr>
            <w:tcW w:w="1985" w:type="dxa"/>
            <w:vMerge w:val="restart"/>
            <w:tcBorders>
              <w:top w:val="nil" w:sz="6" w:space="0" w:color="auto"/>
              <w:left w:val="single" w:sz="4" w:space="0" w:color="000000"/>
              <w:right w:val="single" w:sz="4" w:space="0" w:color="000000"/>
            </w:tcBorders>
            <w:shd w:val="clear" w:color="auto" w:fill="D3D3D3"/>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时所作承诺</w:t>
            </w: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112" w:hRule="exact"/>
        </w:trPr>
        <w:tc>
          <w:tcPr>
            <w:tcW w:w="1985" w:type="dxa"/>
            <w:vMerge/>
            <w:tcBorders>
              <w:left w:val="single" w:sz="4" w:space="0" w:color="000000"/>
              <w:bottom w:val="nil" w:sz="6" w:space="0" w:color="auto"/>
              <w:right w:val="single" w:sz="4" w:space="0" w:color="000000"/>
            </w:tcBorders>
            <w:shd w:val="clear" w:color="auto" w:fill="D3D3D3"/>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25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不提供财务资</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助及补偿的承</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111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张学君、陈向军、李军</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both"/>
              <w:rPr>
                <w:rFonts w:ascii="宋体" w:hAnsi="宋体" w:cs="宋体" w:eastAsia="宋体" w:hint="default"/>
                <w:sz w:val="18"/>
                <w:szCs w:val="18"/>
              </w:rPr>
            </w:pPr>
            <w:r>
              <w:rPr>
                <w:rFonts w:ascii="宋体" w:hAnsi="宋体" w:cs="宋体" w:eastAsia="宋体" w:hint="default"/>
                <w:sz w:val="18"/>
                <w:szCs w:val="18"/>
              </w:rPr>
              <w:t>关于财务</w:t>
            </w:r>
          </w:p>
          <w:p>
            <w:pPr>
              <w:pStyle w:val="TableParagraph"/>
              <w:spacing w:line="312" w:lineRule="exact" w:before="36"/>
              <w:ind w:left="22" w:right="96"/>
              <w:jc w:val="both"/>
              <w:rPr>
                <w:rFonts w:ascii="宋体" w:hAnsi="宋体" w:cs="宋体" w:eastAsia="宋体" w:hint="default"/>
                <w:sz w:val="18"/>
                <w:szCs w:val="18"/>
              </w:rPr>
            </w:pPr>
            <w:r>
              <w:rPr>
                <w:rFonts w:ascii="宋体" w:hAnsi="宋体" w:cs="宋体" w:eastAsia="宋体" w:hint="default"/>
                <w:sz w:val="18"/>
                <w:szCs w:val="18"/>
              </w:rPr>
              <w:t>资助、补 偿及干预 公司经营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9" w:lineRule="auto" w:before="79"/>
              <w:ind w:left="22" w:right="115"/>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2.</w:t>
            </w:r>
            <w:r>
              <w:rPr>
                <w:rFonts w:ascii="宋体" w:hAnsi="宋体" w:cs="宋体" w:eastAsia="宋体" w:hint="default"/>
                <w:sz w:val="18"/>
                <w:szCs w:val="18"/>
              </w:rPr>
              <w:t>本人承诺不 越权干预公司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both"/>
              <w:rPr>
                <w:rFonts w:ascii="宋体" w:hAnsi="宋体" w:cs="宋体" w:eastAsia="宋体" w:hint="default"/>
                <w:sz w:val="18"/>
                <w:szCs w:val="18"/>
              </w:rPr>
            </w:pPr>
            <w:r>
              <w:rPr>
                <w:rFonts w:ascii="宋体" w:hAnsi="宋体" w:cs="宋体" w:eastAsia="宋体" w:hint="default"/>
                <w:sz w:val="18"/>
                <w:szCs w:val="18"/>
              </w:rPr>
              <w:t>截止报告期末，</w:t>
            </w:r>
          </w:p>
          <w:p>
            <w:pPr>
              <w:pStyle w:val="TableParagraph"/>
              <w:spacing w:line="312" w:lineRule="exact" w:before="36"/>
              <w:ind w:left="22" w:right="50"/>
              <w:jc w:val="both"/>
              <w:rPr>
                <w:rFonts w:ascii="宋体" w:hAnsi="宋体" w:cs="宋体" w:eastAsia="宋体" w:hint="default"/>
                <w:sz w:val="18"/>
                <w:szCs w:val="18"/>
              </w:rPr>
            </w:pPr>
            <w:r>
              <w:rPr>
                <w:rFonts w:ascii="宋体" w:hAnsi="宋体" w:cs="宋体" w:eastAsia="宋体" w:hint="default"/>
                <w:sz w:val="18"/>
                <w:szCs w:val="18"/>
              </w:rPr>
              <w:t>公司上述股东均 遵守以上承诺， 未发生违反上述</w:t>
            </w:r>
          </w:p>
        </w:tc>
      </w:tr>
      <w:tr>
        <w:trPr>
          <w:trHeight w:val="55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17"/>
              <w:jc w:val="left"/>
              <w:rPr>
                <w:rFonts w:ascii="宋体" w:hAnsi="宋体" w:cs="宋体" w:eastAsia="宋体" w:hint="default"/>
                <w:sz w:val="18"/>
                <w:szCs w:val="18"/>
              </w:rPr>
            </w:pPr>
            <w:r>
              <w:rPr>
                <w:rFonts w:ascii="宋体" w:hAnsi="宋体" w:cs="宋体" w:eastAsia="宋体" w:hint="default"/>
                <w:sz w:val="18"/>
                <w:szCs w:val="18"/>
              </w:rPr>
              <w:t>经营管理活动，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不会侵占公司</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5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利益。</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8"/>
              <w:jc w:val="both"/>
              <w:rPr>
                <w:rFonts w:ascii="宋体" w:hAnsi="宋体" w:cs="宋体" w:eastAsia="宋体" w:hint="default"/>
                <w:sz w:val="18"/>
                <w:szCs w:val="18"/>
              </w:rPr>
            </w:pPr>
            <w:r>
              <w:rPr>
                <w:rFonts w:ascii="宋体" w:hAnsi="宋体" w:cs="宋体" w:eastAsia="宋体" w:hint="default"/>
                <w:sz w:val="18"/>
                <w:szCs w:val="18"/>
              </w:rPr>
              <w:t>张学君、何晔、陈向军、 </w:t>
            </w:r>
            <w:r>
              <w:rPr>
                <w:rFonts w:ascii="宋体" w:hAnsi="宋体" w:cs="宋体" w:eastAsia="宋体" w:hint="default"/>
                <w:spacing w:val="-5"/>
                <w:sz w:val="18"/>
                <w:szCs w:val="18"/>
              </w:rPr>
              <w:t>李军、冯军、刘奕、郑学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定、郭斐、何剑、许秋江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关于非公 开发行股 票摊薄即 期回报采 取填补措 施的承诺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非公开发行股 票相关事项承 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50"/>
              <w:jc w:val="both"/>
              <w:rPr>
                <w:rFonts w:ascii="宋体" w:hAnsi="宋体" w:cs="宋体" w:eastAsia="宋体" w:hint="default"/>
                <w:sz w:val="18"/>
                <w:szCs w:val="18"/>
              </w:rPr>
            </w:pPr>
            <w:r>
              <w:rPr>
                <w:rFonts w:ascii="宋体" w:hAnsi="宋体" w:cs="宋体" w:eastAsia="宋体" w:hint="default"/>
                <w:sz w:val="18"/>
                <w:szCs w:val="18"/>
              </w:rPr>
              <w:t>截止报告期末， 公司上述股东均 遵守以上承诺， 未发生违反上述 承诺的情况。</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公司承诺不为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激励计划实</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截止报告期末，</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85"/>
        <w:gridCol w:w="1985"/>
        <w:gridCol w:w="851"/>
        <w:gridCol w:w="1276"/>
        <w:gridCol w:w="992"/>
        <w:gridCol w:w="1134"/>
        <w:gridCol w:w="1345"/>
      </w:tblGrid>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使用承诺</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激励对象依本</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施期间</w:t>
            </w: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公司遵守以上承</w:t>
            </w: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985"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激励计划获取</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诺，未发生违反</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985"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有关权益提供</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上述承诺的情</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985"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贷款以及其他</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985"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任何形式的财</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985"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务资助，包括为</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985"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其贷款提供担</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公司承诺在使</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用超募资金补</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截止报告期末，</w:t>
            </w:r>
          </w:p>
        </w:tc>
      </w:tr>
      <w:tr>
        <w:trPr>
          <w:trHeight w:val="31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充流动资金后</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公司遵守以上承</w:t>
            </w:r>
          </w:p>
        </w:tc>
      </w:tr>
      <w:tr>
        <w:trPr>
          <w:trHeight w:val="125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96"/>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 </w:t>
            </w:r>
            <w:r>
              <w:rPr>
                <w:rFonts w:ascii="宋体" w:hAnsi="宋体" w:cs="宋体" w:eastAsia="宋体" w:hint="default"/>
                <w:spacing w:val="-6"/>
                <w:sz w:val="18"/>
                <w:szCs w:val="18"/>
              </w:rPr>
              <w:t>行证券投资、委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托理财、衍生品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投资、创业投资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诺，未发生违反 上述承诺的情 况。公司已于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0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等高风险投资</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履行完毕以上承</w:t>
            </w: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以及为他人提</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5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供财务资助。</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公司承诺不为</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激励对象依本</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激励计划获取</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截止报告期末，</w:t>
            </w:r>
          </w:p>
        </w:tc>
      </w:tr>
      <w:tr>
        <w:trPr>
          <w:trHeight w:val="94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有关权益提供 贷款以及其他 任何形式的财</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公司遵守以上承 诺，未发生违反 上述承诺的情</w:t>
            </w:r>
          </w:p>
        </w:tc>
      </w:tr>
      <w:tr>
        <w:trPr>
          <w:trHeight w:val="30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务资助，包括为</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其贷款提供担</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截止报告期末，</w:t>
            </w:r>
          </w:p>
        </w:tc>
      </w:tr>
      <w:tr>
        <w:trPr>
          <w:trHeight w:val="31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公司上述股东均</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遵守以上承诺，</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未发生违反上述</w:t>
            </w:r>
          </w:p>
        </w:tc>
      </w:tr>
      <w:tr>
        <w:trPr>
          <w:trHeight w:val="94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陈向军、李军</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控股股东、实际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控制人增持承 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承诺的情况。上 述股东已于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2015</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w:t>
            </w:r>
          </w:p>
        </w:tc>
      </w:tr>
      <w:tr>
        <w:trPr>
          <w:trHeight w:val="30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成增持，并在其</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后的六个月内未</w:t>
            </w: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转让本次所增持</w:t>
            </w:r>
          </w:p>
        </w:tc>
      </w:tr>
      <w:tr>
        <w:trPr>
          <w:trHeight w:val="357"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5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w:t>
            </w:r>
          </w:p>
        </w:tc>
        <w:tc>
          <w:tcPr>
            <w:tcW w:w="7583" w:type="dxa"/>
            <w:gridSpan w:val="6"/>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w:t>
            </w:r>
          </w:p>
        </w:tc>
        <w:tc>
          <w:tcPr>
            <w:tcW w:w="7583"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步的工作计划</w:t>
            </w:r>
          </w:p>
        </w:tc>
        <w:tc>
          <w:tcPr>
            <w:tcW w:w="7583"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right="90"/>
        <w:jc w:val="left"/>
      </w:pPr>
      <w:r>
        <w:rPr/>
        <w:t>注</w:t>
      </w:r>
      <w:r>
        <w:rPr>
          <w:spacing w:val="-46"/>
        </w:rPr>
        <w:t> </w:t>
      </w:r>
      <w:r>
        <w:rPr/>
        <w:t>1：</w:t>
      </w:r>
    </w:p>
    <w:p>
      <w:pPr>
        <w:spacing w:line="240" w:lineRule="auto" w:before="9"/>
        <w:rPr>
          <w:rFonts w:ascii="宋体" w:hAnsi="宋体" w:cs="宋体" w:eastAsia="宋体" w:hint="default"/>
          <w:sz w:val="20"/>
          <w:szCs w:val="20"/>
        </w:rPr>
      </w:pPr>
    </w:p>
    <w:p>
      <w:pPr>
        <w:pStyle w:val="BodyText"/>
        <w:spacing w:line="477" w:lineRule="auto"/>
        <w:ind w:right="90" w:firstLine="360"/>
        <w:jc w:val="left"/>
      </w:pPr>
      <w:r>
        <w:rPr/>
        <w:t>自公司股票上市之日起三十六个月内，不转让或者委托他人管理其直接或者间接持有的公司本次发行前已发行的股份， 也不由公司回购其直接或者间接持有的公司本次发行前已发行的股份。</w:t>
      </w:r>
    </w:p>
    <w:p>
      <w:pPr>
        <w:pStyle w:val="BodyText"/>
        <w:spacing w:line="240" w:lineRule="auto" w:before="95"/>
        <w:ind w:right="90"/>
        <w:jc w:val="left"/>
      </w:pPr>
      <w:r>
        <w:rPr/>
        <w:t>注</w:t>
      </w:r>
      <w:r>
        <w:rPr>
          <w:spacing w:val="-46"/>
        </w:rPr>
        <w:t> </w:t>
      </w:r>
      <w:r>
        <w:rPr/>
        <w:t>2：</w:t>
      </w:r>
    </w:p>
    <w:p>
      <w:pPr>
        <w:spacing w:line="240" w:lineRule="auto" w:before="9"/>
        <w:rPr>
          <w:rFonts w:ascii="宋体" w:hAnsi="宋体" w:cs="宋体" w:eastAsia="宋体" w:hint="default"/>
          <w:sz w:val="20"/>
          <w:szCs w:val="20"/>
        </w:rPr>
      </w:pPr>
    </w:p>
    <w:p>
      <w:pPr>
        <w:pStyle w:val="BodyText"/>
        <w:spacing w:line="477" w:lineRule="auto"/>
        <w:ind w:right="96" w:firstLine="360"/>
        <w:jc w:val="left"/>
      </w:pPr>
      <w:r>
        <w:rPr/>
        <w:t>亿美软通在盈利承诺期内实现的实际净利润数不低于亿美软通按照资产评估报告收益法预测的净利润数，其中，2014 年度承诺净利润数不低于</w:t>
      </w:r>
      <w:r>
        <w:rPr>
          <w:spacing w:val="-46"/>
        </w:rPr>
        <w:t> </w:t>
      </w:r>
      <w:r>
        <w:rPr/>
        <w:t>3840</w:t>
      </w:r>
      <w:r>
        <w:rPr>
          <w:spacing w:val="-46"/>
        </w:rPr>
        <w:t> </w:t>
      </w:r>
      <w:r>
        <w:rPr/>
        <w:t>万元、2015</w:t>
      </w:r>
      <w:r>
        <w:rPr>
          <w:spacing w:val="-45"/>
        </w:rPr>
        <w:t> </w:t>
      </w:r>
      <w:r>
        <w:rPr/>
        <w:t>年度承诺净利润数不低于</w:t>
      </w:r>
      <w:r>
        <w:rPr>
          <w:spacing w:val="-46"/>
        </w:rPr>
        <w:t> </w:t>
      </w:r>
      <w:r>
        <w:rPr/>
        <w:t>4800</w:t>
      </w:r>
      <w:r>
        <w:rPr>
          <w:spacing w:val="-46"/>
        </w:rPr>
        <w:t> </w:t>
      </w:r>
      <w:r>
        <w:rPr/>
        <w:t>万元、2016</w:t>
      </w:r>
      <w:r>
        <w:rPr>
          <w:spacing w:val="-45"/>
        </w:rPr>
        <w:t> </w:t>
      </w:r>
      <w:r>
        <w:rPr/>
        <w:t>年度承诺净利润数不低于</w:t>
      </w:r>
      <w:r>
        <w:rPr>
          <w:spacing w:val="-46"/>
        </w:rPr>
        <w:t> </w:t>
      </w:r>
      <w:r>
        <w:rPr/>
        <w:t>6000</w:t>
      </w:r>
      <w:r>
        <w:rPr>
          <w:spacing w:val="-46"/>
        </w:rPr>
        <w:t> </w:t>
      </w:r>
      <w:r>
        <w:rPr/>
        <w:t>万元。</w:t>
      </w:r>
      <w:r>
        <w:rPr/>
        <w:t> 如果实际利润低于上述承诺利润，业绩补偿义务人冯军、李岩将按照《盈利预测补偿协议》的相关规定对公司进行补偿。</w:t>
      </w:r>
    </w:p>
    <w:p>
      <w:pPr>
        <w:pStyle w:val="BodyText"/>
        <w:spacing w:line="240" w:lineRule="auto" w:before="94"/>
        <w:ind w:right="90"/>
        <w:jc w:val="left"/>
      </w:pPr>
      <w:r>
        <w:rPr/>
        <w:t>注</w:t>
      </w:r>
      <w:r>
        <w:rPr>
          <w:spacing w:val="-46"/>
        </w:rPr>
        <w:t> </w:t>
      </w:r>
      <w:r>
        <w:rPr/>
        <w:t>3：</w:t>
      </w:r>
    </w:p>
    <w:p>
      <w:pPr>
        <w:spacing w:line="240" w:lineRule="auto" w:before="10"/>
        <w:rPr>
          <w:rFonts w:ascii="宋体" w:hAnsi="宋体" w:cs="宋体" w:eastAsia="宋体" w:hint="default"/>
          <w:sz w:val="20"/>
          <w:szCs w:val="20"/>
        </w:rPr>
      </w:pPr>
    </w:p>
    <w:p>
      <w:pPr>
        <w:pStyle w:val="BodyText"/>
        <w:spacing w:line="477" w:lineRule="auto"/>
        <w:ind w:right="101" w:firstLine="360"/>
        <w:jc w:val="both"/>
      </w:pPr>
      <w:r>
        <w:rPr>
          <w:spacing w:val="-4"/>
        </w:rPr>
        <w:t>1、本次交易完成后，本人/本公司及本人/本公司对外投资的企业（包括但不限于直接持股、间接持股或委托持股）、实</w:t>
      </w:r>
      <w:r>
        <w:rPr>
          <w:spacing w:val="-16"/>
        </w:rPr>
        <w:t> </w:t>
      </w:r>
      <w:r>
        <w:rPr>
          <w:spacing w:val="-2"/>
        </w:rPr>
        <w:t>际控制或担任董事、高级管理人员的企业将尽可能减少与银之杰及其下属公司（包括但不限于亿美软通）的关联交易，不会</w:t>
      </w:r>
      <w:r>
        <w:rPr>
          <w:spacing w:val="-66"/>
        </w:rPr>
        <w:t> </w:t>
      </w:r>
      <w:r>
        <w:rPr>
          <w:spacing w:val="-66"/>
        </w:rPr>
      </w:r>
      <w:r>
        <w:rPr>
          <w:spacing w:val="-2"/>
        </w:rPr>
        <w:t>利用自身作为银之杰股东之地位谋求与银之杰及其下属公司（包括但不限于亿美软通）在业务合作等方面给予优于市场第三</w:t>
      </w:r>
      <w:r>
        <w:rPr>
          <w:spacing w:val="-64"/>
        </w:rPr>
        <w:t> </w:t>
      </w:r>
      <w:r>
        <w:rPr>
          <w:spacing w:val="-64"/>
        </w:rPr>
      </w:r>
      <w:r>
        <w:rPr>
          <w:spacing w:val="-4"/>
        </w:rPr>
        <w:t>方的权利；不会利用自身作为银之杰股东之地位谋求与银之杰及其下属公司（包括但不限于亿美软通）达成交易的优先权利。</w:t>
      </w:r>
    </w:p>
    <w:p>
      <w:pPr>
        <w:pStyle w:val="BodyText"/>
        <w:spacing w:line="477" w:lineRule="auto" w:before="92"/>
        <w:ind w:right="90" w:firstLine="360"/>
        <w:jc w:val="left"/>
      </w:pPr>
      <w:r>
        <w:rPr/>
        <w:t>2、若发生必要且不可避免的关联交易，本人/本公司及本人/本公司对外投资的企业（包括但不限于直接持股、间接持 </w:t>
      </w:r>
      <w:r>
        <w:rPr>
          <w:spacing w:val="-4"/>
        </w:rPr>
        <w:t>股或委托持股）、实际控制或担任董事、高级管理人员的企业将与银之杰及其下属公司（包括但不限于亿美软通）按照公平、</w:t>
      </w:r>
      <w:r>
        <w:rPr>
          <w:spacing w:val="-44"/>
        </w:rPr>
        <w:t> </w:t>
      </w:r>
      <w:r>
        <w:rPr>
          <w:spacing w:val="-44"/>
        </w:rPr>
      </w:r>
      <w:r>
        <w:rPr>
          <w:spacing w:val="-2"/>
        </w:rPr>
        <w:t>公允、等价有偿等原则依法签订协议，履行合法程序，并将按照有关法律法规和公司规定履行信息披露义务及相关内部决策</w:t>
      </w:r>
      <w:r>
        <w:rPr>
          <w:spacing w:val="-66"/>
        </w:rPr>
        <w:t> </w:t>
      </w:r>
      <w:r>
        <w:rPr>
          <w:spacing w:val="-66"/>
        </w:rPr>
      </w:r>
      <w:r>
        <w:rPr>
          <w:spacing w:val="-2"/>
        </w:rPr>
        <w:t>程序和回避制度，关联交易价格依照与无关联关系的独立第三方进行相同或相似交易时的价格确定，保证关联交易价格具有</w:t>
      </w:r>
      <w:r>
        <w:rPr>
          <w:spacing w:val="-64"/>
        </w:rPr>
        <w:t> </w:t>
      </w:r>
      <w:r>
        <w:rPr>
          <w:spacing w:val="-64"/>
        </w:rPr>
      </w:r>
      <w:r>
        <w:rPr/>
        <w:t>公允性，亦不利用该等交易从事任何损害银之杰及其股东的合法权益的行为。</w:t>
      </w:r>
    </w:p>
    <w:p>
      <w:pPr>
        <w:pStyle w:val="BodyText"/>
        <w:spacing w:line="477" w:lineRule="auto" w:before="92"/>
        <w:ind w:right="191" w:firstLine="360"/>
        <w:jc w:val="both"/>
      </w:pPr>
      <w:r>
        <w:rPr/>
        <w:t>本人/本公司保证将依照公司规定参加股东大会，平等地行使相应权利，承担相应义务，不利用股东地位谋取不正当利 </w:t>
      </w:r>
      <w:r>
        <w:rPr>
          <w:spacing w:val="-2"/>
        </w:rPr>
        <w:t>益，不利用关联交易非法转移银之杰及其下属子公司（包括但不限于亿美软通）的资金、利润，保证不损害银之杰及其股东</w:t>
      </w:r>
      <w:r>
        <w:rPr>
          <w:spacing w:val="-66"/>
        </w:rPr>
        <w:t> </w:t>
      </w:r>
      <w:r>
        <w:rPr>
          <w:spacing w:val="-66"/>
        </w:rPr>
      </w:r>
      <w:r>
        <w:rPr/>
        <w:t>的合法权益。 若违反上述声明和保证，本人/本公司将对前述行为给银之杰造成的损失向银之杰进行赔偿。</w:t>
      </w:r>
    </w:p>
    <w:p>
      <w:pPr>
        <w:pStyle w:val="BodyText"/>
        <w:spacing w:line="240" w:lineRule="auto" w:before="95"/>
        <w:ind w:right="90"/>
        <w:jc w:val="left"/>
      </w:pPr>
      <w:r>
        <w:rPr/>
        <w:t>注</w:t>
      </w:r>
      <w:r>
        <w:rPr>
          <w:spacing w:val="-46"/>
        </w:rPr>
        <w:t> </w:t>
      </w:r>
      <w:r>
        <w:rPr/>
        <w:t>4：</w:t>
      </w:r>
    </w:p>
    <w:p>
      <w:pPr>
        <w:spacing w:line="240" w:lineRule="auto" w:before="9"/>
        <w:rPr>
          <w:rFonts w:ascii="宋体" w:hAnsi="宋体" w:cs="宋体" w:eastAsia="宋体" w:hint="default"/>
          <w:sz w:val="20"/>
          <w:szCs w:val="20"/>
        </w:rPr>
      </w:pPr>
    </w:p>
    <w:p>
      <w:pPr>
        <w:pStyle w:val="BodyText"/>
        <w:spacing w:line="477" w:lineRule="auto"/>
        <w:ind w:right="90" w:firstLine="360"/>
        <w:jc w:val="left"/>
      </w:pPr>
      <w:r>
        <w:rPr>
          <w:spacing w:val="-4"/>
        </w:rPr>
        <w:t>1、本人/本公司（包括本人/本公司关联人，关联人定义同《深圳证券交易所创业板上市规则》）目前没有在中国境内或</w:t>
      </w:r>
      <w:r>
        <w:rPr/>
        <w:t> </w:t>
      </w:r>
      <w:r>
        <w:rPr>
          <w:spacing w:val="-4"/>
        </w:rPr>
        <w:t>境外单独或与其他自然人、法人、合伙企业或组织，以任何形式（包括但不限于通过独自经营、合资经营、联营、租赁经营、</w:t>
      </w:r>
      <w:r>
        <w:rPr>
          <w:spacing w:val="-46"/>
        </w:rPr>
        <w:t> </w:t>
      </w:r>
      <w:r>
        <w:rPr>
          <w:spacing w:val="-46"/>
        </w:rPr>
      </w:r>
      <w:r>
        <w:rPr>
          <w:spacing w:val="-2"/>
        </w:rPr>
        <w:t>承包经营、委托管理等方式拥有其他公司或企业的股权或权益等）直接或间接从事或参与任何对银之杰及亿美软通构成竞争</w:t>
      </w:r>
      <w:r>
        <w:rPr>
          <w:spacing w:val="-64"/>
        </w:rPr>
        <w:t> </w:t>
      </w:r>
      <w:r>
        <w:rPr>
          <w:spacing w:val="-64"/>
        </w:rPr>
      </w:r>
      <w:r>
        <w:rPr/>
        <w:t>的业务及活动，或拥有与银之杰及亿美软通存在竞争关系的任何经济实体、机构、经济组织的权益。</w:t>
      </w:r>
    </w:p>
    <w:p>
      <w:pPr>
        <w:pStyle w:val="BodyText"/>
        <w:spacing w:line="477" w:lineRule="auto" w:before="92"/>
        <w:ind w:right="90" w:firstLine="360"/>
        <w:jc w:val="left"/>
      </w:pPr>
      <w:r>
        <w:rPr/>
        <w:t>2、在今后的业务中，本人/本公司及本人/本公司控制的其他企业不与银之杰及亿美软通业务产生同业竞争，即本人/ </w:t>
      </w:r>
      <w:r>
        <w:rPr>
          <w:spacing w:val="-2"/>
        </w:rPr>
        <w:t>本公司及其控制的其他企业（包括本人/本公司及控制的其他企业全资、控股公司及本人/本公司控制的其他企业对其具有实</w:t>
      </w:r>
      <w:r>
        <w:rPr>
          <w:spacing w:val="-62"/>
        </w:rPr>
        <w:t> </w:t>
      </w:r>
      <w:r>
        <w:rPr>
          <w:spacing w:val="-62"/>
        </w:rPr>
      </w:r>
      <w:r>
        <w:rPr/>
        <w:t>际控制权的公司）不会以任何形式直接或间接的从事与银之杰及亿美软通业务相同或相似的业务。</w:t>
      </w:r>
    </w:p>
    <w:p>
      <w:pPr>
        <w:pStyle w:val="BodyText"/>
        <w:spacing w:line="240" w:lineRule="auto" w:before="94"/>
        <w:ind w:left="514" w:right="90"/>
        <w:jc w:val="left"/>
      </w:pPr>
      <w:r>
        <w:rPr/>
        <w:t>3、如银之杰或亿美软通认定本人/本公司及本人/本公司控制的其他企业现有业务或将来产生的业务与银之杰或亿美软</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0"/>
        <w:jc w:val="left"/>
      </w:pPr>
      <w:r>
        <w:rPr>
          <w:spacing w:val="-2"/>
        </w:rPr>
        <w:t>通业务存在同业竞争，则本人/本公司及本人/本公司控制的其他企业将在银之杰或亿美软通提出异议后及时转让或终止该业</w:t>
      </w:r>
      <w:r>
        <w:rPr>
          <w:spacing w:val="-62"/>
        </w:rPr>
        <w:t> </w:t>
      </w:r>
      <w:r>
        <w:rPr>
          <w:spacing w:val="-62"/>
        </w:rPr>
      </w:r>
      <w:r>
        <w:rPr/>
        <w:t>务。</w:t>
      </w:r>
    </w:p>
    <w:p>
      <w:pPr>
        <w:pStyle w:val="BodyText"/>
        <w:spacing w:line="477" w:lineRule="auto" w:before="92"/>
        <w:ind w:right="101" w:firstLine="360"/>
        <w:jc w:val="both"/>
      </w:pPr>
      <w:r>
        <w:rPr>
          <w:spacing w:val="-2"/>
        </w:rPr>
        <w:t>4、本人/本公司及本人/本公司控制的其他企业保证严格遵守公司章程的规定，不利用股东、实际控制人、董事、监事、</w:t>
      </w:r>
      <w:r>
        <w:rPr/>
        <w:t> 高级管理人员的地位谋求不当利益，不损害银之杰及亿美软通的合法权益。</w:t>
      </w:r>
    </w:p>
    <w:p>
      <w:pPr>
        <w:pStyle w:val="BodyText"/>
        <w:spacing w:line="477" w:lineRule="auto" w:before="94"/>
        <w:ind w:right="198" w:firstLine="360"/>
        <w:jc w:val="both"/>
      </w:pPr>
      <w:r>
        <w:rPr/>
        <w:t>5、本承诺函自出具之日起至本人/本公司获得的银之杰股份全部解锁前及之后三年内具有法律效力，构成对本人/本公 司及本人/本公司控制的其他企业具有法律约束力的法律文件，如有违反，所得利益归银之杰所有，如给银之杰或亿美软通 造成损失，本人/本公司及本人/本公司控制的其他企业承诺将承担相应的法律责任。</w:t>
      </w:r>
    </w:p>
    <w:p>
      <w:pPr>
        <w:pStyle w:val="BodyText"/>
        <w:spacing w:line="240" w:lineRule="auto" w:before="95"/>
        <w:ind w:right="90"/>
        <w:jc w:val="left"/>
      </w:pPr>
      <w:r>
        <w:rPr/>
        <w:t>注</w:t>
      </w:r>
      <w:r>
        <w:rPr>
          <w:spacing w:val="-46"/>
        </w:rPr>
        <w:t> </w:t>
      </w:r>
      <w:r>
        <w:rPr>
          <w:rFonts w:ascii="Times New Roman" w:hAnsi="Times New Roman" w:cs="Times New Roman" w:eastAsia="Times New Roman" w:hint="default"/>
        </w:rPr>
        <w:t>5</w:t>
      </w:r>
      <w:r>
        <w:rPr/>
        <w:t>：</w:t>
      </w:r>
    </w:p>
    <w:p>
      <w:pPr>
        <w:spacing w:line="240" w:lineRule="auto" w:before="10"/>
        <w:rPr>
          <w:rFonts w:ascii="宋体" w:hAnsi="宋体" w:cs="宋体" w:eastAsia="宋体" w:hint="default"/>
          <w:sz w:val="13"/>
          <w:szCs w:val="13"/>
        </w:rPr>
      </w:pPr>
    </w:p>
    <w:p>
      <w:pPr>
        <w:pStyle w:val="BodyText"/>
        <w:spacing w:line="463" w:lineRule="auto"/>
        <w:ind w:right="90" w:firstLine="360"/>
        <w:jc w:val="left"/>
      </w:pPr>
      <w:r>
        <w:rPr>
          <w:rFonts w:ascii="Times New Roman" w:hAnsi="Times New Roman" w:cs="Times New Roman" w:eastAsia="Times New Roman" w:hint="default"/>
        </w:rPr>
        <w:t>1</w:t>
      </w:r>
      <w:r>
        <w:rPr/>
        <w:t>．本公司持有公司股份</w:t>
      </w:r>
      <w:r>
        <w:rPr>
          <w:spacing w:val="-46"/>
        </w:rPr>
        <w:t> </w:t>
      </w:r>
      <w:r>
        <w:rPr>
          <w:rFonts w:ascii="Times New Roman" w:hAnsi="Times New Roman" w:cs="Times New Roman" w:eastAsia="Times New Roman" w:hint="default"/>
        </w:rPr>
        <w:t>5%</w:t>
      </w:r>
      <w:r>
        <w:rPr/>
        <w:t>以上的股东作为公司董事或高级管理人员，张学君、陈向军、李军、何晔承诺：三十六个 </w:t>
      </w:r>
      <w:r>
        <w:rPr>
          <w:spacing w:val="-2"/>
        </w:rPr>
        <w:t>月的锁定期满后，在本人任职期间，每年转让所持有的公司股份不超过本人所持公司股份数的百分之二十五；本人离职后半</w:t>
      </w:r>
      <w:r>
        <w:rPr>
          <w:spacing w:val="-66"/>
        </w:rPr>
        <w:t> </w:t>
      </w:r>
      <w:r>
        <w:rPr>
          <w:spacing w:val="-66"/>
        </w:rPr>
      </w:r>
      <w:r>
        <w:rPr/>
        <w:t>年内，不转让所持有的公司股份。</w:t>
      </w:r>
    </w:p>
    <w:p>
      <w:pPr>
        <w:pStyle w:val="BodyText"/>
        <w:spacing w:line="451" w:lineRule="auto" w:before="65"/>
        <w:ind w:right="198" w:firstLine="360"/>
        <w:jc w:val="both"/>
      </w:pPr>
      <w:r>
        <w:rPr>
          <w:rFonts w:ascii="Times New Roman" w:hAnsi="Times New Roman" w:cs="Times New Roman" w:eastAsia="Times New Roman" w:hint="default"/>
        </w:rPr>
        <w:t>2</w:t>
      </w:r>
      <w:r>
        <w:rPr/>
        <w:t>．本公司监事周峰和李玟臻，董事或高级管理人员冯军、刘奕、许秋江承诺：在本人任职期间每年转让所持有的公司 股份不超过本人所持公司股份总数的百分之二十五；本人离职后半年内，不转让所持有的公司股份。</w:t>
      </w:r>
    </w:p>
    <w:p>
      <w:pPr>
        <w:pStyle w:val="BodyText"/>
        <w:spacing w:line="240" w:lineRule="auto" w:before="117"/>
        <w:ind w:right="90"/>
        <w:jc w:val="left"/>
      </w:pPr>
      <w:r>
        <w:rPr/>
        <w:t>注</w:t>
      </w:r>
      <w:r>
        <w:rPr>
          <w:spacing w:val="-46"/>
        </w:rPr>
        <w:t> </w:t>
      </w:r>
      <w:r>
        <w:rPr>
          <w:rFonts w:ascii="Times New Roman" w:hAnsi="Times New Roman" w:cs="Times New Roman" w:eastAsia="Times New Roman" w:hint="default"/>
        </w:rPr>
        <w:t>6</w:t>
      </w:r>
      <w:r>
        <w:rPr/>
        <w:t>：</w:t>
      </w:r>
    </w:p>
    <w:p>
      <w:pPr>
        <w:spacing w:line="240" w:lineRule="auto" w:before="9"/>
        <w:rPr>
          <w:rFonts w:ascii="宋体" w:hAnsi="宋体" w:cs="宋体" w:eastAsia="宋体" w:hint="default"/>
          <w:sz w:val="13"/>
          <w:szCs w:val="13"/>
        </w:rPr>
      </w:pPr>
    </w:p>
    <w:p>
      <w:pPr>
        <w:pStyle w:val="BodyText"/>
        <w:spacing w:line="451" w:lineRule="auto"/>
        <w:ind w:left="514" w:right="180"/>
        <w:jc w:val="left"/>
      </w:pPr>
      <w:r>
        <w:rPr/>
        <w:t>公司共同控制人张学君、陈向军和李军，以及持有公司</w:t>
      </w:r>
      <w:r>
        <w:rPr>
          <w:spacing w:val="-46"/>
        </w:rPr>
        <w:t> </w:t>
      </w:r>
      <w:r>
        <w:rPr>
          <w:rFonts w:ascii="Times New Roman" w:hAnsi="Times New Roman" w:cs="Times New Roman" w:eastAsia="Times New Roman" w:hint="default"/>
        </w:rPr>
        <w:t>5%</w:t>
      </w:r>
      <w:r>
        <w:rPr/>
        <w:t>以上股份的股东何晔，就避免同业竞争作出了以下承诺： “</w:t>
      </w:r>
      <w:r>
        <w:rPr>
          <w:rFonts w:ascii="Times New Roman" w:hAnsi="Times New Roman" w:cs="Times New Roman" w:eastAsia="Times New Roman" w:hint="default"/>
        </w:rPr>
        <w:t>1</w:t>
      </w:r>
      <w:r>
        <w:rPr/>
        <w:t>、本人目前没有在中国境内任何地方或中国境外，直接或间接发展、经营或协助经营或参与与公司业务存在竞争的</w:t>
      </w:r>
    </w:p>
    <w:p>
      <w:pPr>
        <w:pStyle w:val="BodyText"/>
        <w:spacing w:line="240" w:lineRule="auto" w:before="43"/>
        <w:ind w:right="90"/>
        <w:jc w:val="left"/>
      </w:pPr>
      <w:r>
        <w:rPr/>
        <w:t>任何活动，亦没有在任何与公司业务有直接或间接竞争关系的公司或企业拥有任何直接或间接权益。</w:t>
      </w:r>
    </w:p>
    <w:p>
      <w:pPr>
        <w:spacing w:line="240" w:lineRule="auto" w:before="10"/>
        <w:rPr>
          <w:rFonts w:ascii="宋体" w:hAnsi="宋体" w:cs="宋体" w:eastAsia="宋体" w:hint="default"/>
          <w:sz w:val="17"/>
          <w:szCs w:val="17"/>
        </w:rPr>
      </w:pPr>
    </w:p>
    <w:p>
      <w:pPr>
        <w:pStyle w:val="BodyText"/>
        <w:spacing w:line="451" w:lineRule="auto"/>
        <w:ind w:right="198" w:firstLine="360"/>
        <w:jc w:val="both"/>
      </w:pPr>
      <w:r>
        <w:rPr>
          <w:rFonts w:ascii="Times New Roman" w:hAnsi="Times New Roman" w:cs="Times New Roman" w:eastAsia="Times New Roman" w:hint="default"/>
        </w:rPr>
        <w:t>2</w:t>
      </w:r>
      <w:r>
        <w:rPr/>
        <w:t>、自本承诺函签署之日起，本人将不直接或间接经营任何与股份公司经营的业务构成竞争或可能构成竞争的业务，也 不参与投资任何与股份公司生产的产品或经营的业务构成竞争或可能构成竞争的其他企业。</w:t>
      </w:r>
    </w:p>
    <w:p>
      <w:pPr>
        <w:pStyle w:val="BodyText"/>
        <w:spacing w:line="240" w:lineRule="auto" w:before="74"/>
        <w:ind w:left="514" w:right="90"/>
        <w:jc w:val="left"/>
      </w:pPr>
      <w:r>
        <w:rPr>
          <w:rFonts w:ascii="Times New Roman" w:hAnsi="Times New Roman" w:cs="Times New Roman" w:eastAsia="Times New Roman" w:hint="default"/>
        </w:rPr>
        <w:t>3</w:t>
      </w:r>
      <w:r>
        <w:rPr/>
        <w:t>、自本承诺函签署之日起，本人将不会利用公司股东的身份进行损害公司及其它股东利益的经营活动。</w:t>
      </w:r>
    </w:p>
    <w:p>
      <w:pPr>
        <w:spacing w:line="240" w:lineRule="auto" w:before="9"/>
        <w:rPr>
          <w:rFonts w:ascii="宋体" w:hAnsi="宋体" w:cs="宋体" w:eastAsia="宋体" w:hint="default"/>
          <w:sz w:val="16"/>
          <w:szCs w:val="16"/>
        </w:rPr>
      </w:pPr>
    </w:p>
    <w:p>
      <w:pPr>
        <w:pStyle w:val="BodyText"/>
        <w:spacing w:line="489" w:lineRule="auto"/>
        <w:ind w:right="462" w:firstLine="360"/>
        <w:jc w:val="left"/>
      </w:pPr>
      <w:r>
        <w:rPr>
          <w:rFonts w:ascii="Times New Roman" w:hAnsi="Times New Roman" w:cs="Times New Roman" w:eastAsia="Times New Roman" w:hint="default"/>
          <w:spacing w:val="-2"/>
        </w:rPr>
        <w:t>4</w:t>
      </w:r>
      <w:r>
        <w:rPr>
          <w:spacing w:val="-2"/>
        </w:rPr>
        <w:t>、如上述承诺被证明是不真实的或未被遵守，本人将向公司赔偿一切直接或间接的损失，并承担相应法律责任。”</w:t>
      </w:r>
      <w:r>
        <w:rPr/>
        <w:t> 注</w:t>
      </w:r>
      <w:r>
        <w:rPr>
          <w:spacing w:val="-46"/>
        </w:rPr>
        <w:t> </w:t>
      </w:r>
      <w:r>
        <w:rPr>
          <w:rFonts w:ascii="Times New Roman" w:hAnsi="Times New Roman" w:cs="Times New Roman" w:eastAsia="Times New Roman" w:hint="default"/>
        </w:rPr>
        <w:t>7</w:t>
      </w:r>
      <w:r>
        <w:rPr/>
        <w:t>：</w:t>
      </w:r>
    </w:p>
    <w:p>
      <w:pPr>
        <w:pStyle w:val="BodyText"/>
        <w:spacing w:line="477" w:lineRule="auto" w:before="51"/>
        <w:ind w:right="189" w:firstLine="360"/>
        <w:jc w:val="both"/>
      </w:pPr>
      <w:r>
        <w:rPr>
          <w:spacing w:val="-2"/>
        </w:rPr>
        <w:t>公司就非公开发行股票的相关事项承诺如下：“本公司及本公司控制的企业没有、且亦不会违反《证券发行与承销管理</w:t>
      </w:r>
      <w:r>
        <w:rPr/>
        <w:t> </w:t>
      </w:r>
      <w:r>
        <w:rPr>
          <w:spacing w:val="-2"/>
        </w:rPr>
        <w:t>办法》第十七条等有关法规的规定，直接或间接对本次发行的认购对象及其股东或合伙人、资产管理产品及其委托人，提供</w:t>
      </w:r>
      <w:r>
        <w:rPr>
          <w:spacing w:val="-66"/>
        </w:rPr>
        <w:t> </w:t>
      </w:r>
      <w:r>
        <w:rPr>
          <w:spacing w:val="-66"/>
        </w:rPr>
      </w:r>
      <w:r>
        <w:rPr>
          <w:spacing w:val="-9"/>
        </w:rPr>
        <w:t>财务资助或者补偿。”</w:t>
      </w:r>
    </w:p>
    <w:p>
      <w:pPr>
        <w:pStyle w:val="BodyText"/>
        <w:spacing w:line="240" w:lineRule="auto" w:before="94"/>
        <w:ind w:right="90"/>
        <w:jc w:val="left"/>
      </w:pPr>
      <w:r>
        <w:rPr/>
        <w:t>注</w:t>
      </w:r>
      <w:r>
        <w:rPr>
          <w:spacing w:val="-46"/>
        </w:rPr>
        <w:t> </w:t>
      </w:r>
      <w:r>
        <w:rPr>
          <w:rFonts w:ascii="Times New Roman" w:hAnsi="Times New Roman" w:cs="Times New Roman" w:eastAsia="Times New Roman" w:hint="default"/>
        </w:rPr>
        <w:t>8</w:t>
      </w:r>
      <w:r>
        <w:rPr/>
        <w:t>：</w:t>
      </w:r>
    </w:p>
    <w:p>
      <w:pPr>
        <w:spacing w:line="240" w:lineRule="auto" w:before="10"/>
        <w:rPr>
          <w:rFonts w:ascii="宋体" w:hAnsi="宋体" w:cs="宋体" w:eastAsia="宋体" w:hint="default"/>
          <w:sz w:val="19"/>
          <w:szCs w:val="19"/>
        </w:rPr>
      </w:pPr>
    </w:p>
    <w:p>
      <w:pPr>
        <w:pStyle w:val="BodyText"/>
        <w:spacing w:line="477" w:lineRule="auto"/>
        <w:ind w:right="189" w:firstLine="360"/>
        <w:jc w:val="both"/>
      </w:pPr>
      <w:r>
        <w:rPr>
          <w:spacing w:val="-2"/>
        </w:rPr>
        <w:t>公司共同控制人张学君、陈向军和李军就非公开发行股票的相关事项承诺如下：“本人、本人控制的企业、与本人关系</w:t>
      </w:r>
      <w:r>
        <w:rPr/>
        <w:t> </w:t>
      </w:r>
      <w:r>
        <w:rPr>
          <w:spacing w:val="-2"/>
        </w:rPr>
        <w:t>密切的近亲属没有、且亦不会违反《证券发行与承销管理办法》第十七条等有关法规的规定，直接或间接对本次发行的认购</w:t>
      </w:r>
      <w:r>
        <w:rPr>
          <w:spacing w:val="-66"/>
        </w:rPr>
        <w:t> </w:t>
      </w:r>
      <w:r>
        <w:rPr>
          <w:spacing w:val="-66"/>
        </w:rPr>
      </w:r>
      <w:r>
        <w:rPr>
          <w:spacing w:val="-3"/>
        </w:rPr>
        <w:t>对象及其股东或合伙人、资产管理产品及其委托人，提供财务资助或者补偿。”</w:t>
      </w:r>
    </w:p>
    <w:p>
      <w:pPr>
        <w:spacing w:after="0" w:line="477"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7"/>
          <w:szCs w:val="27"/>
        </w:rPr>
      </w:pPr>
    </w:p>
    <w:p>
      <w:pPr>
        <w:pStyle w:val="BodyText"/>
        <w:spacing w:line="240" w:lineRule="auto" w:before="44"/>
        <w:ind w:right="90"/>
        <w:jc w:val="left"/>
      </w:pPr>
      <w:r>
        <w:rPr/>
        <w:t>注</w:t>
      </w:r>
      <w:r>
        <w:rPr>
          <w:spacing w:val="-46"/>
        </w:rPr>
        <w:t> </w:t>
      </w:r>
      <w:r>
        <w:rPr>
          <w:rFonts w:ascii="Times New Roman" w:hAnsi="Times New Roman" w:cs="Times New Roman" w:eastAsia="Times New Roman" w:hint="default"/>
        </w:rPr>
        <w:t>9</w:t>
      </w:r>
      <w:r>
        <w:rPr/>
        <w:t>：</w:t>
      </w:r>
    </w:p>
    <w:p>
      <w:pPr>
        <w:spacing w:line="240" w:lineRule="auto" w:before="10"/>
        <w:rPr>
          <w:rFonts w:ascii="宋体" w:hAnsi="宋体" w:cs="宋体" w:eastAsia="宋体" w:hint="default"/>
          <w:sz w:val="19"/>
          <w:szCs w:val="19"/>
        </w:rPr>
      </w:pPr>
    </w:p>
    <w:p>
      <w:pPr>
        <w:pStyle w:val="BodyText"/>
        <w:spacing w:line="504" w:lineRule="auto"/>
        <w:ind w:left="514" w:right="1620"/>
        <w:jc w:val="left"/>
      </w:pPr>
      <w:r>
        <w:rPr/>
        <w:t>公司的董事、高级管理人员就非公开发行股票的相关事项承诺如下： “</w:t>
      </w:r>
      <w:r>
        <w:rPr>
          <w:rFonts w:ascii="Times New Roman" w:hAnsi="Times New Roman" w:cs="Times New Roman" w:eastAsia="Times New Roman" w:hint="default"/>
        </w:rPr>
        <w:t>1</w:t>
      </w:r>
      <w:r>
        <w:rPr/>
        <w:t>、承诺不无偿或以不公平条件向其他单位或者个人输送利益，也不采用其他方式损害公司利益； </w:t>
      </w:r>
      <w:r>
        <w:rPr>
          <w:rFonts w:ascii="Times New Roman" w:hAnsi="Times New Roman" w:cs="Times New Roman" w:eastAsia="Times New Roman" w:hint="default"/>
        </w:rPr>
        <w:t>2</w:t>
      </w:r>
      <w:r>
        <w:rPr/>
        <w:t>、承诺对本人的职务消费行为进行约束；</w:t>
      </w:r>
    </w:p>
    <w:p>
      <w:pPr>
        <w:pStyle w:val="BodyText"/>
        <w:spacing w:line="240" w:lineRule="auto" w:before="39"/>
        <w:ind w:left="514" w:right="90"/>
        <w:jc w:val="left"/>
      </w:pPr>
      <w:r>
        <w:rPr>
          <w:rFonts w:ascii="Times New Roman" w:hAnsi="Times New Roman" w:cs="Times New Roman" w:eastAsia="Times New Roman" w:hint="default"/>
        </w:rPr>
        <w:t>3</w:t>
      </w:r>
      <w:r>
        <w:rPr/>
        <w:t>、承诺不动用公司资产从事与其履行职责无关的投资、消费活动；</w:t>
      </w:r>
    </w:p>
    <w:p>
      <w:pPr>
        <w:spacing w:line="240" w:lineRule="auto" w:before="11"/>
        <w:rPr>
          <w:rFonts w:ascii="宋体" w:hAnsi="宋体" w:cs="宋体" w:eastAsia="宋体" w:hint="default"/>
          <w:sz w:val="19"/>
          <w:szCs w:val="19"/>
        </w:rPr>
      </w:pPr>
    </w:p>
    <w:p>
      <w:pPr>
        <w:pStyle w:val="BodyText"/>
        <w:spacing w:line="240" w:lineRule="auto"/>
        <w:ind w:left="514" w:right="90"/>
        <w:jc w:val="left"/>
      </w:pPr>
      <w:r>
        <w:rPr>
          <w:rFonts w:ascii="Times New Roman" w:hAnsi="Times New Roman" w:cs="Times New Roman" w:eastAsia="Times New Roman" w:hint="default"/>
        </w:rPr>
        <w:t>4</w:t>
      </w:r>
      <w:r>
        <w:rPr/>
        <w:t>、承诺由董事会或薪酬委员会制定的薪酬制度与公司填补回报措施的执行情况相挂钩；</w:t>
      </w:r>
    </w:p>
    <w:p>
      <w:pPr>
        <w:spacing w:line="240" w:lineRule="auto" w:before="10"/>
        <w:rPr>
          <w:rFonts w:ascii="宋体" w:hAnsi="宋体" w:cs="宋体" w:eastAsia="宋体" w:hint="default"/>
          <w:sz w:val="19"/>
          <w:szCs w:val="19"/>
        </w:rPr>
      </w:pPr>
    </w:p>
    <w:p>
      <w:pPr>
        <w:pStyle w:val="BodyText"/>
        <w:spacing w:line="489" w:lineRule="auto"/>
        <w:ind w:right="2790" w:firstLine="360"/>
        <w:jc w:val="left"/>
      </w:pPr>
      <w:r>
        <w:rPr>
          <w:rFonts w:ascii="Times New Roman" w:hAnsi="Times New Roman" w:cs="Times New Roman" w:eastAsia="Times New Roman" w:hint="default"/>
          <w:spacing w:val="-3"/>
        </w:rPr>
        <w:t>5</w:t>
      </w:r>
      <w:r>
        <w:rPr>
          <w:spacing w:val="-3"/>
        </w:rPr>
        <w:t>、承诺拟公布的公司股权激励的行权条件与公司填补回报措施的执行情况相挂钩。”</w:t>
      </w:r>
      <w:r>
        <w:rPr/>
        <w:t> 注</w:t>
      </w:r>
      <w:r>
        <w:rPr>
          <w:spacing w:val="-46"/>
        </w:rPr>
        <w:t> </w:t>
      </w:r>
      <w:r>
        <w:rPr>
          <w:rFonts w:ascii="Times New Roman" w:hAnsi="Times New Roman" w:cs="Times New Roman" w:eastAsia="Times New Roman" w:hint="default"/>
        </w:rPr>
        <w:t>10</w:t>
      </w:r>
      <w:r>
        <w:rPr/>
        <w:t>：</w:t>
      </w:r>
    </w:p>
    <w:p>
      <w:pPr>
        <w:pStyle w:val="BodyText"/>
        <w:spacing w:line="458" w:lineRule="auto" w:before="51"/>
        <w:ind w:right="190" w:firstLine="360"/>
        <w:jc w:val="both"/>
      </w:pPr>
      <w:r>
        <w:rPr/>
        <w:t>董事长陈向军、总经理李军计划自</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4"/>
        </w:rPr>
        <w:t> </w:t>
      </w:r>
      <w:r>
        <w:rPr/>
        <w:t>日起六个月内，通过深圳证券交易所证券交易系统允许的方式（包括 </w:t>
      </w:r>
      <w:r>
        <w:rPr>
          <w:spacing w:val="-2"/>
        </w:rPr>
        <w:t>但不限于集中竞价、大宗交易、证券公司或基金管理公司定向资产管理等方式等）增持本公司股份，拟合计增持金额不低于</w:t>
      </w:r>
      <w:r>
        <w:rPr>
          <w:spacing w:val="-66"/>
        </w:rPr>
        <w:t> </w:t>
      </w:r>
      <w:r>
        <w:rPr>
          <w:spacing w:val="-66"/>
        </w:rPr>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万元人民币，增持所需资金为其自筹取得，并承诺在本次增持期间及增持完成后的六个月内不转让本次所增持的公司 股份。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Heading4"/>
        <w:spacing w:line="259" w:lineRule="auto"/>
        <w:ind w:right="9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61"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3"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北京亿美软通 科技有限公司</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42" w:right="0"/>
              <w:jc w:val="left"/>
              <w:rPr>
                <w:rFonts w:ascii="Times New Roman" w:hAnsi="Times New Roman" w:cs="Times New Roman" w:eastAsia="Times New Roman" w:hint="default"/>
                <w:sz w:val="18"/>
                <w:szCs w:val="18"/>
              </w:rPr>
            </w:pPr>
            <w:r>
              <w:rPr>
                <w:rFonts w:ascii="Times New Roman"/>
                <w:sz w:val="18"/>
              </w:rPr>
              <w:t>4,800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17" w:right="0"/>
              <w:jc w:val="left"/>
              <w:rPr>
                <w:rFonts w:ascii="Times New Roman" w:hAnsi="Times New Roman" w:cs="Times New Roman" w:eastAsia="Times New Roman" w:hint="default"/>
                <w:sz w:val="18"/>
                <w:szCs w:val="18"/>
              </w:rPr>
            </w:pPr>
            <w:r>
              <w:rPr>
                <w:rFonts w:ascii="Times New Roman"/>
                <w:sz w:val="18"/>
              </w:rPr>
              <w:t>8,432.45</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307" w:lineRule="auto" w:before="46"/>
              <w:ind w:left="22" w:right="22"/>
              <w:jc w:val="both"/>
              <w:rPr>
                <w:rFonts w:ascii="宋体" w:hAnsi="宋体" w:cs="宋体" w:eastAsia="宋体" w:hint="default"/>
                <w:sz w:val="18"/>
                <w:szCs w:val="18"/>
              </w:rPr>
            </w:pPr>
            <w:hyperlink r:id="rId16">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m.cn</w:t>
            </w:r>
            <w:r>
              <w:rPr>
                <w:rFonts w:ascii="宋体" w:hAnsi="宋体" w:cs="宋体" w:eastAsia="宋体" w:hint="default"/>
                <w:spacing w:val="-16"/>
                <w:sz w:val="18"/>
                <w:szCs w:val="18"/>
              </w:rPr>
              <w:t>：《发行股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份购买资产报</w:t>
            </w:r>
          </w:p>
        </w:tc>
      </w:tr>
      <w:tr>
        <w:trPr>
          <w:trHeight w:val="356" w:hRule="exact"/>
        </w:trPr>
        <w:tc>
          <w:tcPr>
            <w:tcW w:w="1306"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25"/>
              <w:jc w:val="left"/>
              <w:rPr>
                <w:rFonts w:ascii="宋体" w:hAnsi="宋体" w:cs="宋体" w:eastAsia="宋体" w:hint="default"/>
                <w:sz w:val="18"/>
                <w:szCs w:val="18"/>
              </w:rPr>
            </w:pPr>
            <w:r>
              <w:rPr>
                <w:rFonts w:ascii="宋体" w:hAnsi="宋体" w:cs="宋体" w:eastAsia="宋体" w:hint="default"/>
                <w:sz w:val="18"/>
                <w:szCs w:val="18"/>
              </w:rPr>
              <w:t>告书（草案</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right="0"/>
        <w:jc w:val="both"/>
      </w:pPr>
      <w:r>
        <w:rPr/>
        <w:t>公司股东、交易对手方对公司或相关资产年度经营业绩作出的承诺情况</w:t>
      </w:r>
    </w:p>
    <w:p>
      <w:pPr>
        <w:pStyle w:val="BodyText"/>
        <w:spacing w:line="412" w:lineRule="auto" w:before="117"/>
        <w:ind w:left="514" w:right="8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在公司发行股份购买亿美软通</w:t>
      </w:r>
      <w:r>
        <w:rPr>
          <w:rFonts w:ascii="Times New Roman" w:hAnsi="Times New Roman" w:cs="Times New Roman" w:eastAsia="Times New Roman" w:hint="default"/>
          <w:spacing w:val="-1"/>
        </w:rPr>
        <w:t>100%</w:t>
      </w:r>
      <w:r>
        <w:rPr>
          <w:spacing w:val="-1"/>
        </w:rPr>
        <w:t>股权中，作为重大资产重组的交易对方，冯军、李岩关于亿美软通的业绩承诺如下：</w:t>
      </w:r>
    </w:p>
    <w:p>
      <w:pPr>
        <w:pStyle w:val="BodyText"/>
        <w:spacing w:line="463" w:lineRule="auto" w:before="75"/>
        <w:ind w:left="153" w:right="191"/>
        <w:jc w:val="both"/>
      </w:pPr>
      <w:r>
        <w:rPr>
          <w:spacing w:val="-2"/>
        </w:rPr>
        <w:t>亿美软通在盈利承诺期内实现的实际净利润数（经审计的扣除非经常性损益后的净利润，下同）不低于亿美软通按照资产评</w:t>
      </w:r>
      <w:r>
        <w:rPr>
          <w:spacing w:val="-66"/>
        </w:rPr>
        <w:t> </w:t>
      </w:r>
      <w:r>
        <w:rPr>
          <w:spacing w:val="-66"/>
        </w:rPr>
      </w:r>
      <w:r>
        <w:rPr>
          <w:spacing w:val="-5"/>
        </w:rPr>
        <w:t>估报告收益法预测的净利润数，其中，</w:t>
      </w:r>
      <w:r>
        <w:rPr>
          <w:rFonts w:ascii="Times New Roman" w:hAnsi="Times New Roman" w:cs="Times New Roman" w:eastAsia="Times New Roman" w:hint="default"/>
          <w:spacing w:val="-5"/>
        </w:rPr>
        <w:t>2014</w:t>
      </w:r>
      <w:r>
        <w:rPr>
          <w:spacing w:val="-5"/>
        </w:rPr>
        <w:t>年度承诺净利润数不低于</w:t>
      </w:r>
      <w:r>
        <w:rPr>
          <w:rFonts w:ascii="Times New Roman" w:hAnsi="Times New Roman" w:cs="Times New Roman" w:eastAsia="Times New Roman" w:hint="default"/>
          <w:spacing w:val="-5"/>
        </w:rPr>
        <w:t>3840</w:t>
      </w:r>
      <w:r>
        <w:rPr>
          <w:spacing w:val="-5"/>
        </w:rPr>
        <w:t>万元、</w:t>
      </w:r>
      <w:r>
        <w:rPr>
          <w:rFonts w:ascii="Times New Roman" w:hAnsi="Times New Roman" w:cs="Times New Roman" w:eastAsia="Times New Roman" w:hint="default"/>
          <w:spacing w:val="-5"/>
        </w:rPr>
        <w:t>2015</w:t>
      </w:r>
      <w:r>
        <w:rPr>
          <w:spacing w:val="-5"/>
        </w:rPr>
        <w:t>年度承诺净利润数不低于</w:t>
      </w:r>
      <w:r>
        <w:rPr>
          <w:rFonts w:ascii="Times New Roman" w:hAnsi="Times New Roman" w:cs="Times New Roman" w:eastAsia="Times New Roman" w:hint="default"/>
          <w:spacing w:val="-5"/>
        </w:rPr>
        <w:t>4800</w:t>
      </w:r>
      <w:r>
        <w:rPr>
          <w:spacing w:val="-5"/>
        </w:rPr>
        <w:t>万元、</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7"/>
        </w:rPr>
        <w:t> </w:t>
      </w:r>
      <w:r>
        <w:rPr/>
        <w:t>年度承诺净利润数不低于</w:t>
      </w:r>
      <w:r>
        <w:rPr>
          <w:rFonts w:ascii="Times New Roman" w:hAnsi="Times New Roman" w:cs="Times New Roman" w:eastAsia="Times New Roman" w:hint="default"/>
        </w:rPr>
        <w:t>6000</w:t>
      </w:r>
      <w:r>
        <w:rPr/>
        <w:t>万元。</w:t>
      </w:r>
    </w:p>
    <w:p>
      <w:pPr>
        <w:spacing w:after="0" w:line="463" w:lineRule="auto"/>
        <w:jc w:val="both"/>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4" w:right="36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4" w:right="58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梅月欣、昝丽涛</w:t>
            </w:r>
          </w:p>
        </w:tc>
      </w:tr>
    </w:tbl>
    <w:p>
      <w:pPr>
        <w:pStyle w:val="BodyText"/>
        <w:spacing w:line="240" w:lineRule="auto" w:before="51"/>
        <w:ind w:right="0"/>
        <w:jc w:val="both"/>
      </w:pPr>
      <w:r>
        <w:rPr/>
        <w:t>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412" w:lineRule="auto" w:before="40"/>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日召开第三届董事会第十七次会议、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日召开</w:t>
      </w:r>
      <w:r>
        <w:rPr>
          <w:rFonts w:ascii="Times New Roman" w:hAnsi="Times New Roman" w:cs="Times New Roman" w:eastAsia="Times New Roman" w:hint="default"/>
          <w:spacing w:val="-2"/>
        </w:rPr>
        <w:t>2015</w:t>
      </w:r>
      <w:r>
        <w:rPr>
          <w:spacing w:val="-2"/>
        </w:rPr>
        <w:t>年第四次临时股东大会，审议通过</w:t>
      </w:r>
    </w:p>
    <w:p>
      <w:pPr>
        <w:pStyle w:val="BodyText"/>
        <w:spacing w:line="477" w:lineRule="auto" w:before="75"/>
        <w:ind w:right="149"/>
        <w:jc w:val="both"/>
      </w:pPr>
      <w:r>
        <w:rPr>
          <w:spacing w:val="-2"/>
        </w:rPr>
        <w:t>了公司非公开发行股票的相关议案，并与长江证券承销保荐有限公司签署了《深圳市银之杰科技股份有限公司与长江证券承</w:t>
      </w:r>
      <w:r>
        <w:rPr>
          <w:spacing w:val="-64"/>
        </w:rPr>
        <w:t> </w:t>
      </w:r>
      <w:r>
        <w:rPr>
          <w:spacing w:val="-64"/>
        </w:rPr>
      </w:r>
      <w:r>
        <w:rPr>
          <w:spacing w:val="-2"/>
        </w:rPr>
        <w:t>销保荐有限公司之向特定对象非公开发行股票保荐协议书》，聘请长江证券承销保荐有限公司作为本次发行的保荐机构，保</w:t>
      </w:r>
      <w:r>
        <w:rPr>
          <w:spacing w:val="-72"/>
        </w:rPr>
        <w:t> </w:t>
      </w:r>
      <w:r>
        <w:rPr>
          <w:spacing w:val="-72"/>
        </w:rPr>
      </w:r>
      <w:r>
        <w:rPr/>
        <w:t>荐期间为公司本次发行的股票上市当年的剩余时间及其后的两个完整会计年度。</w:t>
      </w:r>
    </w:p>
    <w:p>
      <w:pPr>
        <w:spacing w:after="0" w:line="477" w:lineRule="auto"/>
        <w:jc w:val="both"/>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90"/>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4" w:right="63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21"/>
          <w:szCs w:val="21"/>
        </w:rPr>
      </w:pPr>
    </w:p>
    <w:p>
      <w:pPr>
        <w:pStyle w:val="Heading2"/>
        <w:spacing w:line="240" w:lineRule="auto"/>
        <w:ind w:right="9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4" w:right="63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21"/>
          <w:szCs w:val="21"/>
        </w:rPr>
      </w:pPr>
    </w:p>
    <w:p>
      <w:pPr>
        <w:pStyle w:val="Heading2"/>
        <w:spacing w:line="240" w:lineRule="auto"/>
        <w:ind w:right="9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4" w:right="657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21"/>
          <w:szCs w:val="21"/>
        </w:rPr>
      </w:pPr>
    </w:p>
    <w:p>
      <w:pPr>
        <w:pStyle w:val="Heading2"/>
        <w:spacing w:line="240" w:lineRule="auto"/>
        <w:ind w:right="9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461" w:right="90" w:hanging="3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1、2013年5月24日，公司分别召开了第二届董事会第十五次会议和第二届监事会第十三次会议，审议通过了《股票期权</w:t>
      </w:r>
    </w:p>
    <w:p>
      <w:pPr>
        <w:pStyle w:val="BodyText"/>
        <w:spacing w:line="477" w:lineRule="auto" w:before="103"/>
        <w:ind w:right="90"/>
        <w:jc w:val="left"/>
      </w:pPr>
      <w:r>
        <w:rPr>
          <w:spacing w:val="-2"/>
        </w:rPr>
        <w:t>与限制性股票激励计划（草案）及其摘要》，公司独立董事已对此事项发表了独立意见，公司监事会对本次股权激励计划激</w:t>
      </w:r>
      <w:r>
        <w:rPr>
          <w:spacing w:val="-66"/>
        </w:rPr>
        <w:t> </w:t>
      </w:r>
      <w:r>
        <w:rPr>
          <w:spacing w:val="-66"/>
        </w:rPr>
      </w:r>
      <w:r>
        <w:rPr/>
        <w:t>励对象名单发表了核查意见。其后公司向中国证监会上报了申请备案材料。</w:t>
      </w:r>
    </w:p>
    <w:p>
      <w:pPr>
        <w:pStyle w:val="BodyText"/>
        <w:spacing w:line="477" w:lineRule="auto" w:before="54"/>
        <w:ind w:right="90" w:firstLine="360"/>
        <w:jc w:val="left"/>
      </w:pPr>
      <w:r>
        <w:rPr>
          <w:spacing w:val="-2"/>
        </w:rPr>
        <w:t>2、根据中国证监会的反馈意见，公司对股票期权与限制性股票激励计划（草案）及其摘要的部分条款进行了相应修改，</w:t>
      </w:r>
      <w:r>
        <w:rPr/>
        <w:t> 并于2013年7月29日召开第二届董事会第十六次会议和第二届监事会第十四次会议，审议通过了《股票期权与限制性股票激 励计划（修订案）及其摘要》，公司独立董事对激励计划发表了独立意见。该激励计划经中国证监会备案无异议。</w:t>
      </w:r>
    </w:p>
    <w:p>
      <w:pPr>
        <w:pStyle w:val="BodyText"/>
        <w:spacing w:line="477" w:lineRule="auto" w:before="54"/>
        <w:ind w:right="189" w:firstLine="360"/>
        <w:jc w:val="both"/>
      </w:pPr>
      <w:r>
        <w:rPr>
          <w:spacing w:val="-2"/>
        </w:rPr>
        <w:t>3、公司于2013年8月14日召开2013年第一次临时股东大会审议通过了《股票期权与限制性股票激励计划（修订案）及其</w:t>
      </w:r>
      <w:r>
        <w:rPr/>
        <w:t> </w:t>
      </w:r>
      <w:r>
        <w:rPr>
          <w:spacing w:val="-2"/>
        </w:rPr>
        <w:t>摘要》、《股权激励计划实施考核管理办法》及《关于提请股东大会授权董事会办理股票期权与限制性股票激励计划相关事</w:t>
      </w:r>
      <w:r>
        <w:rPr>
          <w:spacing w:val="-65"/>
        </w:rPr>
        <w:t> </w:t>
      </w:r>
      <w:r>
        <w:rPr>
          <w:spacing w:val="-65"/>
        </w:rPr>
      </w:r>
      <w:r>
        <w:rPr>
          <w:spacing w:val="-2"/>
        </w:rPr>
        <w:t>宜的议案》。董事会被授权确定股票期权和限制性股票授予日、在激励对象符合条件时向激励对象授予股票期权与限制性股</w:t>
      </w:r>
      <w:r>
        <w:rPr>
          <w:spacing w:val="-66"/>
        </w:rPr>
        <w:t> </w:t>
      </w:r>
      <w:r>
        <w:rPr>
          <w:spacing w:val="-66"/>
        </w:rPr>
      </w:r>
      <w:r>
        <w:rPr/>
        <w:t>票并办理授予股票期权与限制性股票所必须的全部事宜。</w:t>
      </w:r>
    </w:p>
    <w:p>
      <w:pPr>
        <w:pStyle w:val="BodyText"/>
        <w:spacing w:line="240" w:lineRule="auto" w:before="54"/>
        <w:ind w:left="514" w:right="0"/>
        <w:jc w:val="left"/>
      </w:pPr>
      <w:r>
        <w:rPr/>
        <w:t>4、公司于2013年8月20日召开第二届董事会第十八次会议审议通过了《关于调整股权激励对象名单及授予数量的议案》</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91"/>
        <w:jc w:val="both"/>
      </w:pPr>
      <w:r>
        <w:rPr>
          <w:spacing w:val="-2"/>
        </w:rPr>
        <w:t>以及《关于向激励对象授予股票期权与限制性股票的议案》，并于当日召开第二届监事会第十六次会议，审议通过了《关于</w:t>
      </w:r>
      <w:r>
        <w:rPr>
          <w:spacing w:val="-66"/>
        </w:rPr>
        <w:t> </w:t>
      </w:r>
      <w:r>
        <w:rPr>
          <w:spacing w:val="-66"/>
        </w:rPr>
      </w:r>
      <w:r>
        <w:rPr>
          <w:spacing w:val="-2"/>
        </w:rPr>
        <w:t>核实公司股票期权与限制性股票激励计划激励对象名单的议案》，同意确定2013年8月20日为授予日，授予28名激励对象133</w:t>
      </w:r>
      <w:r>
        <w:rPr>
          <w:spacing w:val="-54"/>
        </w:rPr>
        <w:t> </w:t>
      </w:r>
      <w:r>
        <w:rPr>
          <w:spacing w:val="-54"/>
        </w:rPr>
      </w:r>
      <w:r>
        <w:rPr>
          <w:spacing w:val="-2"/>
        </w:rPr>
        <w:t>万股限制性股票和32万份股票期权公司。独立董事对此发表了独立意见，认为激励对象主体资格确认办法合法有效，确定的</w:t>
      </w:r>
      <w:r>
        <w:rPr>
          <w:spacing w:val="-64"/>
        </w:rPr>
        <w:t> </w:t>
      </w:r>
      <w:r>
        <w:rPr>
          <w:spacing w:val="-64"/>
        </w:rPr>
      </w:r>
      <w:r>
        <w:rPr/>
        <w:t>授权日符合相关规定。</w:t>
      </w:r>
    </w:p>
    <w:p>
      <w:pPr>
        <w:pStyle w:val="BodyText"/>
        <w:spacing w:line="240" w:lineRule="auto" w:before="54"/>
        <w:ind w:left="514" w:right="0"/>
        <w:jc w:val="left"/>
      </w:pPr>
      <w:r>
        <w:rPr/>
        <w:t>5</w:t>
      </w:r>
      <w:r>
        <w:rPr>
          <w:spacing w:val="-88"/>
        </w:rPr>
        <w:t>、</w:t>
      </w:r>
      <w:r>
        <w:rPr/>
        <w:t>公司于2014年8月18日分别召开了第三届董事会第五次会议</w:t>
      </w:r>
      <w:r>
        <w:rPr>
          <w:spacing w:val="-88"/>
        </w:rPr>
        <w:t>，</w:t>
      </w:r>
      <w:r>
        <w:rPr/>
        <w:t>审议通过</w:t>
      </w:r>
      <w:r>
        <w:rPr>
          <w:spacing w:val="-88"/>
        </w:rPr>
        <w:t>了</w:t>
      </w:r>
      <w:r>
        <w:rPr/>
        <w:t>《关于调整股票期权数量和行权价格的议案</w:t>
      </w:r>
      <w:r>
        <w:rPr>
          <w:spacing w:val="-88"/>
        </w:rPr>
        <w:t>》</w:t>
      </w:r>
      <w:r>
        <w:rPr/>
        <w:t>、</w:t>
      </w:r>
    </w:p>
    <w:p>
      <w:pPr>
        <w:spacing w:line="240" w:lineRule="auto" w:before="10"/>
        <w:rPr>
          <w:rFonts w:ascii="宋体" w:hAnsi="宋体" w:cs="宋体" w:eastAsia="宋体" w:hint="default"/>
          <w:sz w:val="17"/>
          <w:szCs w:val="17"/>
        </w:rPr>
      </w:pPr>
    </w:p>
    <w:p>
      <w:pPr>
        <w:pStyle w:val="BodyText"/>
        <w:spacing w:line="477" w:lineRule="auto"/>
        <w:ind w:left="153" w:right="191"/>
        <w:jc w:val="both"/>
      </w:pPr>
      <w:r>
        <w:rPr>
          <w:spacing w:val="-2"/>
        </w:rPr>
        <w:t>《关于已授予的部分股票期权作废及部分限制性股票回购注销的议案》，并于当日召开第三届监事会第四次会议，审议通过</w:t>
      </w:r>
      <w:r>
        <w:rPr>
          <w:spacing w:val="-66"/>
        </w:rPr>
        <w:t> </w:t>
      </w:r>
      <w:r>
        <w:rPr>
          <w:spacing w:val="-66"/>
        </w:rPr>
      </w:r>
      <w:r>
        <w:rPr>
          <w:spacing w:val="-2"/>
        </w:rPr>
        <w:t>了《关于已授予的部分股票期权作废及部分限制性股票回购注销的议案》。由于公司实施了2013年度权益分派方案，公司激</w:t>
      </w:r>
      <w:r>
        <w:rPr>
          <w:spacing w:val="-62"/>
        </w:rPr>
        <w:t> </w:t>
      </w:r>
      <w:r>
        <w:rPr>
          <w:spacing w:val="-62"/>
        </w:rPr>
      </w:r>
      <w:r>
        <w:rPr/>
        <w:t>励计划股票期权数量由32万份调整为64万份，行权价格由11.39元调整为5.67元。鉴于原激励对象曹维亮、张保斌因个人原 因离职已不符合激励条件，且公司2013年度业绩未能满足公司激励计划规定的第一个行权/解锁期的业绩考核条件，根据公 司激励计划的有关规定，公司将激励计划中尚未行权的股权期权共计28万份全部进行作废；尚未解锁的限制性股票共计102 万股全部进行回购注销。公司独立董事对上述事项发表了独立意见。</w:t>
      </w:r>
    </w:p>
    <w:p>
      <w:pPr>
        <w:pStyle w:val="BodyText"/>
        <w:spacing w:line="477" w:lineRule="auto" w:before="54"/>
        <w:ind w:right="191" w:firstLine="360"/>
        <w:jc w:val="both"/>
      </w:pPr>
      <w:r>
        <w:rPr>
          <w:spacing w:val="-5"/>
        </w:rPr>
        <w:t>6、公司于2015年8月21日召开第三届董事会第十四次会议审议通过了《关于调整股票期权数量和行权价格的议案》、《关</w:t>
      </w:r>
      <w:r>
        <w:rPr/>
        <w:t> </w:t>
      </w:r>
      <w:r>
        <w:rPr>
          <w:spacing w:val="-2"/>
        </w:rPr>
        <w:t>于股票期权与限制性股票激励计划第二个行权/解锁期可行权/解锁的议案》，并于当日召开第三届监事会第十次会议，审议</w:t>
      </w:r>
      <w:r>
        <w:rPr>
          <w:spacing w:val="-64"/>
        </w:rPr>
        <w:t> </w:t>
      </w:r>
      <w:r>
        <w:rPr>
          <w:spacing w:val="-64"/>
        </w:rPr>
      </w:r>
      <w:r>
        <w:rPr>
          <w:spacing w:val="-2"/>
        </w:rPr>
        <w:t>通过了《关于股票期权与限制性股票激励计划第二个行权/解锁期可行权/解锁的议案》。监事会对公司激励计划第二个行权</w:t>
      </w:r>
    </w:p>
    <w:p>
      <w:pPr>
        <w:pStyle w:val="BodyText"/>
        <w:spacing w:line="240" w:lineRule="auto" w:before="54"/>
        <w:ind w:right="0"/>
        <w:jc w:val="both"/>
      </w:pPr>
      <w:r>
        <w:rPr/>
        <w:t>/解锁期行权/解锁条件及激励对象名单进行了核实，公司独立董事对上述事项发表了独立意见。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514" w:right="90"/>
        <w:jc w:val="left"/>
      </w:pPr>
      <w:r>
        <w:rPr/>
        <w:pict>
          <v:shape style="position:absolute;margin-left:250.139999pt;margin-top:56.711815pt;width:125.2pt;height:145.35pt;mso-position-horizontal-relative:page;mso-position-vertical-relative:paragraph;z-index:-757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0"/>
                    <w:ind w:left="0" w:right="0"/>
                    <w:jc w:val="left"/>
                  </w:pPr>
                  <w:r>
                    <w:rPr/>
                    <w:t>、</w:t>
                  </w:r>
                </w:p>
              </w:txbxContent>
            </v:textbox>
            <w10:wrap type="none"/>
          </v:shape>
        </w:pict>
      </w:r>
      <w:r>
        <w:rPr/>
        <w:pict>
          <v:group style="position:absolute;margin-left:254.940002pt;margin-top:76.751816pt;width:121pt;height:125.3pt;mso-position-horizontal-relative:page;mso-position-vertical-relative:paragraph;z-index:-757432" coordorigin="5099,1535" coordsize="2420,2506">
            <v:group style="position:absolute;left:5110;top:1535;width:2397;height:2506" coordorigin="5110,1535" coordsize="2397,2506">
              <v:shape style="position:absolute;left:5110;top:1535;width:2397;height:2506" coordorigin="5110,1535" coordsize="2397,2506" path="m5110,4041l7506,4041,7506,1535,5110,1535,5110,4041xe" filled="true" fillcolor="#ffffff" stroked="false">
                <v:path arrowok="t"/>
                <v:fill type="solid"/>
              </v:shape>
            </v:group>
            <v:group style="position:absolute;left:5104;top:4036;width:2410;height:2" coordorigin="5104,4036" coordsize="2410,2">
              <v:shape style="position:absolute;left:5104;top:4036;width:2410;height:2" coordorigin="5104,4036" coordsize="2410,0" path="m5104,4036l7513,4036e" filled="false" stroked="true" strokeweight=".48001pt" strokecolor="#ffffff">
                <v:path arrowok="t"/>
              </v:shape>
            </v:group>
            <w10:wrap type="none"/>
          </v:group>
        </w:pict>
      </w:r>
      <w:r>
        <w:rPr/>
        <w:t>股权激励事项临时报告披露网站查询</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3970"/>
        <w:gridCol w:w="2410"/>
        <w:gridCol w:w="2693"/>
      </w:tblGrid>
      <w:tr>
        <w:trPr>
          <w:trHeight w:val="404" w:hRule="exact"/>
        </w:trPr>
        <w:tc>
          <w:tcPr>
            <w:tcW w:w="397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1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left="47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69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right="348"/>
              <w:jc w:val="right"/>
              <w:rPr>
                <w:rFonts w:ascii="宋体" w:hAnsi="宋体" w:cs="宋体" w:eastAsia="宋体" w:hint="default"/>
                <w:sz w:val="18"/>
                <w:szCs w:val="18"/>
              </w:rPr>
            </w:pPr>
            <w:r>
              <w:rPr>
                <w:rFonts w:ascii="宋体" w:hAnsi="宋体" w:cs="宋体" w:eastAsia="宋体" w:hint="default"/>
                <w:sz w:val="18"/>
                <w:szCs w:val="18"/>
              </w:rPr>
              <w:t>刊登的指定网站查询索引</w:t>
            </w:r>
          </w:p>
        </w:tc>
      </w:tr>
      <w:tr>
        <w:trPr>
          <w:trHeight w:val="393" w:hRule="exact"/>
        </w:trPr>
        <w:tc>
          <w:tcPr>
            <w:tcW w:w="397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股票期权与限制性股票激励计划（草案）、股票期</w:t>
            </w:r>
          </w:p>
        </w:tc>
        <w:tc>
          <w:tcPr>
            <w:tcW w:w="2410" w:type="dxa"/>
            <w:tcBorders>
              <w:top w:val="single" w:sz="14" w:space="0" w:color="000000"/>
              <w:left w:val="single" w:sz="6" w:space="0" w:color="000000"/>
              <w:bottom w:val="nil" w:sz="6" w:space="0" w:color="auto"/>
              <w:right w:val="single" w:sz="6" w:space="0" w:color="000000"/>
            </w:tcBorders>
          </w:tcPr>
          <w:p>
            <w:pPr>
              <w:pStyle w:val="TableParagraph"/>
              <w:spacing w:line="240" w:lineRule="auto" w:before="6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93"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74"/>
              <w:ind w:right="30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r>
        <w:trPr>
          <w:trHeight w:val="306"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权与限制性股票激励计划（草案）摘要、股权激励</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计划（草案）激励对象名单、股权激励计划实施考</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核管理办法（</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月）、独立董事关于公司股</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5"/>
                <w:sz w:val="18"/>
                <w:szCs w:val="18"/>
              </w:rPr>
              <w:t>票期权与限制性股票激励计划（草案）的独立意见</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第二届董事会第十五次会议决议公告、第二届监事</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会第十三次会议决议公告、北京市星河律师事务所</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关于公司股票期权与限制性股票激励计划（草案）</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69" w:hRule="exact"/>
        </w:trPr>
        <w:tc>
          <w:tcPr>
            <w:tcW w:w="39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的法律意见书</w:t>
            </w:r>
          </w:p>
        </w:tc>
        <w:tc>
          <w:tcPr>
            <w:tcW w:w="2410" w:type="dxa"/>
            <w:tcBorders>
              <w:top w:val="nil" w:sz="6" w:space="0" w:color="auto"/>
              <w:left w:val="single" w:sz="6" w:space="0" w:color="000000"/>
              <w:bottom w:val="single" w:sz="6" w:space="0" w:color="000000"/>
              <w:right w:val="single" w:sz="6" w:space="0" w:color="000000"/>
            </w:tcBorders>
          </w:tcPr>
          <w:p>
            <w:pPr/>
          </w:p>
        </w:tc>
        <w:tc>
          <w:tcPr>
            <w:tcW w:w="2693" w:type="dxa"/>
            <w:tcBorders>
              <w:top w:val="nil" w:sz="6" w:space="0" w:color="auto"/>
              <w:left w:val="single" w:sz="6" w:space="0" w:color="000000"/>
              <w:bottom w:val="single" w:sz="6" w:space="0" w:color="000000"/>
              <w:right w:val="single" w:sz="6" w:space="0" w:color="000000"/>
            </w:tcBorders>
          </w:tcPr>
          <w:p>
            <w:pPr/>
          </w:p>
        </w:tc>
      </w:tr>
      <w:tr>
        <w:trPr>
          <w:trHeight w:val="375" w:hRule="exact"/>
        </w:trPr>
        <w:tc>
          <w:tcPr>
            <w:tcW w:w="39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股票期权与限制性股票激励计划（修订案）、股票</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r>
        <w:trPr>
          <w:trHeight w:val="307"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期权与限制性股票激励计划（修订案）摘要、关于</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对《股票期权与限制性股票激励计划（草案）》的</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修订说明、上海荣正投资咨询有限公司关于公司股</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票期权与限制性股票激励计划（修订案）之独立财</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务顾问报告、北京市星河律师事务所关于公司股票</w:t>
            </w:r>
          </w:p>
        </w:tc>
        <w:tc>
          <w:tcPr>
            <w:tcW w:w="2410"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39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期权与限制性股票激励计划（修订案）的法律意见</w:t>
            </w:r>
          </w:p>
        </w:tc>
        <w:tc>
          <w:tcPr>
            <w:tcW w:w="2410" w:type="dxa"/>
            <w:tcBorders>
              <w:top w:val="nil" w:sz="6" w:space="0" w:color="auto"/>
              <w:left w:val="single" w:sz="6" w:space="0" w:color="000000"/>
              <w:bottom w:val="single" w:sz="6" w:space="0" w:color="000000"/>
              <w:right w:val="single" w:sz="6" w:space="0" w:color="000000"/>
            </w:tcBorders>
          </w:tcPr>
          <w:p>
            <w:pPr/>
          </w:p>
        </w:tc>
        <w:tc>
          <w:tcPr>
            <w:tcW w:w="269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970"/>
        <w:gridCol w:w="2410"/>
        <w:gridCol w:w="2693"/>
      </w:tblGrid>
      <w:tr>
        <w:trPr>
          <w:trHeight w:val="132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书、第二届董事会第十六次会议决议公告、第二届 监事会第十四次会议决议公告、独立董事公开征集 委托投票权报告书、独立董事关于公司股票期权与 限制性股票激励计划（修订案）的独立意见</w:t>
            </w:r>
          </w:p>
        </w:tc>
        <w:tc>
          <w:tcPr>
            <w:tcW w:w="241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年第一次临时股东大会决议公告、</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 次临时股东大会召开的法律意见书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261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关于向激励对象授予股票期权与限制性股票的公 告、关于调整股权激励对象名单及授予数量的公 告、股权激励计划激励对象名单</w:t>
            </w:r>
            <w:r>
              <w:rPr>
                <w:rFonts w:ascii="Times New Roman" w:hAnsi="Times New Roman" w:cs="Times New Roman" w:eastAsia="Times New Roman" w:hint="default"/>
                <w:sz w:val="18"/>
                <w:szCs w:val="18"/>
              </w:rPr>
              <w:t>(</w:t>
            </w:r>
            <w:r>
              <w:rPr>
                <w:rFonts w:ascii="宋体" w:hAnsi="宋体" w:cs="宋体" w:eastAsia="宋体" w:hint="default"/>
                <w:sz w:val="18"/>
                <w:szCs w:val="18"/>
              </w:rPr>
              <w:t>调整后</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 事关于第二届董事会第十八次会议相关议案的独 立意见、第二届董事会第十八次会议决议公告、第 二届监事会第十六次会议决议公告、北京市星河律 师事务所关于公司股票期权与限制性股票激励计 划授予及调整事项的法律意见书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关于股票期权与限制性股票授予登记完成的公告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229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关于调整股票期权数量和行权价格的公告、关于已 授予的部分股票期权作废及部分限制性股票回购 注销的公告、减资公告、第三届董事会第五次会议 决议公告、第三届监事会第四次会议决议公告、独 立董事关于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年半年度相关事项的独立意见、北 京市星河律师事务所关于公司股票期权与限制性 股票激励计划相关事项的法律意见书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73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0"/>
              <w:jc w:val="left"/>
              <w:rPr>
                <w:rFonts w:ascii="宋体" w:hAnsi="宋体" w:cs="宋体" w:eastAsia="宋体" w:hint="default"/>
                <w:sz w:val="18"/>
                <w:szCs w:val="18"/>
              </w:rPr>
            </w:pPr>
            <w:r>
              <w:rPr>
                <w:rFonts w:ascii="宋体" w:hAnsi="宋体" w:cs="宋体" w:eastAsia="宋体" w:hint="default"/>
                <w:sz w:val="18"/>
                <w:szCs w:val="18"/>
              </w:rPr>
              <w:t>关于部分股票期权作废及部分限制性股票回购注 销完成的公告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229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关于调整股票期权数量和行权价格的公告、关于股 票期权与限制性股票激励计划第二个行权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解锁期 </w:t>
            </w:r>
            <w:r>
              <w:rPr>
                <w:rFonts w:ascii="宋体" w:hAnsi="宋体" w:cs="宋体" w:eastAsia="宋体" w:hint="default"/>
                <w:spacing w:val="-2"/>
                <w:sz w:val="18"/>
                <w:szCs w:val="18"/>
              </w:rPr>
              <w:t>可行权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解锁的公告、第三届董事会第十四次会议决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议公告、第三届监事会第十次会议决议公告、独立</w:t>
            </w:r>
            <w:r>
              <w:rPr>
                <w:rFonts w:ascii="宋体" w:hAnsi="宋体" w:cs="宋体" w:eastAsia="宋体" w:hint="default"/>
                <w:sz w:val="18"/>
                <w:szCs w:val="18"/>
              </w:rPr>
              <w:t> 董事关于第三届董事会第十四次会议相关事项的 独立意见、北京市中银律师事务所关于公司股票期 权与限制性股票激励计划相关事宜的法律意见书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240" w:lineRule="auto" w:before="44"/>
        <w:ind w:left="514" w:right="90"/>
        <w:jc w:val="left"/>
      </w:pPr>
      <w:r>
        <w:rPr/>
        <w:t>公司报告期未发生资产或股权收购、出售的关联交易。</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9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58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3"/>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63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67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21"/>
          <w:szCs w:val="21"/>
        </w:rPr>
      </w:pPr>
    </w:p>
    <w:p>
      <w:pPr>
        <w:pStyle w:val="Heading2"/>
        <w:spacing w:line="240" w:lineRule="auto"/>
        <w:ind w:right="90"/>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71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公司报告期不存在托管情况。</w:t>
      </w:r>
    </w:p>
    <w:p>
      <w:pPr>
        <w:spacing w:line="240" w:lineRule="auto" w:before="13"/>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71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公司报告期不存在承包情况。</w:t>
      </w:r>
    </w:p>
    <w:p>
      <w:pPr>
        <w:spacing w:line="240" w:lineRule="auto" w:before="13"/>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415" w:lineRule="auto"/>
        <w:ind w:right="7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租赁情况说明</w:t>
      </w:r>
    </w:p>
    <w:p>
      <w:pPr>
        <w:pStyle w:val="BodyText"/>
        <w:spacing w:line="477" w:lineRule="auto" w:before="139"/>
        <w:ind w:right="90" w:firstLine="360"/>
        <w:jc w:val="left"/>
      </w:pPr>
      <w:r>
        <w:rPr>
          <w:spacing w:val="-2"/>
        </w:rPr>
        <w:t>1.2013年11月，公司与廖珮怡签订了《房屋租赁合同》，约定将廖珮怡位于深圳市福田区车公庙天安数码城天祥大厦AB</w:t>
      </w:r>
      <w:r>
        <w:rPr/>
        <w:t> </w:t>
      </w:r>
      <w:r>
        <w:rPr>
          <w:spacing w:val="-2"/>
        </w:rPr>
        <w:t>座5B2的房产出租给公司办公，租赁面积为588.82平方米，月租金为82,435.00元，并约定第二年月租金调整为85,379.00元，</w:t>
      </w:r>
      <w:r>
        <w:rPr>
          <w:spacing w:val="-38"/>
        </w:rPr>
        <w:t> </w:t>
      </w:r>
      <w:r>
        <w:rPr>
          <w:spacing w:val="-38"/>
        </w:rPr>
      </w:r>
      <w:r>
        <w:rPr>
          <w:spacing w:val="-2"/>
        </w:rPr>
        <w:t>租赁期自2013年12月11日起至2015年12月10日止。该房屋租赁合同已经深圳市福田区房屋租赁管理局备案，合同登记备案号</w:t>
      </w:r>
      <w:r>
        <w:rPr>
          <w:spacing w:val="-48"/>
        </w:rPr>
        <w:t> </w:t>
      </w:r>
      <w:r>
        <w:rPr>
          <w:spacing w:val="-48"/>
        </w:rPr>
      </w:r>
      <w:r>
        <w:rPr/>
        <w:t>为“福EK050774”。</w:t>
      </w:r>
    </w:p>
    <w:p>
      <w:pPr>
        <w:spacing w:after="0" w:line="477" w:lineRule="auto"/>
        <w:jc w:val="left"/>
        <w:sectPr>
          <w:footerReference w:type="default" r:id="rId17"/>
          <w:pgSz w:w="11910" w:h="16840"/>
          <w:pgMar w:footer="982" w:header="877" w:top="1100" w:bottom="1180" w:left="980" w:right="940"/>
          <w:pgNumType w:start="51"/>
        </w:sectPr>
      </w:pPr>
    </w:p>
    <w:p>
      <w:pPr>
        <w:spacing w:line="240" w:lineRule="auto" w:before="11"/>
        <w:rPr>
          <w:rFonts w:ascii="宋体" w:hAnsi="宋体" w:cs="宋体" w:eastAsia="宋体" w:hint="default"/>
          <w:sz w:val="27"/>
          <w:szCs w:val="27"/>
        </w:rPr>
      </w:pPr>
    </w:p>
    <w:p>
      <w:pPr>
        <w:pStyle w:val="BodyText"/>
        <w:spacing w:line="477" w:lineRule="auto" w:before="44"/>
        <w:ind w:right="191" w:firstLine="360"/>
        <w:jc w:val="both"/>
      </w:pPr>
      <w:r>
        <w:rPr/>
        <w:t>2. 2015年11月，公司与廖珮怡签订了《房屋租赁合同》，约定将廖珮怡位于深圳市福田区车公庙天安数码城天祥大厦 </w:t>
      </w:r>
      <w:r>
        <w:rPr>
          <w:spacing w:val="-2"/>
        </w:rPr>
        <w:t>AB座5B2的房产出租给公司办公，租赁面积为588.82平方米，月租金为91,267.00元，租赁期自2015年12月11日起至2016年12</w:t>
      </w:r>
      <w:r>
        <w:rPr>
          <w:spacing w:val="-32"/>
        </w:rPr>
        <w:t> </w:t>
      </w:r>
      <w:r>
        <w:rPr>
          <w:spacing w:val="-32"/>
        </w:rPr>
      </w:r>
      <w:r>
        <w:rPr/>
        <w:t>月10日止。该房屋租赁合同已经深圳市福田区房屋租赁管理局备案，合同登记备案号为“福EK056263”。</w:t>
      </w:r>
    </w:p>
    <w:p>
      <w:pPr>
        <w:pStyle w:val="BodyText"/>
        <w:spacing w:line="477" w:lineRule="auto" w:before="54"/>
        <w:ind w:right="191" w:firstLine="360"/>
        <w:jc w:val="left"/>
      </w:pPr>
      <w:r>
        <w:rPr/>
        <w:t>3.2014年1月，公司与冯苏军、杨春葵签订了《房屋租赁合同》，约定将冯苏军、杨春葵位于深圳市福田区车公庙天安 数码城天祥大厦AB座10A-1、10A-2的房产出租给公司办公，租赁面积分别为400平方米、812.48平方米，月租金分别为 </w:t>
      </w:r>
      <w:r>
        <w:rPr>
          <w:spacing w:val="-2"/>
        </w:rPr>
        <w:t>53,200.00元、108,059.84元，租赁期均自2014年2月1日至2015年1月31日止。该房屋租赁合同已经深圳市福田区房屋租赁管</w:t>
      </w:r>
      <w:r>
        <w:rPr>
          <w:spacing w:val="-34"/>
        </w:rPr>
        <w:t> </w:t>
      </w:r>
      <w:r>
        <w:rPr>
          <w:spacing w:val="-34"/>
        </w:rPr>
      </w:r>
      <w:r>
        <w:rPr/>
        <w:t>理局备案，合同登记备案号分别为“福EKO51138”、“福EK051139”。</w:t>
      </w:r>
    </w:p>
    <w:p>
      <w:pPr>
        <w:pStyle w:val="BodyText"/>
        <w:spacing w:line="477" w:lineRule="auto" w:before="54"/>
        <w:ind w:right="191" w:firstLine="360"/>
        <w:jc w:val="left"/>
      </w:pPr>
      <w:r>
        <w:rPr/>
        <w:t>4.2015年2月，公司与冯苏军、杨春葵签订了《房屋租赁合同》，约定将冯苏军、杨春葵位于深圳市福田区车公庙天安 数码城天祥大厦AB座10A-1、10A-2的房产出租给公司办公，租赁面积分别为400平方米、812.48平方米，月租金分别为 </w:t>
      </w:r>
      <w:r>
        <w:rPr>
          <w:spacing w:val="-2"/>
        </w:rPr>
        <w:t>55,860.00元、113,462.83元，租赁期均自2015年2月1日至2016年1月31日止。该房屋租赁合同已经深圳市福田区房屋租赁管</w:t>
      </w:r>
      <w:r>
        <w:rPr>
          <w:spacing w:val="-34"/>
        </w:rPr>
        <w:t> </w:t>
      </w:r>
      <w:r>
        <w:rPr>
          <w:spacing w:val="-34"/>
        </w:rPr>
      </w:r>
      <w:r>
        <w:rPr/>
        <w:t>理局备案，合同登记备案号分别为“福EKO53776”、“福EKO53777”。</w:t>
      </w:r>
    </w:p>
    <w:p>
      <w:pPr>
        <w:pStyle w:val="BodyText"/>
        <w:spacing w:line="477" w:lineRule="auto" w:before="54"/>
        <w:ind w:left="153" w:right="101" w:firstLine="360"/>
        <w:jc w:val="left"/>
      </w:pPr>
      <w:r>
        <w:rPr>
          <w:spacing w:val="-4"/>
        </w:rPr>
        <w:t>5.2016年1月，公司与冯苏军、杨春葵签订了《房屋租赁合同》，约定将冯苏军、杨春葵位于深圳市福田区车公庙天安数</w:t>
      </w:r>
      <w:r>
        <w:rPr/>
        <w:t> </w:t>
      </w:r>
      <w:r>
        <w:rPr>
          <w:spacing w:val="-4"/>
        </w:rPr>
        <w:t>码城天祥大厦AB座10A-1、10A-2的房产出租给公司办公，租赁面积分别为400平方米、812.48平方米，月租金分别为58,652.00</w:t>
      </w:r>
      <w:r>
        <w:rPr>
          <w:spacing w:val="-73"/>
        </w:rPr>
        <w:t> </w:t>
      </w:r>
      <w:r>
        <w:rPr>
          <w:spacing w:val="-73"/>
        </w:rPr>
      </w:r>
      <w:r>
        <w:rPr>
          <w:spacing w:val="-2"/>
        </w:rPr>
        <w:t>元、119,133.94元，租赁期均自2016年2月1日至2017年1月31日止。该房屋租赁合同已经深圳市福田区房屋租赁管理局备案，</w:t>
      </w:r>
      <w:r>
        <w:rPr>
          <w:spacing w:val="-42"/>
        </w:rPr>
        <w:t> </w:t>
      </w:r>
      <w:r>
        <w:rPr>
          <w:spacing w:val="-42"/>
        </w:rPr>
      </w:r>
      <w:r>
        <w:rPr/>
        <w:t>合同登记备案号分别为“深房租福田2016001677”、“深房租福田2016001678”。</w:t>
      </w:r>
    </w:p>
    <w:p>
      <w:pPr>
        <w:pStyle w:val="BodyText"/>
        <w:spacing w:line="477" w:lineRule="auto" w:before="54"/>
        <w:ind w:left="153" w:right="190" w:firstLine="360"/>
        <w:jc w:val="both"/>
      </w:pPr>
      <w:r>
        <w:rPr/>
        <w:t>6. 2014年10月，公司与咏传电子科技（上海）有限公司深圳分公司签订了《房屋租赁合同》，约定将公司位于深圳市 </w:t>
      </w:r>
      <w:r>
        <w:rPr>
          <w:spacing w:val="-2"/>
        </w:rPr>
        <w:t>福田区深南中路与广深高速公路交界东南金运世纪大厦10A—10L号共12套房产出租给咏传电子科技（上海）有限公司深圳分</w:t>
      </w:r>
      <w:r>
        <w:rPr>
          <w:spacing w:val="-56"/>
        </w:rPr>
        <w:t> </w:t>
      </w:r>
      <w:r>
        <w:rPr>
          <w:spacing w:val="-56"/>
        </w:rPr>
      </w:r>
      <w:r>
        <w:rPr/>
        <w:t>公司，租赁面积为1,853.96平方米，月租金为385,623.68元，租赁期自2014年11月1日起至2015年10月31日止。该房屋租赁 合同已经深圳市福田区房屋租赁管理局备案，合同登记备案号为“福EK053098”。</w:t>
      </w:r>
    </w:p>
    <w:p>
      <w:pPr>
        <w:pStyle w:val="BodyText"/>
        <w:spacing w:line="477" w:lineRule="auto" w:before="54"/>
        <w:ind w:left="153" w:right="191" w:firstLine="360"/>
        <w:jc w:val="both"/>
      </w:pPr>
      <w:r>
        <w:rPr>
          <w:spacing w:val="-2"/>
        </w:rPr>
        <w:t>7.2015年12月，公司与郭芳签订了《房屋租赁合同》，约定将公司位于深圳市福田区深南中路与广深高速公路交界东南</w:t>
      </w:r>
      <w:r>
        <w:rPr/>
        <w:t> 金运世纪大厦10A-10L的房产出租给郭芳办公，租赁面积共计1,853.96平方米，月租金为361,522.20元，并约定第一、二年 </w:t>
      </w:r>
      <w:r>
        <w:rPr>
          <w:spacing w:val="-2"/>
        </w:rPr>
        <w:t>月租金为361,522.20元，第三年月租金为380,061.80元，第四年月租金为398,601.40元，第五年月租金为418,068.00元，租</w:t>
      </w:r>
      <w:r>
        <w:rPr>
          <w:spacing w:val="-26"/>
        </w:rPr>
        <w:t> </w:t>
      </w:r>
      <w:r>
        <w:rPr>
          <w:spacing w:val="-26"/>
        </w:rPr>
      </w:r>
      <w:r>
        <w:rPr>
          <w:spacing w:val="-2"/>
        </w:rPr>
        <w:t>赁期自2015年12月25日起至2020年12月24日止。该房屋租赁合同已经深圳市福田区房屋租赁管理局备案，合同登记备案号为</w:t>
      </w:r>
      <w:r>
        <w:rPr>
          <w:spacing w:val="-48"/>
        </w:rPr>
        <w:t> </w:t>
      </w:r>
      <w:r>
        <w:rPr>
          <w:spacing w:val="-48"/>
        </w:rPr>
      </w:r>
      <w:r>
        <w:rPr/>
        <w:t>“福EK056566”。</w:t>
      </w:r>
    </w:p>
    <w:p>
      <w:pPr>
        <w:pStyle w:val="BodyText"/>
        <w:spacing w:line="477" w:lineRule="auto" w:before="54"/>
        <w:ind w:left="153" w:right="190" w:firstLine="360"/>
        <w:jc w:val="both"/>
      </w:pPr>
      <w:r>
        <w:rPr>
          <w:spacing w:val="-5"/>
        </w:rPr>
        <w:t>8.2015年6月，公司与黄启亮签订了《房屋租赁合同》，约定将黄启亮位于深圳市福田区车公庙天安创新科技广场B栋1011</w:t>
      </w:r>
      <w:r>
        <w:rPr/>
        <w:t> </w:t>
      </w:r>
      <w:r>
        <w:rPr>
          <w:spacing w:val="-2"/>
        </w:rPr>
        <w:t>的房产出租给公司，租赁面积为549.99平方米，月租金为87,998.00元，租赁期自2015年6月26日至2015年12月25日止。该房</w:t>
      </w:r>
      <w:r>
        <w:rPr>
          <w:spacing w:val="-36"/>
        </w:rPr>
        <w:t> </w:t>
      </w:r>
      <w:r>
        <w:rPr>
          <w:spacing w:val="-36"/>
        </w:rPr>
      </w:r>
      <w:r>
        <w:rPr/>
        <w:t>屋租赁合同已经深圳市福田区房屋租赁管理办公室备案，合同登记备案号“福EKO54839”。</w:t>
      </w:r>
    </w:p>
    <w:p>
      <w:pPr>
        <w:pStyle w:val="BodyText"/>
        <w:spacing w:line="477" w:lineRule="auto" w:before="54"/>
        <w:ind w:left="153" w:right="90" w:firstLine="360"/>
        <w:jc w:val="left"/>
      </w:pPr>
      <w:r>
        <w:rPr>
          <w:spacing w:val="-2"/>
        </w:rPr>
        <w:t>9.2015年11月，公司与深圳市鼎丰盛业供应链管理有限公司签订了《房屋租赁合同》，约定将深圳市鼎丰盛业供应链管</w:t>
      </w:r>
      <w:r>
        <w:rPr/>
        <w:t> 理有限公司位于深圳市福田区车公庙天安创新科技广场B栋1011的房产出租给公司，租赁面积为549.99平方米，月租金为 </w:t>
      </w:r>
      <w:r>
        <w:rPr>
          <w:spacing w:val="-2"/>
        </w:rPr>
        <w:t>87,998.00元，租赁期自2015年12月26日起至2016年6月25日止。该房屋租赁合同已经深圳市福田区房屋租赁管理局备案，合</w:t>
      </w:r>
    </w:p>
    <w:p>
      <w:pPr>
        <w:spacing w:after="0" w:line="477" w:lineRule="auto"/>
        <w:jc w:val="left"/>
        <w:sectPr>
          <w:footerReference w:type="default" r:id="rId18"/>
          <w:pgSz w:w="11910" w:h="16840"/>
          <w:pgMar w:footer="982" w:header="877" w:top="1100" w:bottom="1180" w:left="980" w:right="940"/>
          <w:pgNumType w:start="52"/>
        </w:sectPr>
      </w:pPr>
    </w:p>
    <w:p>
      <w:pPr>
        <w:spacing w:line="240" w:lineRule="auto" w:before="11"/>
        <w:rPr>
          <w:rFonts w:ascii="宋体" w:hAnsi="宋体" w:cs="宋体" w:eastAsia="宋体" w:hint="default"/>
          <w:sz w:val="27"/>
          <w:szCs w:val="27"/>
        </w:rPr>
      </w:pPr>
    </w:p>
    <w:p>
      <w:pPr>
        <w:pStyle w:val="BodyText"/>
        <w:spacing w:line="477" w:lineRule="auto" w:before="44"/>
        <w:ind w:right="0"/>
        <w:jc w:val="left"/>
      </w:pPr>
      <w:r>
        <w:rPr>
          <w:spacing w:val="-3"/>
        </w:rPr>
        <w:t>同登记备案号为“福EKO56057”。上述《房屋租赁合同》已于2016年3月办理了变更手续，租赁期自2015年12月26日起至2016</w:t>
      </w:r>
      <w:r>
        <w:rPr>
          <w:spacing w:val="-63"/>
        </w:rPr>
        <w:t> </w:t>
      </w:r>
      <w:r>
        <w:rPr>
          <w:spacing w:val="-63"/>
        </w:rPr>
      </w:r>
      <w:r>
        <w:rPr/>
        <w:t>年3月25日止。</w:t>
      </w:r>
    </w:p>
    <w:p>
      <w:pPr>
        <w:pStyle w:val="BodyText"/>
        <w:spacing w:line="477" w:lineRule="auto" w:before="54"/>
        <w:ind w:right="140" w:firstLine="360"/>
        <w:jc w:val="left"/>
      </w:pPr>
      <w:r>
        <w:rPr/>
        <w:t>10. 2012年8月，公司全资子公司银之杰金融设备与深圳市大浪颐丰华股份合作公司签订了《房屋租赁合同》，约定将 深圳市大浪颐丰华股份合作公司位于深圳市宝安区大浪街道大浪社区华宁路华联工业区2号2楼的房产出租给银之杰金融设 </w:t>
      </w:r>
      <w:r>
        <w:rPr>
          <w:spacing w:val="-2"/>
        </w:rPr>
        <w:t>备办公，租赁面积为1,800平方米，月租金为18,000.00元，租赁期自2012年6月19日至2015年5月19日止。该房屋租赁合同已</w:t>
      </w:r>
      <w:r>
        <w:rPr>
          <w:spacing w:val="-38"/>
        </w:rPr>
        <w:t> </w:t>
      </w:r>
      <w:r>
        <w:rPr>
          <w:spacing w:val="-38"/>
        </w:rPr>
      </w:r>
      <w:r>
        <w:rPr/>
        <w:t>经深圳市宝安区房屋租赁管理办公室备案，合同登记备案号“宝LA014209（备）”。</w:t>
      </w:r>
    </w:p>
    <w:p>
      <w:pPr>
        <w:pStyle w:val="BodyText"/>
        <w:spacing w:line="477" w:lineRule="auto" w:before="54"/>
        <w:ind w:right="149" w:firstLine="360"/>
        <w:jc w:val="both"/>
      </w:pPr>
      <w:r>
        <w:rPr>
          <w:spacing w:val="-2"/>
        </w:rPr>
        <w:t>11.2015年8月，公司全资子公司银之杰金融设备与深圳市百利源投资发展有限公司签订了《房屋租赁合同》，约定将深</w:t>
      </w:r>
      <w:r>
        <w:rPr/>
        <w:t> 圳市百利源投资发展有限公司位于深圳市宝安区大浪街道华荣路边龙泉科技工业园1#厂房5楼整层的房产出租给银之杰金融 设备办公，租赁面积为3,310平方米，月租金为95,000.00元，并约定第三年起，每年递增房租费每月每平方米10%元。租赁 期自2015年8月4日至2020年8月3日，约定厂房装修期为2015年8月4日至2015年8月25日，正式起租时间为2015年8月26日。</w:t>
      </w:r>
    </w:p>
    <w:p>
      <w:pPr>
        <w:pStyle w:val="BodyText"/>
        <w:spacing w:line="477" w:lineRule="auto" w:before="54"/>
        <w:ind w:right="158" w:firstLine="360"/>
        <w:jc w:val="both"/>
      </w:pPr>
      <w:r>
        <w:rPr/>
        <w:t>12.2013年11月，公司全资子公司亿美软通与君天首业商贸有限公司签订了《房屋租赁合同》，约定将位于北京市朝阳 区通惠河畔文化创意产业园1131号君天大厦六层出租给亿美软通，租赁面积为3,005平方米，月租金为457,010.00元，租赁 期自2014年3月16日起至2017年3月15日止。2014年6月，公司全资子公司亿美软通与君天首业商贸有限公司在原有的《房屋 租赁合同》的基础上签订了《合同变更协议》，租赁面积变更为2,287平方米，月租金变更为347,815.00元，租赁期未发生 变化，协议自2014年6月16日起执行。</w:t>
      </w:r>
    </w:p>
    <w:p>
      <w:pPr>
        <w:pStyle w:val="BodyText"/>
        <w:spacing w:line="477" w:lineRule="auto" w:before="54"/>
        <w:ind w:left="153" w:right="149" w:firstLine="360"/>
        <w:jc w:val="both"/>
      </w:pPr>
      <w:r>
        <w:rPr>
          <w:spacing w:val="-2"/>
        </w:rPr>
        <w:t>13.2015年7月，公司控股子公司科安数字与深圳市展艺工艺品贸易有限公司签订了《房屋租赁合同》，约定将深圳展艺</w:t>
      </w:r>
      <w:r>
        <w:rPr/>
        <w:t> </w:t>
      </w:r>
      <w:r>
        <w:rPr>
          <w:spacing w:val="-2"/>
        </w:rPr>
        <w:t>工艺品贸易有限公司位于深圳市龙华新区龙华办事处清华路西南侧胜立工业园C栋2层的房产出租给科安数字使用，租赁面积</w:t>
      </w:r>
      <w:r>
        <w:rPr>
          <w:spacing w:val="-62"/>
        </w:rPr>
        <w:t> </w:t>
      </w:r>
      <w:r>
        <w:rPr>
          <w:spacing w:val="-62"/>
        </w:rPr>
      </w:r>
      <w:r>
        <w:rPr/>
        <w:t>为893.7平方米，月租金为17,874.00元，租赁期自2015年8月1日至2018年7月31日止。该房屋租赁合同已经深圳市宝安区房 屋租赁管理局备案，合同登记备案号为“龙华HG000005”。</w:t>
      </w:r>
    </w:p>
    <w:p>
      <w:pPr>
        <w:pStyle w:val="BodyText"/>
        <w:spacing w:line="477" w:lineRule="auto" w:before="54"/>
        <w:ind w:right="149" w:firstLine="360"/>
        <w:jc w:val="both"/>
      </w:pPr>
      <w:r>
        <w:rPr>
          <w:spacing w:val="-2"/>
        </w:rPr>
        <w:t>14.2015年7月，公司控股子公司科安数字与邹金山签订了《房屋租赁合同》，约定将邹金山位于深圳市龙岗区坂田街道</w:t>
      </w:r>
      <w:r>
        <w:rPr/>
        <w:t> 马安堂社区中兴路105号儒骏大厦401-3的房产出租给科安数字办公，租赁面积为955.53平方米，月租金为47,777.00元，并 约定2016年7月1日起，月租金为51,599.00元，租赁期自2015年10月1日至2017年1月31日止。该房屋租赁合同已经深圳市龙 岗区房屋租赁管理局备案，合同登记备案号为“龙LH000472”。</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240" w:lineRule="auto"/>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4" w:right="707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公司报告期不存在担保情况。</w:t>
      </w:r>
    </w:p>
    <w:p>
      <w:pPr>
        <w:spacing w:after="0" w:line="412"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707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公司报告期不存在委托理财。</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4" w:right="707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公司报告期不存在委托贷款。</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67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十七、其他重大事项的说明</w:t>
      </w:r>
      <w:r>
        <w:rPr>
          <w:b w:val="0"/>
          <w:bCs w:val="0"/>
        </w:rPr>
      </w:r>
    </w:p>
    <w:p>
      <w:pPr>
        <w:spacing w:line="240" w:lineRule="auto" w:before="7"/>
        <w:rPr>
          <w:rFonts w:ascii="宋体" w:hAnsi="宋体" w:cs="宋体" w:eastAsia="宋体" w:hint="default"/>
          <w:b/>
          <w:bCs/>
          <w:sz w:val="26"/>
          <w:szCs w:val="26"/>
        </w:rPr>
      </w:pPr>
    </w:p>
    <w:p>
      <w:pPr>
        <w:spacing w:line="412" w:lineRule="auto" w:before="0"/>
        <w:ind w:left="515" w:right="6337"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公司参与发起设立财产保险公司的情况</w:t>
      </w:r>
      <w:r>
        <w:rPr>
          <w:rFonts w:ascii="宋体" w:hAnsi="宋体" w:cs="宋体" w:eastAsia="宋体" w:hint="default"/>
          <w:sz w:val="18"/>
          <w:szCs w:val="18"/>
        </w:rPr>
      </w:r>
    </w:p>
    <w:p>
      <w:pPr>
        <w:pStyle w:val="BodyText"/>
        <w:spacing w:line="477" w:lineRule="auto" w:before="103"/>
        <w:ind w:left="153" w:right="151" w:firstLine="360"/>
        <w:jc w:val="both"/>
      </w:pPr>
      <w:r>
        <w:rPr>
          <w:spacing w:val="-2"/>
        </w:rPr>
        <w:t>公司于2014年8月8日第三届董事会第四次会议审议通过了《关于参与发起设立财产保险公司的议案》，计划以自有资金</w:t>
      </w:r>
      <w:r>
        <w:rPr/>
        <w:t> </w:t>
      </w:r>
      <w:r>
        <w:rPr>
          <w:spacing w:val="-2"/>
        </w:rPr>
        <w:t>1.5亿元参与发起设立易安财产保险股份有限公司。2015年6月24日，公司收到中国保监会《关于筹建易安财产保险股份有限</w:t>
      </w:r>
      <w:r>
        <w:rPr>
          <w:spacing w:val="-56"/>
        </w:rPr>
        <w:t> </w:t>
      </w:r>
      <w:r>
        <w:rPr>
          <w:spacing w:val="-56"/>
        </w:rPr>
      </w:r>
      <w:r>
        <w:rPr>
          <w:spacing w:val="-3"/>
        </w:rPr>
        <w:t>公司的批复》（保监许可[2015]626号）。为提升超募资金使用效率，公司分别于2015年8月21日和9月10日召开了第三届董事</w:t>
      </w:r>
      <w:r>
        <w:rPr>
          <w:spacing w:val="-78"/>
        </w:rPr>
        <w:t> </w:t>
      </w:r>
      <w:r>
        <w:rPr>
          <w:spacing w:val="-78"/>
        </w:rPr>
      </w:r>
      <w:r>
        <w:rPr/>
        <w:t>会第十四次会议和2015年第三次临时股东大会，审议通过公司使用超募资金及募集资金利息合计1.5亿元投资发起设立易安 保险。</w:t>
      </w:r>
    </w:p>
    <w:p>
      <w:pPr>
        <w:pStyle w:val="BodyText"/>
        <w:spacing w:line="240" w:lineRule="auto" w:before="54"/>
        <w:ind w:left="513" w:right="0"/>
        <w:jc w:val="left"/>
      </w:pPr>
      <w:r>
        <w:rPr/>
        <w:t>易安保险筹备组自收到批准筹建通知之日起积极依照有关法律法规组织筹建</w:t>
      </w:r>
      <w:r>
        <w:rPr>
          <w:spacing w:val="-82"/>
        </w:rPr>
        <w:t>，</w:t>
      </w:r>
      <w:r>
        <w:rPr/>
        <w:t>筹建工作完成后及时向中国保监会上报了</w:t>
      </w:r>
    </w:p>
    <w:p>
      <w:pPr>
        <w:spacing w:line="240" w:lineRule="auto" w:before="10"/>
        <w:rPr>
          <w:rFonts w:ascii="宋体" w:hAnsi="宋体" w:cs="宋体" w:eastAsia="宋体" w:hint="default"/>
          <w:sz w:val="17"/>
          <w:szCs w:val="17"/>
        </w:rPr>
      </w:pPr>
    </w:p>
    <w:p>
      <w:pPr>
        <w:pStyle w:val="BodyText"/>
        <w:spacing w:line="477" w:lineRule="auto"/>
        <w:ind w:left="153" w:right="158"/>
        <w:jc w:val="both"/>
      </w:pPr>
      <w:r>
        <w:rPr>
          <w:spacing w:val="-2"/>
        </w:rPr>
        <w:t>《关于易安财产保险股份有限公司申请开业的请示》，并接受了中国保监会组织的相关验收。2016年2月6日，易安保险筹备</w:t>
      </w:r>
      <w:r>
        <w:rPr>
          <w:spacing w:val="-66"/>
        </w:rPr>
        <w:t> </w:t>
      </w:r>
      <w:r>
        <w:rPr>
          <w:spacing w:val="-66"/>
        </w:rPr>
      </w:r>
      <w:r>
        <w:rPr>
          <w:spacing w:val="-3"/>
        </w:rPr>
        <w:t>组收到中国保监会《关于易安财产保险股份有限公司开业的批复》（保监许可[2016]81号），并于2月16日取得营业执照。目</w:t>
      </w:r>
      <w:r>
        <w:rPr/>
        <w:t> 前，易安保险已按照设立规划和中国保监会的批复意见，以互联网保险为特色开展业务经营。</w:t>
      </w:r>
    </w:p>
    <w:p>
      <w:pPr>
        <w:spacing w:line="240" w:lineRule="auto" w:before="1"/>
        <w:rPr>
          <w:rFonts w:ascii="宋体" w:hAnsi="宋体" w:cs="宋体" w:eastAsia="宋体" w:hint="default"/>
          <w:sz w:val="16"/>
          <w:szCs w:val="16"/>
        </w:rPr>
      </w:pPr>
    </w:p>
    <w:p>
      <w:pPr>
        <w:spacing w:line="477" w:lineRule="auto" w:before="0"/>
        <w:ind w:left="514" w:right="230" w:firstLine="1"/>
        <w:jc w:val="left"/>
        <w:rPr>
          <w:rFonts w:ascii="宋体" w:hAnsi="宋体" w:cs="宋体" w:eastAsia="宋体" w:hint="default"/>
          <w:sz w:val="18"/>
          <w:szCs w:val="18"/>
        </w:rPr>
      </w:pPr>
      <w:r>
        <w:rPr>
          <w:rFonts w:ascii="宋体" w:hAnsi="宋体" w:cs="宋体" w:eastAsia="宋体" w:hint="default"/>
          <w:b/>
          <w:bCs/>
          <w:sz w:val="18"/>
          <w:szCs w:val="18"/>
        </w:rPr>
        <w:t>非公开发行股票募集资金的有关事项</w:t>
      </w:r>
      <w:r>
        <w:rPr>
          <w:rFonts w:ascii="宋体" w:hAnsi="宋体" w:cs="宋体" w:eastAsia="宋体" w:hint="default"/>
          <w:b/>
          <w:bCs/>
          <w:w w:val="99"/>
          <w:sz w:val="18"/>
          <w:szCs w:val="18"/>
        </w:rPr>
        <w:t> </w:t>
      </w:r>
      <w:r>
        <w:rPr>
          <w:rFonts w:ascii="宋体" w:hAnsi="宋体" w:cs="宋体" w:eastAsia="宋体" w:hint="default"/>
          <w:sz w:val="18"/>
          <w:szCs w:val="18"/>
        </w:rPr>
        <w:t>公司于2015年10月30日和11月16日分别召开了第三届董事会第十七次会议和2015年第四次临时股东大会，审议通过了</w:t>
      </w:r>
    </w:p>
    <w:p>
      <w:pPr>
        <w:pStyle w:val="BodyText"/>
        <w:spacing w:line="477" w:lineRule="auto" w:before="54"/>
        <w:ind w:right="151"/>
        <w:jc w:val="both"/>
      </w:pPr>
      <w:r>
        <w:rPr/>
        <w:t>《公司非公开发行股票预案》等相关议案，拟募集资金总额不超过82,970.88万元，本次非公开发行股票募集资金扣除发行 </w:t>
      </w:r>
      <w:r>
        <w:rPr>
          <w:spacing w:val="-3"/>
        </w:rPr>
        <w:t>费用后将全部用于“互联网金融大数据服务平台（一期）”项目。公司于2015年12月1日向中国证监会提交了创业板非公开发</w:t>
      </w:r>
      <w:r>
        <w:rPr/>
        <w:t> </w:t>
      </w:r>
      <w:r>
        <w:rPr>
          <w:spacing w:val="-7"/>
        </w:rPr>
        <w:t>行A股股票申请材料，并于2015年12月8日收到中国证监会出具的《中国证监会行政许可申请受理通知书》（153436号），于2016</w:t>
      </w:r>
    </w:p>
    <w:p>
      <w:pPr>
        <w:spacing w:after="0" w:line="477"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77" w:lineRule="auto" w:before="44"/>
        <w:ind w:right="0"/>
        <w:jc w:val="left"/>
      </w:pPr>
      <w:r>
        <w:rPr>
          <w:spacing w:val="-4"/>
        </w:rPr>
        <w:t>年1月14日收到中国证监会出具的《中国证监会行政许可项目审查反馈意见通知书》（153436号）。目前，公司已向中国证监</w:t>
      </w:r>
      <w:r>
        <w:rPr>
          <w:spacing w:val="-34"/>
        </w:rPr>
        <w:t> </w:t>
      </w:r>
      <w:r>
        <w:rPr>
          <w:spacing w:val="-34"/>
        </w:rPr>
      </w:r>
      <w:r>
        <w:rPr/>
        <w:t>会提交了非公开发行股票申请文件反馈意见的回复等有关材料，非公开发行股票事宜尚需中国证监会核准。</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十八、公司子公司重大事项</w:t>
      </w:r>
      <w:r>
        <w:rPr>
          <w:b w:val="0"/>
          <w:bCs w:val="0"/>
        </w:rPr>
      </w:r>
    </w:p>
    <w:p>
      <w:pPr>
        <w:spacing w:line="240" w:lineRule="auto" w:before="7"/>
        <w:rPr>
          <w:rFonts w:ascii="宋体" w:hAnsi="宋体" w:cs="宋体" w:eastAsia="宋体" w:hint="default"/>
          <w:b/>
          <w:bCs/>
          <w:sz w:val="26"/>
          <w:szCs w:val="26"/>
        </w:rPr>
      </w:pPr>
    </w:p>
    <w:p>
      <w:pPr>
        <w:spacing w:line="412" w:lineRule="auto" w:before="0"/>
        <w:ind w:left="515" w:right="5614"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华道征信开展个人征信业务准备工作的有关情况</w:t>
      </w:r>
      <w:r>
        <w:rPr>
          <w:rFonts w:ascii="宋体" w:hAnsi="宋体" w:cs="宋体" w:eastAsia="宋体" w:hint="default"/>
          <w:sz w:val="18"/>
          <w:szCs w:val="18"/>
        </w:rPr>
      </w:r>
    </w:p>
    <w:p>
      <w:pPr>
        <w:pStyle w:val="BodyText"/>
        <w:spacing w:line="477" w:lineRule="auto" w:before="103"/>
        <w:ind w:left="153" w:right="148" w:firstLine="360"/>
        <w:jc w:val="both"/>
      </w:pPr>
      <w:r>
        <w:rPr>
          <w:spacing w:val="-2"/>
        </w:rPr>
        <w:t>2015年1月5日，中国人民银行网站发布了“人民银行印发《关于做好个人征信业务准备工作的通知》”的消息，华道征</w:t>
      </w:r>
      <w:r>
        <w:rPr/>
        <w:t> 信被中国人民银行列入8家“开展个人征信业务准备工作的机构名单”。目前，华道征信正积极进行个人征信业务的准备工 作，并接受中国人民银行有关部门的督导。</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ind w:left="513" w:right="1131" w:hanging="360"/>
        <w:jc w:val="left"/>
      </w:pPr>
      <w:r>
        <w:rPr/>
        <w:t>公司是否存在公开发行并在证券交易所上市，且在年度报告批准报出日未到期或到期未能全额兑付的公司债券 否</w:t>
      </w:r>
    </w:p>
    <w:p>
      <w:pPr>
        <w:spacing w:after="0" w:line="436"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7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7"/>
        <w:gridCol w:w="1034"/>
        <w:gridCol w:w="850"/>
        <w:gridCol w:w="566"/>
        <w:gridCol w:w="568"/>
        <w:gridCol w:w="992"/>
        <w:gridCol w:w="851"/>
        <w:gridCol w:w="991"/>
        <w:gridCol w:w="992"/>
        <w:gridCol w:w="709"/>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8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6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138,129,195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138,129,195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136,625,707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274,754,902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138,129,195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138,129,195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136,625,707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274,754,902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7,027,406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7,027,406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7,027,406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14,054,812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131,101,789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131,101,789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129,598,301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260,700,090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49.58%</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124,593,024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124,593,024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1,863,488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126,456,512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251,049,536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124,593,024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124,593,024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1,863,488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126,456,512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251,049,536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262,722,219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262,722,219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263,082,219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525,804,438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13"/>
          <w:szCs w:val="13"/>
        </w:rPr>
      </w:pPr>
    </w:p>
    <w:p>
      <w:pPr>
        <w:pStyle w:val="BodyText"/>
        <w:spacing w:line="240" w:lineRule="auto"/>
        <w:ind w:left="514" w:right="0"/>
        <w:jc w:val="left"/>
      </w:pPr>
      <w:r>
        <w:rPr/>
        <w:t>1、2015</w:t>
      </w:r>
      <w:r>
        <w:rPr>
          <w:spacing w:val="-52"/>
        </w:rPr>
        <w:t> </w:t>
      </w:r>
      <w:r>
        <w:rPr/>
        <w:t>年</w:t>
      </w:r>
      <w:r>
        <w:rPr>
          <w:spacing w:val="-52"/>
        </w:rPr>
        <w:t> </w:t>
      </w:r>
      <w:r>
        <w:rPr/>
        <w:t>1</w:t>
      </w:r>
      <w:r>
        <w:rPr>
          <w:spacing w:val="-51"/>
        </w:rPr>
        <w:t> </w:t>
      </w:r>
      <w:r>
        <w:rPr/>
        <w:t>月</w:t>
      </w:r>
      <w:r>
        <w:rPr>
          <w:spacing w:val="-52"/>
        </w:rPr>
        <w:t> </w:t>
      </w:r>
      <w:r>
        <w:rPr/>
        <w:t>5</w:t>
      </w:r>
      <w:r>
        <w:rPr>
          <w:spacing w:val="-52"/>
        </w:rPr>
        <w:t> </w:t>
      </w:r>
      <w:r>
        <w:rPr/>
        <w:t>日，依照《深圳证券交易所创业板上市公司规范运作指引》的相关规定，解除高管锁定股</w:t>
      </w:r>
      <w:r>
        <w:rPr>
          <w:spacing w:val="-52"/>
        </w:rPr>
        <w:t> </w:t>
      </w:r>
      <w:r>
        <w:rPr/>
        <w:t>76,119</w:t>
      </w:r>
      <w:r>
        <w:rPr>
          <w:spacing w:val="-52"/>
        </w:rPr>
        <w:t> </w:t>
      </w:r>
      <w:r>
        <w:rPr/>
        <w:t>股。</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2、2015</w:t>
      </w:r>
      <w:r>
        <w:rPr>
          <w:spacing w:val="-50"/>
        </w:rPr>
        <w:t> </w:t>
      </w:r>
      <w:r>
        <w:rPr/>
        <w:t>年</w:t>
      </w:r>
      <w:r>
        <w:rPr>
          <w:spacing w:val="-50"/>
        </w:rPr>
        <w:t> </w:t>
      </w:r>
      <w:r>
        <w:rPr/>
        <w:t>5</w:t>
      </w:r>
      <w:r>
        <w:rPr>
          <w:spacing w:val="-49"/>
        </w:rPr>
        <w:t> </w:t>
      </w:r>
      <w:r>
        <w:rPr/>
        <w:t>月</w:t>
      </w:r>
      <w:r>
        <w:rPr>
          <w:spacing w:val="-50"/>
        </w:rPr>
        <w:t> </w:t>
      </w:r>
      <w:r>
        <w:rPr/>
        <w:t>12</w:t>
      </w:r>
      <w:r>
        <w:rPr>
          <w:spacing w:val="-50"/>
        </w:rPr>
        <w:t> </w:t>
      </w:r>
      <w:r>
        <w:rPr/>
        <w:t>日，公司实施了</w:t>
      </w:r>
      <w:r>
        <w:rPr>
          <w:spacing w:val="-50"/>
        </w:rPr>
        <w:t> </w:t>
      </w:r>
      <w:r>
        <w:rPr/>
        <w:t>2014</w:t>
      </w:r>
      <w:r>
        <w:rPr>
          <w:spacing w:val="-50"/>
        </w:rPr>
        <w:t> </w:t>
      </w:r>
      <w:r>
        <w:rPr/>
        <w:t>年度利润分配和资本公积金转增股本方案，以公司总股本</w:t>
      </w:r>
      <w:r>
        <w:rPr>
          <w:spacing w:val="-50"/>
        </w:rPr>
        <w:t> </w:t>
      </w:r>
      <w:r>
        <w:rPr/>
        <w:t>262,722,219</w:t>
      </w:r>
      <w:r>
        <w:rPr>
          <w:spacing w:val="-50"/>
        </w:rPr>
        <w:t> </w:t>
      </w:r>
      <w:r>
        <w:rPr/>
        <w:t>股为基</w:t>
      </w:r>
    </w:p>
    <w:p>
      <w:pPr>
        <w:spacing w:line="240" w:lineRule="auto" w:before="10"/>
        <w:rPr>
          <w:rFonts w:ascii="宋体" w:hAnsi="宋体" w:cs="宋体" w:eastAsia="宋体" w:hint="default"/>
          <w:sz w:val="17"/>
          <w:szCs w:val="17"/>
        </w:rPr>
      </w:pPr>
    </w:p>
    <w:p>
      <w:pPr>
        <w:pStyle w:val="BodyText"/>
        <w:spacing w:line="240" w:lineRule="auto"/>
        <w:ind w:right="0"/>
        <w:jc w:val="left"/>
      </w:pPr>
      <w:r>
        <w:rPr>
          <w:spacing w:val="-8"/>
        </w:rPr>
        <w:t>数，向全体股东每</w:t>
      </w:r>
      <w:r>
        <w:rPr>
          <w:spacing w:val="-44"/>
        </w:rPr>
        <w:t> </w:t>
      </w:r>
      <w:r>
        <w:rPr/>
        <w:t>10</w:t>
      </w:r>
      <w:r>
        <w:rPr>
          <w:spacing w:val="-44"/>
        </w:rPr>
        <w:t> </w:t>
      </w:r>
      <w:r>
        <w:rPr/>
        <w:t>股派发现金红利</w:t>
      </w:r>
      <w:r>
        <w:rPr>
          <w:spacing w:val="-44"/>
        </w:rPr>
        <w:t> </w:t>
      </w:r>
      <w:r>
        <w:rPr/>
        <w:t>0.3</w:t>
      </w:r>
      <w:r>
        <w:rPr>
          <w:spacing w:val="-44"/>
        </w:rPr>
        <w:t> </w:t>
      </w:r>
      <w:r>
        <w:rPr>
          <w:spacing w:val="-10"/>
        </w:rPr>
        <w:t>元（含税），同时以资本公积金向全体股东每</w:t>
      </w:r>
      <w:r>
        <w:rPr>
          <w:spacing w:val="-44"/>
        </w:rPr>
        <w:t> </w:t>
      </w:r>
      <w:r>
        <w:rPr/>
        <w:t>10</w:t>
      </w:r>
      <w:r>
        <w:rPr>
          <w:spacing w:val="-43"/>
        </w:rPr>
        <w:t> </w:t>
      </w:r>
      <w:r>
        <w:rPr/>
        <w:t>股转增</w:t>
      </w:r>
      <w:r>
        <w:rPr>
          <w:spacing w:val="-44"/>
        </w:rPr>
        <w:t> </w:t>
      </w:r>
      <w:r>
        <w:rPr/>
        <w:t>10</w:t>
      </w:r>
      <w:r>
        <w:rPr>
          <w:spacing w:val="-44"/>
        </w:rPr>
        <w:t> </w:t>
      </w:r>
      <w:r>
        <w:rPr>
          <w:spacing w:val="-12"/>
        </w:rPr>
        <w:t>股，共转增</w:t>
      </w:r>
      <w:r>
        <w:rPr>
          <w:spacing w:val="-44"/>
        </w:rPr>
        <w:t> </w:t>
      </w:r>
      <w:r>
        <w:rPr/>
        <w:t>262,722,219</w:t>
      </w:r>
    </w:p>
    <w:p>
      <w:pPr>
        <w:spacing w:line="240" w:lineRule="auto" w:before="10"/>
        <w:rPr>
          <w:rFonts w:ascii="宋体" w:hAnsi="宋体" w:cs="宋体" w:eastAsia="宋体" w:hint="default"/>
          <w:sz w:val="17"/>
          <w:szCs w:val="17"/>
        </w:rPr>
      </w:pPr>
    </w:p>
    <w:p>
      <w:pPr>
        <w:pStyle w:val="BodyText"/>
        <w:spacing w:line="240" w:lineRule="auto"/>
        <w:ind w:right="0"/>
        <w:jc w:val="left"/>
      </w:pPr>
      <w:r>
        <w:rPr/>
        <w:t>股，转增后公司总股本增加至</w:t>
      </w:r>
      <w:r>
        <w:rPr>
          <w:spacing w:val="-46"/>
        </w:rPr>
        <w:t> </w:t>
      </w:r>
      <w:r>
        <w:rPr/>
        <w:t>525,444,438</w:t>
      </w:r>
      <w:r>
        <w:rPr>
          <w:spacing w:val="-46"/>
        </w:rPr>
        <w:t> </w:t>
      </w:r>
      <w:r>
        <w:rPr/>
        <w:t>股。</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3、2015</w:t>
      </w:r>
      <w:r>
        <w:rPr>
          <w:spacing w:val="-54"/>
        </w:rPr>
        <w:t> </w:t>
      </w:r>
      <w:r>
        <w:rPr/>
        <w:t>年</w:t>
      </w:r>
      <w:r>
        <w:rPr>
          <w:spacing w:val="-53"/>
        </w:rPr>
        <w:t> </w:t>
      </w:r>
      <w:r>
        <w:rPr/>
        <w:t>8</w:t>
      </w:r>
      <w:r>
        <w:rPr>
          <w:spacing w:val="-53"/>
        </w:rPr>
        <w:t> </w:t>
      </w:r>
      <w:r>
        <w:rPr/>
        <w:t>月</w:t>
      </w:r>
      <w:r>
        <w:rPr>
          <w:spacing w:val="-54"/>
        </w:rPr>
        <w:t> </w:t>
      </w:r>
      <w:r>
        <w:rPr/>
        <w:t>21</w:t>
      </w:r>
      <w:r>
        <w:rPr>
          <w:spacing w:val="-54"/>
        </w:rPr>
        <w:t> </w:t>
      </w:r>
      <w:r>
        <w:rPr/>
        <w:t>日，公司召开第三届董事会第十四次会议审议通过了《关于调整股票期权数量和行权价格的议案》、</w:t>
      </w:r>
    </w:p>
    <w:p>
      <w:pPr>
        <w:spacing w:line="240" w:lineRule="auto" w:before="10"/>
        <w:rPr>
          <w:rFonts w:ascii="宋体" w:hAnsi="宋体" w:cs="宋体" w:eastAsia="宋体" w:hint="default"/>
          <w:sz w:val="17"/>
          <w:szCs w:val="17"/>
        </w:rPr>
      </w:pPr>
    </w:p>
    <w:p>
      <w:pPr>
        <w:pStyle w:val="BodyText"/>
        <w:spacing w:line="477" w:lineRule="auto"/>
        <w:ind w:right="254"/>
        <w:jc w:val="left"/>
      </w:pPr>
      <w:r>
        <w:rPr/>
        <w:t>《关于股票期权与限制性股票激励计划第二个行权/解锁期可行权/解锁的议案》。9</w:t>
      </w:r>
      <w:r>
        <w:rPr>
          <w:spacing w:val="-59"/>
        </w:rPr>
        <w:t> </w:t>
      </w:r>
      <w:r>
        <w:rPr/>
        <w:t>月</w:t>
      </w:r>
      <w:r>
        <w:rPr>
          <w:spacing w:val="-59"/>
        </w:rPr>
        <w:t> </w:t>
      </w:r>
      <w:r>
        <w:rPr/>
        <w:t>9</w:t>
      </w:r>
      <w:r>
        <w:rPr>
          <w:spacing w:val="-59"/>
        </w:rPr>
        <w:t> </w:t>
      </w:r>
      <w:r>
        <w:rPr>
          <w:spacing w:val="-7"/>
        </w:rPr>
        <w:t>日，36</w:t>
      </w:r>
      <w:r>
        <w:rPr>
          <w:spacing w:val="-59"/>
        </w:rPr>
        <w:t> </w:t>
      </w:r>
      <w:r>
        <w:rPr/>
        <w:t>万份可行权的股票期权上市</w:t>
      </w:r>
      <w:r>
        <w:rPr/>
        <w:t> 流通，本次变动后公司总股本增加至</w:t>
      </w:r>
      <w:r>
        <w:rPr>
          <w:spacing w:val="-46"/>
        </w:rPr>
        <w:t> </w:t>
      </w:r>
      <w:r>
        <w:rPr/>
        <w:t>525,804,438</w:t>
      </w:r>
      <w:r>
        <w:rPr>
          <w:spacing w:val="-46"/>
        </w:rPr>
        <w:t> </w:t>
      </w:r>
      <w:r>
        <w:rPr/>
        <w:t>股。</w:t>
      </w:r>
    </w:p>
    <w:p>
      <w:pPr>
        <w:spacing w:line="240" w:lineRule="auto" w:before="2"/>
        <w:rPr>
          <w:rFonts w:ascii="宋体" w:hAnsi="宋体" w:cs="宋体" w:eastAsia="宋体" w:hint="default"/>
          <w:sz w:val="25"/>
          <w:szCs w:val="25"/>
        </w:rPr>
      </w:pPr>
    </w:p>
    <w:p>
      <w:pPr>
        <w:pStyle w:val="BodyText"/>
        <w:spacing w:line="240" w:lineRule="auto"/>
        <w:ind w:right="0"/>
        <w:jc w:val="left"/>
      </w:pPr>
      <w:r>
        <w:rPr/>
        <w:t>股份变动的批准情况</w:t>
      </w:r>
    </w:p>
    <w:p>
      <w:pPr>
        <w:pStyle w:val="BodyText"/>
        <w:spacing w:line="412" w:lineRule="auto" w:before="117"/>
        <w:ind w:left="479" w:right="264" w:hanging="32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1、2015年4月8日，公司第三届董事会第十次会议审议通过了《2014年度利润分配和资本公积金转增股本方案》；4月30</w:t>
      </w:r>
    </w:p>
    <w:p>
      <w:pPr>
        <w:pStyle w:val="BodyText"/>
        <w:spacing w:line="477" w:lineRule="auto" w:before="103"/>
        <w:ind w:left="514" w:right="0" w:hanging="360"/>
        <w:jc w:val="left"/>
      </w:pPr>
      <w:r>
        <w:rPr/>
        <w:t>日，2014年度股东大会审议通过了上述权益分派方案；5月12日，上述方案实施完毕。 </w:t>
      </w:r>
      <w:r>
        <w:rPr>
          <w:spacing w:val="-5"/>
        </w:rPr>
        <w:t>2、2015年8月21日，公司召开第三届董事会第十四次会议审议通过了《关于调整股票期权数量和行权价格的议案》、《关</w:t>
      </w:r>
    </w:p>
    <w:p>
      <w:pPr>
        <w:pStyle w:val="BodyText"/>
        <w:spacing w:line="240" w:lineRule="auto" w:before="54"/>
        <w:ind w:right="0"/>
        <w:jc w:val="left"/>
      </w:pPr>
      <w:r>
        <w:rPr/>
        <w:t>于股票期权与限制性股票激励计划第二个行权/解锁期可行权/解锁的议案》。9月7日，本次解锁的164万限制性股票上市流</w:t>
      </w:r>
    </w:p>
    <w:p>
      <w:pPr>
        <w:spacing w:after="0" w:line="240" w:lineRule="auto"/>
        <w:jc w:val="left"/>
        <w:sectPr>
          <w:pgSz w:w="11910" w:h="16840"/>
          <w:pgMar w:header="877" w:footer="982" w:top="1100" w:bottom="1180" w:left="980" w:right="86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通。9月9日，36万份可行权的股票期权上市流通。</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right="0"/>
        <w:jc w:val="left"/>
      </w:pPr>
      <w:r>
        <w:rPr/>
        <w:t>股份变动的过户情况</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19"/>
          <w:szCs w:val="19"/>
        </w:rPr>
      </w:pPr>
    </w:p>
    <w:p>
      <w:pPr>
        <w:pStyle w:val="BodyText"/>
        <w:spacing w:line="240" w:lineRule="auto"/>
        <w:ind w:left="514" w:right="0"/>
        <w:jc w:val="left"/>
      </w:pPr>
      <w:r>
        <w:rPr/>
        <w:t>1、2014</w:t>
      </w:r>
      <w:r>
        <w:rPr>
          <w:spacing w:val="-46"/>
        </w:rPr>
        <w:t> </w:t>
      </w:r>
      <w:r>
        <w:rPr/>
        <w:t>年度权益分派方案的除权除息日为</w:t>
      </w:r>
      <w:r>
        <w:rPr>
          <w:spacing w:val="-46"/>
        </w:rPr>
        <w:t> </w:t>
      </w:r>
      <w:r>
        <w:rPr/>
        <w:t>2015</w:t>
      </w:r>
      <w:r>
        <w:rPr>
          <w:spacing w:val="-46"/>
        </w:rPr>
        <w:t> </w:t>
      </w:r>
      <w:r>
        <w:rPr/>
        <w:t>年</w:t>
      </w:r>
      <w:r>
        <w:rPr>
          <w:spacing w:val="-46"/>
        </w:rPr>
        <w:t> </w:t>
      </w:r>
      <w:r>
        <w:rPr/>
        <w:t>5</w:t>
      </w:r>
      <w:r>
        <w:rPr>
          <w:spacing w:val="-45"/>
        </w:rPr>
        <w:t> </w:t>
      </w:r>
      <w:r>
        <w:rPr/>
        <w:t>月</w:t>
      </w:r>
      <w:r>
        <w:rPr>
          <w:spacing w:val="-46"/>
        </w:rPr>
        <w:t> </w:t>
      </w:r>
      <w:r>
        <w:rPr/>
        <w:t>12</w:t>
      </w:r>
      <w:r>
        <w:rPr>
          <w:spacing w:val="-45"/>
        </w:rPr>
        <w:t> </w:t>
      </w:r>
      <w:r>
        <w:rPr/>
        <w:t>日，公司已完成上述股本转增事项。</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2、2015</w:t>
      </w:r>
      <w:r>
        <w:rPr>
          <w:spacing w:val="-46"/>
        </w:rPr>
        <w:t> </w:t>
      </w:r>
      <w:r>
        <w:rPr/>
        <w:t>年股票期权与限制性股票激励计划第二个行权期的股票期权行权登记日为</w:t>
      </w:r>
      <w:r>
        <w:rPr>
          <w:spacing w:val="-46"/>
        </w:rPr>
        <w:t> </w:t>
      </w:r>
      <w:r>
        <w:rPr/>
        <w:t>2015</w:t>
      </w:r>
      <w:r>
        <w:rPr>
          <w:spacing w:val="-46"/>
        </w:rPr>
        <w:t> </w:t>
      </w:r>
      <w:r>
        <w:rPr/>
        <w:t>年</w:t>
      </w:r>
      <w:r>
        <w:rPr>
          <w:spacing w:val="-46"/>
        </w:rPr>
        <w:t> </w:t>
      </w:r>
      <w:r>
        <w:rPr/>
        <w:t>9</w:t>
      </w:r>
      <w:r>
        <w:rPr>
          <w:spacing w:val="-45"/>
        </w:rPr>
        <w:t> </w:t>
      </w:r>
      <w:r>
        <w:rPr/>
        <w:t>月</w:t>
      </w:r>
      <w:r>
        <w:rPr>
          <w:spacing w:val="-46"/>
        </w:rPr>
        <w:t> </w:t>
      </w:r>
      <w:r>
        <w:rPr/>
        <w:t>7</w:t>
      </w:r>
      <w:r>
        <w:rPr>
          <w:spacing w:val="-46"/>
        </w:rPr>
        <w:t> </w:t>
      </w:r>
      <w:r>
        <w:rPr/>
        <w:t>日，对</w:t>
      </w:r>
      <w:r>
        <w:rPr>
          <w:spacing w:val="-46"/>
        </w:rPr>
        <w:t> </w:t>
      </w:r>
      <w:r>
        <w:rPr/>
        <w:t>7</w:t>
      </w:r>
      <w:r>
        <w:rPr>
          <w:spacing w:val="-46"/>
        </w:rPr>
        <w:t> </w:t>
      </w:r>
      <w:r>
        <w:rPr/>
        <w:t>名激励对象</w:t>
      </w:r>
    </w:p>
    <w:p>
      <w:pPr>
        <w:spacing w:line="240" w:lineRule="auto" w:before="10"/>
        <w:rPr>
          <w:rFonts w:ascii="宋体" w:hAnsi="宋体" w:cs="宋体" w:eastAsia="宋体" w:hint="default"/>
          <w:sz w:val="17"/>
          <w:szCs w:val="17"/>
        </w:rPr>
      </w:pPr>
    </w:p>
    <w:p>
      <w:pPr>
        <w:pStyle w:val="BodyText"/>
        <w:spacing w:line="240" w:lineRule="auto"/>
        <w:ind w:right="0"/>
        <w:jc w:val="left"/>
      </w:pPr>
      <w:r>
        <w:rPr/>
        <w:t>的</w:t>
      </w:r>
      <w:r>
        <w:rPr>
          <w:spacing w:val="-46"/>
        </w:rPr>
        <w:t> </w:t>
      </w:r>
      <w:r>
        <w:rPr/>
        <w:t>36</w:t>
      </w:r>
      <w:r>
        <w:rPr>
          <w:spacing w:val="-46"/>
        </w:rPr>
        <w:t> </w:t>
      </w:r>
      <w:r>
        <w:rPr/>
        <w:t>万份股票期权予以集中行权，公司已完成上述股票期权行权事项。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spacing w:line="240" w:lineRule="auto" w:before="12"/>
        <w:rPr>
          <w:rFonts w:ascii="宋体" w:hAnsi="宋体" w:cs="宋体" w:eastAsia="宋体" w:hint="default"/>
          <w:sz w:val="20"/>
          <w:szCs w:val="20"/>
        </w:rPr>
      </w:pPr>
    </w:p>
    <w:p>
      <w:pPr>
        <w:pStyle w:val="BodyText"/>
        <w:spacing w:line="482" w:lineRule="auto"/>
        <w:ind w:right="410"/>
        <w:jc w:val="left"/>
      </w:pPr>
      <w:r>
        <w:rPr/>
        <w:pict>
          <v:shape style="position:absolute;margin-left:56.34pt;margin-top:67.961517pt;width:461.8pt;height:107.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2268"/>
                    <w:gridCol w:w="1842"/>
                    <w:gridCol w:w="1842"/>
                  </w:tblGrid>
                  <w:tr>
                    <w:trPr>
                      <w:trHeight w:val="422" w:hRule="exact"/>
                    </w:trPr>
                    <w:tc>
                      <w:tcPr>
                        <w:tcW w:w="3262"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财务指标</w:t>
                        </w:r>
                      </w:p>
                    </w:tc>
                    <w:tc>
                      <w:tcPr>
                        <w:tcW w:w="2268"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3684"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427" w:hRule="exact"/>
                    </w:trPr>
                    <w:tc>
                      <w:tcPr>
                        <w:tcW w:w="3262" w:type="dxa"/>
                        <w:vMerge/>
                        <w:tcBorders>
                          <w:left w:val="single" w:sz="6" w:space="0" w:color="000000"/>
                          <w:bottom w:val="single" w:sz="6" w:space="0" w:color="000000"/>
                          <w:right w:val="single" w:sz="6" w:space="0" w:color="000000"/>
                        </w:tcBorders>
                        <w:shd w:val="clear" w:color="auto" w:fill="D3D3D3"/>
                      </w:tcPr>
                      <w:p>
                        <w:pPr/>
                      </w:p>
                    </w:tc>
                    <w:tc>
                      <w:tcPr>
                        <w:tcW w:w="2268" w:type="dxa"/>
                        <w:vMerge/>
                        <w:tcBorders>
                          <w:left w:val="single" w:sz="6" w:space="0" w:color="000000"/>
                          <w:bottom w:val="single" w:sz="6" w:space="0" w:color="000000"/>
                          <w:right w:val="single" w:sz="6" w:space="0" w:color="000000"/>
                        </w:tcBorders>
                        <w:shd w:val="clear" w:color="auto" w:fill="D3D3D3"/>
                      </w:tcPr>
                      <w:p>
                        <w:pPr/>
                      </w:p>
                    </w:tc>
                    <w:tc>
                      <w:tcPr>
                        <w:tcW w:w="184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463" w:right="0"/>
                          <w:jc w:val="left"/>
                          <w:rPr>
                            <w:rFonts w:ascii="宋体" w:hAnsi="宋体" w:cs="宋体" w:eastAsia="宋体" w:hint="default"/>
                            <w:sz w:val="18"/>
                            <w:szCs w:val="18"/>
                          </w:rPr>
                        </w:pPr>
                        <w:r>
                          <w:rPr>
                            <w:rFonts w:ascii="宋体" w:hAnsi="宋体" w:cs="宋体" w:eastAsia="宋体" w:hint="default"/>
                            <w:sz w:val="18"/>
                            <w:szCs w:val="18"/>
                          </w:rPr>
                          <w:t>股本变动后</w:t>
                        </w:r>
                      </w:p>
                    </w:tc>
                    <w:tc>
                      <w:tcPr>
                        <w:tcW w:w="184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463" w:right="0"/>
                          <w:jc w:val="left"/>
                          <w:rPr>
                            <w:rFonts w:ascii="宋体" w:hAnsi="宋体" w:cs="宋体" w:eastAsia="宋体" w:hint="default"/>
                            <w:sz w:val="18"/>
                            <w:szCs w:val="18"/>
                          </w:rPr>
                        </w:pPr>
                        <w:r>
                          <w:rPr>
                            <w:rFonts w:ascii="宋体" w:hAnsi="宋体" w:cs="宋体" w:eastAsia="宋体" w:hint="default"/>
                            <w:sz w:val="18"/>
                            <w:szCs w:val="18"/>
                          </w:rPr>
                          <w:t>股本变动前</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0.1393</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0.0565</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0.1130</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0.1387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0.0563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2"/>
                            <w:sz w:val="18"/>
                          </w:rPr>
                          <w:t>0.1125</w:t>
                        </w:r>
                      </w:p>
                    </w:tc>
                  </w:tr>
                  <w:tr>
                    <w:trPr>
                      <w:trHeight w:val="428" w:hRule="exact"/>
                    </w:trPr>
                    <w:tc>
                      <w:tcPr>
                        <w:tcW w:w="32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2"/>
                            <w:sz w:val="18"/>
                          </w:rPr>
                          <w:t>1.7110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3.1688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3.1688</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报告期内，公司因上述股份变动，总股本由262,722,219股增加至525,804,438股。本次股本变动，对公司有关财务指标 的影响如下：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right="0"/>
        <w:jc w:val="left"/>
      </w:pPr>
      <w:r>
        <w:rPr/>
        <w:t>公司认为必要或证券监管机构要求披露的其他内容</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78"/>
        <w:gridCol w:w="1349"/>
        <w:gridCol w:w="1284"/>
        <w:gridCol w:w="1276"/>
        <w:gridCol w:w="1277"/>
        <w:gridCol w:w="1416"/>
        <w:gridCol w:w="1489"/>
      </w:tblGrid>
      <w:tr>
        <w:trPr>
          <w:trHeight w:val="714"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5" w:right="96"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41,863,500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41,863,500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83,727,000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35,883,000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35,883,000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71,766,000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67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17,941,500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18,087,750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36,029,250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tc>
      </w:tr>
    </w:tbl>
    <w:p>
      <w:pPr>
        <w:spacing w:after="0" w:line="316"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78"/>
        <w:gridCol w:w="1349"/>
        <w:gridCol w:w="1284"/>
        <w:gridCol w:w="1276"/>
        <w:gridCol w:w="1277"/>
        <w:gridCol w:w="1416"/>
        <w:gridCol w:w="1489"/>
      </w:tblGrid>
      <w:tr>
        <w:trPr>
          <w:trHeight w:val="362" w:hRule="exact"/>
        </w:trPr>
        <w:tc>
          <w:tcPr>
            <w:tcW w:w="147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17,941,500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18,084,000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36,025,500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7,127,617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7,127,617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14,255,234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资产重组股份限 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深圳弘道天瑞投 资有限责任公司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7,027,406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7,027,406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14,054,812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资产重组股份限 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6,927,196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6,927,196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13,854,392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资产重组股份限 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133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股权激励对象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在满足解锁条件 下，根据公司股权 激励计划安排进 行解锁</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138,129,195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1,792,238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138,417,945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274,754,902</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461" w:right="0" w:hanging="3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2015年5月12日，公司实施了2014年度利润分配和资本公积金转增股本方案，以公司总股本262,722,219股为基数，向全</w:t>
      </w:r>
    </w:p>
    <w:p>
      <w:pPr>
        <w:pStyle w:val="BodyText"/>
        <w:spacing w:line="477" w:lineRule="auto" w:before="103"/>
        <w:ind w:right="151"/>
        <w:jc w:val="both"/>
      </w:pPr>
      <w:r>
        <w:rPr>
          <w:spacing w:val="-2"/>
        </w:rPr>
        <w:t>体股东每10股派发现金红利0.3元（含税），同时以资本公积金向全体股东每10股转增10股，共转增262,722,219股，转增后</w:t>
      </w:r>
      <w:r>
        <w:rPr>
          <w:spacing w:val="-46"/>
        </w:rPr>
        <w:t> </w:t>
      </w:r>
      <w:r>
        <w:rPr>
          <w:spacing w:val="-46"/>
        </w:rPr>
      </w:r>
      <w:r>
        <w:rPr>
          <w:spacing w:val="-3"/>
        </w:rPr>
        <w:t>公司总股本增加至525,444,438股。上述资本公积金转增股本事项未引起公司股东结构变动、公司资产和负债结构变动。2015</w:t>
      </w:r>
      <w:r>
        <w:rPr>
          <w:spacing w:val="-78"/>
        </w:rPr>
        <w:t> </w:t>
      </w:r>
      <w:r>
        <w:rPr>
          <w:spacing w:val="-78"/>
        </w:rPr>
      </w:r>
      <w:r>
        <w:rPr>
          <w:spacing w:val="-2"/>
        </w:rPr>
        <w:t>年5月12日，公司实施了2014年度利润分配和资本公积金转增股本方案，以公司总股本262,722,219股为基数，向全体股东每</w:t>
      </w:r>
      <w:r>
        <w:rPr>
          <w:spacing w:val="-48"/>
        </w:rPr>
        <w:t> </w:t>
      </w:r>
      <w:r>
        <w:rPr>
          <w:spacing w:val="-48"/>
        </w:rPr>
      </w:r>
      <w:r>
        <w:rPr>
          <w:spacing w:val="-2"/>
        </w:rPr>
        <w:t>10股派发现金红利0.3元（含税），同时以资本公积金向全体股东每10股转增10股，共转增262,722,219股，转增后公司总股</w:t>
      </w:r>
    </w:p>
    <w:p>
      <w:pPr>
        <w:spacing w:after="0" w:line="477"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77" w:lineRule="auto" w:before="44"/>
        <w:ind w:left="514" w:right="180" w:hanging="360"/>
        <w:jc w:val="left"/>
      </w:pPr>
      <w:r>
        <w:rPr/>
        <w:t>本增加至525,444,438股。 2015年8月21日，公司召开第三届董事会第十四次会议审议通过了《关于调整股票期权数量和行权价格的议案》、《关</w:t>
      </w:r>
    </w:p>
    <w:p>
      <w:pPr>
        <w:pStyle w:val="BodyText"/>
        <w:spacing w:line="477" w:lineRule="auto" w:before="54"/>
        <w:ind w:right="90"/>
        <w:jc w:val="left"/>
      </w:pPr>
      <w:r>
        <w:rPr/>
        <w:t>于股票期权与限制性股票激励计划第二个行权/解锁期可行权/解锁的议案》。9月9日，36万份可行权的股票期权上市流通， 本次变动后公司总股本增加至525,804,438股。</w:t>
      </w:r>
    </w:p>
    <w:p>
      <w:pPr>
        <w:pStyle w:val="BodyText"/>
        <w:spacing w:line="240" w:lineRule="auto" w:before="54"/>
        <w:ind w:left="514" w:right="90"/>
        <w:jc w:val="left"/>
      </w:pPr>
      <w:r>
        <w:rPr/>
        <w:t>上述资本公积金转增股本及股票期权行权事项未引起公司股东结构变动、公司资产和负债结构变动。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9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pict>
          <v:shape style="position:absolute;margin-left:449.219696pt;margin-top:17.532032pt;width:85.75pt;height:82.05pt;mso-position-horizontal-relative:page;mso-position-vertical-relative:paragraph;z-index:-7573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339996pt;margin-top:17.532032pt;width:52.65pt;height:82.05pt;mso-position-horizontal-relative:page;mso-position-vertical-relative:paragraph;z-index:-757360" coordorigin="9647,351" coordsize="1053,1641">
            <v:group style="position:absolute;left:9647;top:351;width:1053;height:1641" coordorigin="9647,351" coordsize="1053,1641">
              <v:shape style="position:absolute;left:9647;top:351;width:1053;height:1641" coordorigin="9647,351" coordsize="1053,1641" path="m9647,1991l10699,1991,10699,351,9647,351,9647,1991xe" filled="true" fillcolor="#ffffff" stroked="false">
                <v:path arrowok="t"/>
                <v:fill type="solid"/>
              </v:shape>
            </v:group>
            <v:group style="position:absolute;left:9670;top:975;width:1007;height:393" coordorigin="9670,975" coordsize="1007,393">
              <v:shape style="position:absolute;left:9670;top:975;width:1007;height:393" coordorigin="9670,975" coordsize="1007,393" path="m9670,1367l10676,1367,10676,975,9670,975,9670,1367xe" filled="true" fillcolor="#ffffff" stroked="false">
                <v:path arrowok="t"/>
                <v:fill type="solid"/>
              </v:shape>
            </v:group>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509"/>
        <w:gridCol w:w="287"/>
        <w:gridCol w:w="750"/>
        <w:gridCol w:w="688"/>
        <w:gridCol w:w="968"/>
        <w:gridCol w:w="251"/>
        <w:gridCol w:w="743"/>
        <w:gridCol w:w="587"/>
        <w:gridCol w:w="404"/>
        <w:gridCol w:w="659"/>
        <w:gridCol w:w="334"/>
        <w:gridCol w:w="995"/>
        <w:gridCol w:w="1062"/>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58,743</w:t>
            </w:r>
          </w:p>
        </w:tc>
        <w:tc>
          <w:tcPr>
            <w:tcW w:w="1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2" w:right="0"/>
              <w:jc w:val="left"/>
              <w:rPr>
                <w:rFonts w:ascii="Times New Roman" w:hAnsi="Times New Roman" w:cs="Times New Roman" w:eastAsia="Times New Roman" w:hint="default"/>
                <w:sz w:val="18"/>
                <w:szCs w:val="18"/>
              </w:rPr>
            </w:pPr>
            <w:r>
              <w:rPr>
                <w:rFonts w:ascii="Times New Roman"/>
                <w:sz w:val="18"/>
              </w:rPr>
              <w:t>58,306</w:t>
            </w: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8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6"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7"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843" w:type="dxa"/>
            <w:gridSpan w:val="2"/>
            <w:vMerge/>
            <w:tcBorders>
              <w:left w:val="single" w:sz="4" w:space="0" w:color="000000"/>
              <w:bottom w:val="single" w:sz="4" w:space="0" w:color="000000"/>
              <w:right w:val="single" w:sz="4" w:space="0" w:color="000000"/>
            </w:tcBorders>
            <w:shd w:val="clear" w:color="auto" w:fill="D3D3D3"/>
          </w:tcPr>
          <w:p>
            <w:pPr/>
          </w:p>
        </w:tc>
        <w:tc>
          <w:tcPr>
            <w:tcW w:w="1037" w:type="dxa"/>
            <w:gridSpan w:val="2"/>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968" w:type="dxa"/>
            <w:vMerge/>
            <w:tcBorders>
              <w:left w:val="single" w:sz="4" w:space="0" w:color="000000"/>
              <w:bottom w:val="single" w:sz="4" w:space="0" w:color="000000"/>
              <w:right w:val="single" w:sz="4" w:space="0" w:color="000000"/>
            </w:tcBorders>
            <w:shd w:val="clear" w:color="auto" w:fill="D3D3D3"/>
          </w:tcPr>
          <w:p>
            <w:pPr/>
          </w:p>
        </w:tc>
        <w:tc>
          <w:tcPr>
            <w:tcW w:w="994" w:type="dxa"/>
            <w:gridSpan w:val="2"/>
            <w:vMerge/>
            <w:tcBorders>
              <w:left w:val="single" w:sz="4" w:space="0" w:color="000000"/>
              <w:bottom w:val="single" w:sz="4" w:space="0" w:color="000000"/>
              <w:right w:val="single" w:sz="4" w:space="0" w:color="000000"/>
            </w:tcBorders>
            <w:shd w:val="clear" w:color="auto" w:fill="D3D3D3"/>
          </w:tcPr>
          <w:p>
            <w:pPr/>
          </w:p>
        </w:tc>
        <w:tc>
          <w:tcPr>
            <w:tcW w:w="991" w:type="dxa"/>
            <w:gridSpan w:val="2"/>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3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21.23%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111,636,000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55,818,000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83,727,000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27,909,000</w:t>
            </w:r>
          </w:p>
        </w:tc>
        <w:tc>
          <w:tcPr>
            <w:tcW w:w="9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18.20%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95,688,000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47,844,000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71,766,000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23,922,000</w:t>
            </w:r>
          </w:p>
        </w:tc>
        <w:tc>
          <w:tcPr>
            <w:tcW w:w="9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9.14%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48,039,000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24,117,000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36,029,250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12,009,750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7,880,000</w:t>
            </w: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9.14%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48,034,000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24,112,000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36,025,500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12,008,500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12,330,000</w:t>
            </w: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2.71%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14,255,234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7,127,617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14,255,234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4,400,000</w:t>
            </w:r>
          </w:p>
        </w:tc>
      </w:tr>
      <w:tr>
        <w:trPr>
          <w:trHeight w:val="714"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深圳弘道天瑞投资有 限责任公司</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2.67%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14,054,812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7,027,406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14,054,812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14,054,806</w:t>
            </w:r>
          </w:p>
        </w:tc>
      </w:tr>
      <w:tr>
        <w:trPr>
          <w:trHeight w:val="401"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2.63%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13,854,392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6,927,196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13,854,392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r>
      <w:tr>
        <w:trPr>
          <w:trHeight w:val="1338"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中国农业银行股份有 限公司－中邮核心成 长混合型证券投资基 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0.97%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5,099,680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5,099,680</w:t>
            </w:r>
          </w:p>
        </w:tc>
        <w:tc>
          <w:tcPr>
            <w:tcW w:w="9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刘仪初</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 w:right="0"/>
              <w:jc w:val="center"/>
              <w:rPr>
                <w:rFonts w:ascii="Times New Roman" w:hAnsi="Times New Roman" w:cs="Times New Roman" w:eastAsia="Times New Roman" w:hint="default"/>
                <w:sz w:val="18"/>
                <w:szCs w:val="18"/>
              </w:rPr>
            </w:pPr>
            <w:r>
              <w:rPr>
                <w:rFonts w:ascii="Times New Roman"/>
                <w:sz w:val="18"/>
              </w:rPr>
              <w:t>0.61%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3,216,400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3,216,400</w:t>
            </w:r>
          </w:p>
        </w:tc>
        <w:tc>
          <w:tcPr>
            <w:tcW w:w="9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 w:right="0"/>
              <w:jc w:val="center"/>
              <w:rPr>
                <w:rFonts w:ascii="Times New Roman" w:hAnsi="Times New Roman" w:cs="Times New Roman" w:eastAsia="Times New Roman" w:hint="default"/>
                <w:sz w:val="18"/>
                <w:szCs w:val="18"/>
              </w:rPr>
            </w:pPr>
            <w:r>
              <w:rPr>
                <w:rFonts w:ascii="Times New Roman"/>
                <w:sz w:val="18"/>
              </w:rPr>
              <w:t>0.52%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2,040,000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3" w:right="0"/>
              <w:jc w:val="left"/>
              <w:rPr>
                <w:rFonts w:ascii="Times New Roman" w:hAnsi="Times New Roman" w:cs="Times New Roman" w:eastAsia="Times New Roman" w:hint="default"/>
                <w:sz w:val="18"/>
                <w:szCs w:val="18"/>
              </w:rPr>
            </w:pPr>
            <w:r>
              <w:rPr>
                <w:rFonts w:ascii="Times New Roman"/>
                <w:sz w:val="18"/>
              </w:rPr>
              <w:t>680,000</w:t>
            </w:r>
          </w:p>
        </w:tc>
        <w:tc>
          <w:tcPr>
            <w:tcW w:w="9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74"/>
        <w:gridCol w:w="3995"/>
        <w:gridCol w:w="1349"/>
        <w:gridCol w:w="1352"/>
      </w:tblGrid>
      <w:tr>
        <w:trPr>
          <w:trHeight w:val="161" w:hRule="exact"/>
        </w:trPr>
        <w:tc>
          <w:tcPr>
            <w:tcW w:w="2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6" w:type="dxa"/>
            <w:gridSpan w:val="3"/>
            <w:vMerge w:val="restart"/>
            <w:tcBorders>
              <w:top w:val="single" w:sz="4" w:space="0" w:color="000000"/>
              <w:left w:val="single" w:sz="4" w:space="0" w:color="000000"/>
              <w:right w:val="single" w:sz="4" w:space="0" w:color="000000"/>
            </w:tcBorders>
          </w:tcPr>
          <w:p>
            <w:pPr>
              <w:pStyle w:val="TableParagraph"/>
              <w:spacing w:line="319" w:lineRule="auto" w:before="51"/>
              <w:ind w:left="28" w:right="20"/>
              <w:jc w:val="both"/>
              <w:rPr>
                <w:rFonts w:ascii="宋体" w:hAnsi="宋体" w:cs="宋体" w:eastAsia="宋体" w:hint="default"/>
                <w:sz w:val="18"/>
                <w:szCs w:val="18"/>
              </w:rPr>
            </w:pPr>
            <w:r>
              <w:rPr>
                <w:rFonts w:ascii="宋体" w:hAnsi="宋体" w:cs="宋体" w:eastAsia="宋体" w:hint="default"/>
                <w:spacing w:val="-1"/>
                <w:sz w:val="18"/>
                <w:szCs w:val="18"/>
              </w:rPr>
              <w:t>公司前十名股东之间，张学君、陈向军、李军三人为公司共同实际控制人、一致行动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人。除此以外，公司未知前十名股东之间是否存在关联关系，也未知是否属于一致行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动人。</w:t>
            </w:r>
          </w:p>
        </w:tc>
      </w:tr>
      <w:tr>
        <w:trPr>
          <w:trHeight w:val="704" w:hRule="exact"/>
        </w:trPr>
        <w:tc>
          <w:tcPr>
            <w:tcW w:w="2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6" w:type="dxa"/>
            <w:gridSpan w:val="3"/>
            <w:vMerge/>
            <w:tcBorders>
              <w:left w:val="single" w:sz="4" w:space="0" w:color="000000"/>
              <w:right w:val="single" w:sz="4" w:space="0" w:color="000000"/>
            </w:tcBorders>
          </w:tcPr>
          <w:p>
            <w:pPr/>
          </w:p>
        </w:tc>
      </w:tr>
      <w:tr>
        <w:trPr>
          <w:trHeight w:val="161" w:hRule="exact"/>
        </w:trPr>
        <w:tc>
          <w:tcPr>
            <w:tcW w:w="2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96" w:type="dxa"/>
            <w:gridSpan w:val="3"/>
            <w:vMerge/>
            <w:tcBorders>
              <w:left w:val="single" w:sz="4" w:space="0" w:color="000000"/>
              <w:bottom w:val="single" w:sz="4" w:space="0" w:color="000000"/>
              <w:right w:val="single" w:sz="4" w:space="0" w:color="000000"/>
            </w:tcBorders>
          </w:tcPr>
          <w:p>
            <w:pP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0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1"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74" w:type="dxa"/>
            <w:vMerge/>
            <w:tcBorders>
              <w:left w:val="single" w:sz="4" w:space="0" w:color="000000"/>
              <w:bottom w:val="nil" w:sz="6" w:space="0" w:color="auto"/>
              <w:right w:val="single" w:sz="4" w:space="0" w:color="000000"/>
            </w:tcBorders>
            <w:shd w:val="clear" w:color="auto" w:fill="D3D3D3"/>
          </w:tcPr>
          <w:p>
            <w:pPr/>
          </w:p>
        </w:tc>
        <w:tc>
          <w:tcPr>
            <w:tcW w:w="3995" w:type="dxa"/>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39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27,909,000</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23,922,000</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12,009,750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12,009,750</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12,008,500</w:t>
            </w: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 核心成长混合型证券投资基金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5,099,680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5,099,680</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刘仪初</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3,216,400</w:t>
            </w: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华宝信托有限责任公司－合沣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集合资金信托</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2,687,283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2,687,283</w:t>
            </w: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中国银行股份有限公司－银华优势 企业（平衡型）证券投资基金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1,900,387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1,900,387</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李维华</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1,797,600</w:t>
            </w: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天安财产保险股份有限公司－保赢 理财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1,746,488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1,746,488</w:t>
            </w:r>
          </w:p>
        </w:tc>
      </w:tr>
      <w:tr>
        <w:trPr>
          <w:trHeight w:val="1338" w:hRule="exact"/>
        </w:trPr>
        <w:tc>
          <w:tcPr>
            <w:tcW w:w="2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3"/>
              <w:jc w:val="both"/>
              <w:rPr>
                <w:rFonts w:ascii="宋体" w:hAnsi="宋体" w:cs="宋体" w:eastAsia="宋体" w:hint="default"/>
                <w:sz w:val="18"/>
                <w:szCs w:val="18"/>
              </w:rPr>
            </w:pPr>
            <w:r>
              <w:rPr>
                <w:rFonts w:ascii="宋体" w:hAnsi="宋体" w:cs="宋体" w:eastAsia="宋体" w:hint="default"/>
                <w:sz w:val="18"/>
                <w:szCs w:val="18"/>
              </w:rPr>
              <w:t>公司前十名无限售股股东之间，张学君、陈向军、李军三人为公司共同实际控制人、 </w:t>
            </w:r>
            <w:r>
              <w:rPr>
                <w:rFonts w:ascii="宋体" w:hAnsi="宋体" w:cs="宋体" w:eastAsia="宋体" w:hint="default"/>
                <w:spacing w:val="-1"/>
                <w:sz w:val="18"/>
                <w:szCs w:val="18"/>
              </w:rPr>
              <w:t>一致行动人。除此以外，公司未知前十名无限售股股东之间，以及前十名无限售股股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东和前十名股东之间是否存在关联关系，也未知是否属于一致行动人。</w:t>
            </w: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13"/>
          <w:szCs w:val="13"/>
        </w:rPr>
      </w:pPr>
    </w:p>
    <w:p>
      <w:pPr>
        <w:pStyle w:val="BodyText"/>
        <w:spacing w:line="240" w:lineRule="auto"/>
        <w:ind w:left="514" w:right="0"/>
        <w:jc w:val="left"/>
      </w:pPr>
      <w:r>
        <w:rPr/>
        <w:t>公司前</w:t>
      </w:r>
      <w:r>
        <w:rPr>
          <w:rFonts w:ascii="Times New Roman" w:hAnsi="Times New Roman" w:cs="Times New Roman" w:eastAsia="Times New Roman" w:hint="default"/>
        </w:rPr>
        <w:t>10</w:t>
      </w:r>
      <w:r>
        <w:rPr/>
        <w:t>名普通股股东、前</w:t>
      </w:r>
      <w:r>
        <w:rPr>
          <w:rFonts w:ascii="Times New Roman" w:hAnsi="Times New Roman" w:cs="Times New Roman" w:eastAsia="Times New Roman" w:hint="default"/>
        </w:rPr>
        <w:t>10</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61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06"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3415"/>
              <w:jc w:val="left"/>
              <w:rPr>
                <w:rFonts w:ascii="宋体" w:hAnsi="宋体" w:cs="宋体" w:eastAsia="宋体" w:hint="default"/>
                <w:sz w:val="18"/>
                <w:szCs w:val="18"/>
              </w:rPr>
            </w:pPr>
            <w:r>
              <w:rPr>
                <w:rFonts w:ascii="宋体" w:hAnsi="宋体" w:cs="宋体" w:eastAsia="宋体" w:hint="default"/>
                <w:sz w:val="18"/>
                <w:szCs w:val="18"/>
              </w:rPr>
              <w:t>张学君女士现任本公司董事。 陈向军先生现任本公司董事长。 李军先生现任公司董事、总经理。</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3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2120"/>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05"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505"/>
              <w:jc w:val="left"/>
              <w:rPr>
                <w:rFonts w:ascii="宋体" w:hAnsi="宋体" w:cs="宋体" w:eastAsia="宋体" w:hint="default"/>
                <w:sz w:val="18"/>
                <w:szCs w:val="18"/>
              </w:rPr>
            </w:pPr>
            <w:r>
              <w:rPr>
                <w:rFonts w:ascii="宋体" w:hAnsi="宋体" w:cs="宋体" w:eastAsia="宋体" w:hint="default"/>
                <w:sz w:val="18"/>
                <w:szCs w:val="18"/>
              </w:rPr>
              <w:t>张学君女士现任本公司董事。 陈向军先生现任本公司董事长。 李军先生现任公司董事、总经理。</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9"/>
          <w:szCs w:val="29"/>
        </w:rPr>
      </w:pPr>
    </w:p>
    <w:p>
      <w:pPr>
        <w:spacing w:line="468" w:lineRule="exact"/>
        <w:ind w:left="1987"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61pt;height:23.4pt;mso-position-horizontal-relative:char;mso-position-vertical-relative:line" type="#_x0000_t202" filled="false" stroked="true" strokeweight=".75pt" strokecolor="#000000">
            <w10:anchorlock/>
            <v:textbox inset="0,0,0,0">
              <w:txbxContent>
                <w:p>
                  <w:pPr>
                    <w:spacing w:before="84"/>
                    <w:ind w:left="419" w:right="0" w:firstLine="0"/>
                    <w:jc w:val="left"/>
                    <w:rPr>
                      <w:rFonts w:ascii="Times New Roman" w:hAnsi="Times New Roman" w:cs="Times New Roman" w:eastAsia="Times New Roman" w:hint="default"/>
                      <w:sz w:val="23"/>
                      <w:szCs w:val="23"/>
                    </w:rPr>
                  </w:pPr>
                  <w:r>
                    <w:rPr>
                      <w:rFonts w:ascii="宋体" w:hAnsi="宋体" w:cs="宋体" w:eastAsia="宋体" w:hint="default"/>
                      <w:sz w:val="23"/>
                      <w:szCs w:val="23"/>
                    </w:rPr>
                    <w:t>张学君</w:t>
                  </w:r>
                  <w:r>
                    <w:rPr>
                      <w:rFonts w:ascii="宋体" w:hAnsi="宋体" w:cs="宋体" w:eastAsia="宋体" w:hint="default"/>
                      <w:spacing w:val="-61"/>
                      <w:sz w:val="23"/>
                      <w:szCs w:val="23"/>
                    </w:rPr>
                    <w:t> </w:t>
                  </w:r>
                  <w:r>
                    <w:rPr>
                      <w:rFonts w:ascii="Times New Roman" w:hAnsi="Times New Roman" w:cs="Times New Roman" w:eastAsia="Times New Roman" w:hint="default"/>
                      <w:sz w:val="23"/>
                      <w:szCs w:val="23"/>
                    </w:rPr>
                    <w:t>21.23%</w:t>
                  </w:r>
                  <w:r>
                    <w:rPr>
                      <w:rFonts w:ascii="宋体" w:hAnsi="宋体" w:cs="宋体" w:eastAsia="宋体" w:hint="default"/>
                      <w:sz w:val="23"/>
                      <w:szCs w:val="23"/>
                    </w:rPr>
                    <w:t>、陈向军</w:t>
                  </w:r>
                  <w:r>
                    <w:rPr>
                      <w:rFonts w:ascii="宋体" w:hAnsi="宋体" w:cs="宋体" w:eastAsia="宋体" w:hint="default"/>
                      <w:spacing w:val="-61"/>
                      <w:sz w:val="23"/>
                      <w:szCs w:val="23"/>
                    </w:rPr>
                    <w:t> </w:t>
                  </w:r>
                  <w:r>
                    <w:rPr>
                      <w:rFonts w:ascii="Times New Roman" w:hAnsi="Times New Roman" w:cs="Times New Roman" w:eastAsia="Times New Roman" w:hint="default"/>
                      <w:sz w:val="23"/>
                      <w:szCs w:val="23"/>
                    </w:rPr>
                    <w:t>9.14%</w:t>
                  </w:r>
                  <w:r>
                    <w:rPr>
                      <w:rFonts w:ascii="宋体" w:hAnsi="宋体" w:cs="宋体" w:eastAsia="宋体" w:hint="default"/>
                      <w:sz w:val="23"/>
                      <w:szCs w:val="23"/>
                    </w:rPr>
                    <w:t>、李军</w:t>
                  </w:r>
                  <w:r>
                    <w:rPr>
                      <w:rFonts w:ascii="宋体" w:hAnsi="宋体" w:cs="宋体" w:eastAsia="宋体" w:hint="default"/>
                      <w:spacing w:val="-61"/>
                      <w:sz w:val="23"/>
                      <w:szCs w:val="23"/>
                    </w:rPr>
                    <w:t> </w:t>
                  </w:r>
                  <w:r>
                    <w:rPr>
                      <w:rFonts w:ascii="Times New Roman" w:hAnsi="Times New Roman" w:cs="Times New Roman" w:eastAsia="Times New Roman" w:hint="default"/>
                      <w:sz w:val="23"/>
                      <w:szCs w:val="23"/>
                    </w:rPr>
                    <w:t>9.14%</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16"/>
          <w:szCs w:val="16"/>
        </w:rPr>
      </w:pPr>
    </w:p>
    <w:p>
      <w:pPr>
        <w:pStyle w:val="Heading3"/>
        <w:spacing w:line="240" w:lineRule="auto" w:before="70"/>
        <w:ind w:left="495" w:right="702"/>
        <w:jc w:val="center"/>
        <w:rPr>
          <w:rFonts w:ascii="Times New Roman" w:hAnsi="Times New Roman" w:cs="Times New Roman" w:eastAsia="Times New Roman" w:hint="default"/>
        </w:rPr>
      </w:pPr>
      <w:r>
        <w:rPr/>
        <w:pict>
          <v:group style="position:absolute;margin-left:267.420013pt;margin-top:-12.043368pt;width:6pt;height:39.4pt;mso-position-horizontal-relative:page;mso-position-vertical-relative:paragraph;z-index:-757288" coordorigin="5348,-241" coordsize="120,788">
            <v:shape style="position:absolute;left:5348;top:-241;width:120;height:788" coordorigin="5348,-241" coordsize="120,788" path="m5400,426l5348,426,5408,546,5455,454,5408,454,5402,452,5400,447,5400,426xe" filled="true" fillcolor="#000000" stroked="false">
              <v:path arrowok="t"/>
              <v:fill type="solid"/>
            </v:shape>
            <v:shape style="position:absolute;left:5348;top:-241;width:120;height:788" coordorigin="5348,-241" coordsize="120,788" path="m5408,-241l5402,-238,5400,-234,5400,447,5402,452,5408,454,5413,452,5416,447,5416,-234,5413,-238,5408,-241xe" filled="true" fillcolor="#000000" stroked="false">
              <v:path arrowok="t"/>
              <v:fill type="solid"/>
            </v:shape>
            <v:shape style="position:absolute;left:5348;top:-241;width:120;height:788" coordorigin="5348,-241" coordsize="120,788" path="m5468,426l5416,426,5416,447,5413,452,5408,454,5455,454,5468,426xe" filled="true" fillcolor="#000000" stroked="false">
              <v:path arrowok="t"/>
              <v:fill type="solid"/>
            </v:shape>
            <w10:wrap type="none"/>
          </v:group>
        </w:pict>
      </w:r>
      <w:r>
        <w:rPr>
          <w:rFonts w:ascii="Times New Roman"/>
        </w:rPr>
        <w:t>39.50%</w:t>
      </w:r>
    </w:p>
    <w:p>
      <w:pPr>
        <w:spacing w:line="240" w:lineRule="auto" w:before="5"/>
        <w:rPr>
          <w:rFonts w:ascii="Times New Roman" w:hAnsi="Times New Roman" w:cs="Times New Roman" w:eastAsia="Times New Roman" w:hint="default"/>
          <w:sz w:val="19"/>
          <w:szCs w:val="19"/>
        </w:rPr>
      </w:pPr>
    </w:p>
    <w:p>
      <w:pPr>
        <w:spacing w:line="468" w:lineRule="exact"/>
        <w:ind w:left="27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9pt;height:23.4pt;mso-position-horizontal-relative:char;mso-position-vertical-relative:line" type="#_x0000_t202" filled="false" stroked="true" strokeweight=".75pt" strokecolor="#000000">
            <w10:anchorlock/>
            <v:textbox inset="0,0,0,0">
              <w:txbxContent>
                <w:p>
                  <w:pPr>
                    <w:spacing w:before="84"/>
                    <w:ind w:left="273" w:right="0" w:firstLine="0"/>
                    <w:jc w:val="left"/>
                    <w:rPr>
                      <w:rFonts w:ascii="宋体" w:hAnsi="宋体" w:cs="宋体" w:eastAsia="宋体" w:hint="default"/>
                      <w:sz w:val="23"/>
                      <w:szCs w:val="23"/>
                    </w:rPr>
                  </w:pPr>
                  <w:r>
                    <w:rPr>
                      <w:rFonts w:ascii="宋体" w:hAnsi="宋体" w:cs="宋体" w:eastAsia="宋体" w:hint="default"/>
                      <w:sz w:val="23"/>
                      <w:szCs w:val="23"/>
                    </w:rPr>
                    <w:t>深圳市银之杰科技股份有限公司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412" w:lineRule="auto" w:before="44"/>
        <w:ind w:left="514" w:right="72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报告期公司不存在优先股。</w:t>
      </w:r>
    </w:p>
    <w:p>
      <w:pPr>
        <w:spacing w:after="0" w:line="412"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904"/>
        <w:gridCol w:w="566"/>
        <w:gridCol w:w="568"/>
        <w:gridCol w:w="566"/>
        <w:gridCol w:w="994"/>
        <w:gridCol w:w="991"/>
        <w:gridCol w:w="994"/>
        <w:gridCol w:w="798"/>
        <w:gridCol w:w="619"/>
        <w:gridCol w:w="977"/>
        <w:gridCol w:w="1007"/>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00" w:right="4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00"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3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3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23,922,000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23,922,000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48,039,000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23,922,000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23,922,000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48,034,000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55,818,000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55,818,000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111,636,000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47,844,000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47,844,000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95,688,000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7,127,617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7,127,617</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14,255,234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经理、董事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28,476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56,952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160,902,093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160,902,093</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322,189,186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860"/>
        </w:sectPr>
      </w:pPr>
    </w:p>
    <w:p>
      <w:pPr>
        <w:spacing w:line="240" w:lineRule="auto" w:before="9"/>
        <w:rPr>
          <w:rFonts w:ascii="宋体" w:hAnsi="宋体" w:cs="宋体" w:eastAsia="宋体" w:hint="default"/>
          <w:b/>
          <w:bCs/>
          <w:sz w:val="19"/>
          <w:szCs w:val="19"/>
        </w:rPr>
      </w:pPr>
    </w:p>
    <w:p>
      <w:pPr>
        <w:pStyle w:val="Heading2"/>
        <w:spacing w:line="240" w:lineRule="auto" w:before="26"/>
        <w:ind w:right="9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年第二次临时股东大会审议通过了《关于增加董 事会成员的议案》</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年第二次临时股东大会审议通过了《关于增加董 事会成员的议案》</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三、任职情况</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left="514" w:right="2790" w:hanging="360"/>
        <w:jc w:val="left"/>
      </w:pPr>
      <w:r>
        <w:rPr/>
        <w:t>公司现任董事、监事、高级管理人员专业背景、主要工作经历以及目前在公司的主要职责 1．董事</w:t>
      </w:r>
    </w:p>
    <w:p>
      <w:pPr>
        <w:pStyle w:val="BodyText"/>
        <w:spacing w:line="516" w:lineRule="auto" w:before="63"/>
        <w:ind w:left="514" w:right="180"/>
        <w:jc w:val="left"/>
      </w:pPr>
      <w:r>
        <w:rPr/>
        <w:t>公司董事会由9名董事组成，其中独立董事3名，具体如下： 陈向军先生，公司董事长，中国籍，1964年出生，研究生学历。2007年12月至今任公司董事长，2013年12月至2014年7</w:t>
      </w:r>
    </w:p>
    <w:p>
      <w:pPr>
        <w:pStyle w:val="BodyText"/>
        <w:spacing w:line="516" w:lineRule="auto" w:before="26"/>
        <w:ind w:left="514" w:right="90" w:hanging="360"/>
        <w:jc w:val="left"/>
      </w:pPr>
      <w:r>
        <w:rPr/>
        <w:t>月任公司参股子公司华道征信董事、总经理，2014年7月起任华道征信董事长。 </w:t>
      </w:r>
      <w:r>
        <w:rPr>
          <w:spacing w:val="-2"/>
        </w:rPr>
        <w:t>李军先生，公司董事、总经理，中国籍，1970年出生，研究生学历。2007年12月起任公司董事、总经理，2013年10月起</w:t>
      </w:r>
    </w:p>
    <w:p>
      <w:pPr>
        <w:pStyle w:val="BodyText"/>
        <w:spacing w:line="516" w:lineRule="auto" w:before="26"/>
        <w:ind w:left="514" w:right="180" w:hanging="360"/>
        <w:jc w:val="left"/>
      </w:pPr>
      <w:r>
        <w:rPr/>
        <w:t>任公司参股子公司票联金服董事，2013年12月起任公司参股子公司华道征信董事。 张学君女士，公司董事，中国籍，1940年出生，大专学历。2000年9月至今任公司董事。 何晔女士，公司董事，中国籍，1970年出生，本科学历。2001年4月起在联合证券有限责任公司（华泰联合证券有限责</w:t>
      </w:r>
    </w:p>
    <w:p>
      <w:pPr>
        <w:pStyle w:val="BodyText"/>
        <w:spacing w:line="477" w:lineRule="auto" w:before="25"/>
        <w:ind w:right="180"/>
        <w:jc w:val="left"/>
      </w:pPr>
      <w:r>
        <w:rPr/>
        <w:t>任公司）工作，历任计划财务部职员、基金业务小组组长助理、销售交易部总经理助理、销售交易部副总经理，2010年3月 离职。2007年12月至今任公司董事。</w:t>
      </w:r>
    </w:p>
    <w:p>
      <w:pPr>
        <w:pStyle w:val="BodyText"/>
        <w:spacing w:line="477" w:lineRule="auto" w:before="94"/>
        <w:ind w:right="189" w:firstLine="360"/>
        <w:jc w:val="both"/>
      </w:pPr>
      <w:r>
        <w:rPr>
          <w:spacing w:val="-2"/>
        </w:rPr>
        <w:t>郑学定先生，公司独立董事，中国籍，1963年出生，研究生学历。1991年12月至2005年12月任深圳市注册会计师协会副</w:t>
      </w:r>
      <w:r>
        <w:rPr/>
        <w:t> </w:t>
      </w:r>
      <w:r>
        <w:rPr>
          <w:spacing w:val="-2"/>
        </w:rPr>
        <w:t>秘书长、秘书长，2006年1月至2011年12月任开元信德会计师事务所合伙人，2012年1月至今任大华会计师事务所合伙人。深</w:t>
      </w:r>
      <w:r>
        <w:rPr>
          <w:spacing w:val="-50"/>
        </w:rPr>
        <w:t> </w:t>
      </w:r>
      <w:r>
        <w:rPr>
          <w:spacing w:val="-50"/>
        </w:rPr>
      </w:r>
      <w:r>
        <w:rPr/>
        <w:t>圳市第六届人民代表大会代表、计划预算委员会委员。2014年4月至今任公司独立董事。</w:t>
      </w:r>
    </w:p>
    <w:p>
      <w:pPr>
        <w:pStyle w:val="BodyText"/>
        <w:spacing w:line="477" w:lineRule="auto" w:before="92"/>
        <w:ind w:right="180" w:firstLine="360"/>
        <w:jc w:val="left"/>
      </w:pPr>
      <w:r>
        <w:rPr/>
        <w:t>郭斐先生，公司独立董事，中国籍，1966年出生，本科学历。2007年9月至今任北京市大成(深圳)律师事务所律师、合 伙人。2014年4月至今任公司独立董事。</w:t>
      </w:r>
    </w:p>
    <w:p>
      <w:pPr>
        <w:pStyle w:val="BodyText"/>
        <w:spacing w:line="477" w:lineRule="auto" w:before="92"/>
        <w:ind w:right="90" w:firstLine="360"/>
        <w:jc w:val="left"/>
      </w:pPr>
      <w:r>
        <w:rPr>
          <w:spacing w:val="-2"/>
        </w:rPr>
        <w:t>何剑先生，公司独立董事，中国籍，1969年出生，研究生学历。2009年至2011年任江苏久禧实业有限公司董事长，2011</w:t>
      </w:r>
      <w:r>
        <w:rPr/>
        <w:t> 年至2012年任北京久禧康源投资管理有限公司董事长、总经理，2013年至今任北京冏鹿网络科技有限公司董事长、总经理。 2014年4月至今任公司独立董事。</w:t>
      </w:r>
    </w:p>
    <w:p>
      <w:pPr>
        <w:pStyle w:val="BodyText"/>
        <w:spacing w:line="477" w:lineRule="auto" w:before="94"/>
        <w:ind w:right="90" w:firstLine="360"/>
        <w:jc w:val="left"/>
      </w:pPr>
      <w:r>
        <w:rPr>
          <w:spacing w:val="-4"/>
        </w:rPr>
        <w:t>刘奕先生，公司董事，中国籍，1971年出生，研究生学历。1998年10月至今在本公司工作，历任总经理助理、副总经理。</w:t>
      </w:r>
      <w:r>
        <w:rPr/>
        <w:t> 2007年12月至今任公司副总经理、董事会秘书，2015年6月起任公司董事，2013年10月起任公司参股子公司票联金服董事，</w:t>
      </w:r>
    </w:p>
    <w:p>
      <w:pPr>
        <w:pStyle w:val="BodyText"/>
        <w:spacing w:line="240" w:lineRule="auto" w:before="55"/>
        <w:ind w:right="90"/>
        <w:jc w:val="left"/>
      </w:pPr>
      <w:r>
        <w:rPr/>
        <w:t>2014年7月起任公司参股子公司华道征信董事，2014年10月起任公司控股子公司科安数字执行董事。</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8" w:firstLine="360"/>
        <w:jc w:val="both"/>
      </w:pPr>
      <w:r>
        <w:rPr>
          <w:spacing w:val="-2"/>
        </w:rPr>
        <w:t>冯军先生，公司董事，中国籍，1971年出生，本科学历。2001年5月至今在公司全资子公司亿美软通工作，历任董事长、</w:t>
      </w:r>
      <w:r>
        <w:rPr/>
        <w:t> 董事，现任执行董事兼总经理。2015年8月至今任公司参股子公司华道征信总经理。</w:t>
      </w:r>
    </w:p>
    <w:p>
      <w:pPr>
        <w:pStyle w:val="BodyText"/>
        <w:spacing w:line="518" w:lineRule="auto" w:before="94"/>
        <w:ind w:left="514" w:right="4590"/>
        <w:jc w:val="left"/>
      </w:pPr>
      <w:r>
        <w:rPr/>
        <w:t>2．监事 公司监事会由三名监事组成，其中职工监事一人，具体如下：</w:t>
      </w:r>
    </w:p>
    <w:p>
      <w:pPr>
        <w:pStyle w:val="BodyText"/>
        <w:spacing w:line="477" w:lineRule="auto" w:before="62"/>
        <w:ind w:right="191" w:firstLine="360"/>
        <w:jc w:val="both"/>
      </w:pPr>
      <w:r>
        <w:rPr>
          <w:spacing w:val="-2"/>
        </w:rPr>
        <w:t>汪婉欣女士，公司监事会主席，中国籍，1975年出生，研究生学历。2008年1月至2011年3月任北京诺华制药有限公司业</w:t>
      </w:r>
      <w:r>
        <w:rPr/>
        <w:t> 务流程控制副总监，2011年7月至2012年7月任施耐德电气(中国)有限公司财务经理，2012年12月至2014年3月任辉瑞制药有 限公司中国合规经理，2014年4月至今任瓦里安医疗器械贸易(北京)有限公司亚太区区域合规经理。2007年12月至今任本公 司监事会主席，2013年10月起任公司参股子公司票联金服监事。</w:t>
      </w:r>
    </w:p>
    <w:p>
      <w:pPr>
        <w:pStyle w:val="BodyText"/>
        <w:spacing w:line="477" w:lineRule="auto" w:before="92"/>
        <w:ind w:right="198" w:firstLine="360"/>
        <w:jc w:val="both"/>
      </w:pPr>
      <w:r>
        <w:rPr/>
        <w:t>李玟臻女士，公司监事，中国籍，1982年出生，本科学历。2005年4月至今在本公司任职，历任市场企划专员、市场部 经理、总经理办公室经理。2012年4月10日起任公司监事，2014年6月起任公司参股子公司票联金服行政人事总监。</w:t>
      </w:r>
    </w:p>
    <w:p>
      <w:pPr>
        <w:pStyle w:val="BodyText"/>
        <w:spacing w:line="477" w:lineRule="auto" w:before="94"/>
        <w:ind w:right="98" w:firstLine="360"/>
        <w:jc w:val="both"/>
      </w:pPr>
      <w:r>
        <w:rPr>
          <w:spacing w:val="-2"/>
        </w:rPr>
        <w:t>周峰先生，公司职工代表监事，中国籍，1976年出生，本科学历。2006年6月至今在本公司工作，历任行政人事部经理、</w:t>
      </w:r>
      <w:r>
        <w:rPr/>
        <w:t> 综合管理部经理。2007年12月至今任公司职工代表监事。</w:t>
      </w:r>
    </w:p>
    <w:p>
      <w:pPr>
        <w:pStyle w:val="BodyText"/>
        <w:spacing w:line="516" w:lineRule="auto" w:before="94"/>
        <w:ind w:left="514" w:right="180"/>
        <w:jc w:val="left"/>
      </w:pPr>
      <w:r>
        <w:rPr/>
        <w:t>3．其他高级管理人员 许秋江先生，公司财务总监，中国籍，1973年出生，大专学历。2002年3月至今在本公司工作，历任公司财务经理、财</w:t>
      </w:r>
    </w:p>
    <w:p>
      <w:pPr>
        <w:pStyle w:val="BodyText"/>
        <w:spacing w:line="518" w:lineRule="auto" w:before="26"/>
        <w:ind w:right="6390"/>
        <w:jc w:val="left"/>
      </w:pPr>
      <w:r>
        <w:rPr/>
        <w:t>务总监。2007年12月至今任公司财务总监。 在股东单位任职情况</w:t>
      </w:r>
    </w:p>
    <w:p>
      <w:pPr>
        <w:pStyle w:val="BodyText"/>
        <w:spacing w:line="516" w:lineRule="auto" w:before="63"/>
        <w:ind w:right="8190"/>
        <w:jc w:val="left"/>
      </w:pPr>
      <w:r>
        <w:rPr/>
        <w:t>□ 适用 √ 不适用 在其他单位任职情况</w:t>
      </w:r>
    </w:p>
    <w:p>
      <w:pPr>
        <w:pStyle w:val="BodyText"/>
        <w:spacing w:line="240" w:lineRule="auto" w:before="66"/>
        <w:ind w:right="90"/>
        <w:jc w:val="left"/>
      </w:pPr>
      <w:r>
        <w:rPr/>
        <w:t>√ 适用 □ 不适用</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234"/>
        <w:gridCol w:w="3162"/>
        <w:gridCol w:w="1206"/>
        <w:gridCol w:w="1487"/>
        <w:gridCol w:w="1103"/>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4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5" w:right="9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平安大华基金管理有限公司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深圳冰川网络股份有限公司（非上市）</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（非上市）</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金田实业（集团）股份有限公司（非上 市）</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秦皇岛天业通联重工股份有限公司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北京市大成</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律师事务所</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律师、合伙人</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北京冏鹿网络科技有限公司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董事长、总经</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4"/>
        <w:gridCol w:w="3162"/>
        <w:gridCol w:w="1206"/>
        <w:gridCol w:w="1487"/>
        <w:gridCol w:w="1103"/>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487"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瓦里安医疗器械贸易</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亚太区区域合 规经理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汉龙汇通科技（北京）有限公司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北京君言汇金投资有限公司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北京微智全景信息技术有限公司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北京微智全景信息技术有限公司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北京亿美汇金信息技术股份有限公司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北京亿美汇金信息技术股份有限公司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行政人事总监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260"/>
        <w:gridCol w:w="5308"/>
      </w:tblGrid>
      <w:tr>
        <w:trPr>
          <w:trHeight w:val="1363" w:hRule="exact"/>
        </w:trPr>
        <w:tc>
          <w:tcPr>
            <w:tcW w:w="42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68"/>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支付，独立董事会务费据实报销。</w:t>
            </w:r>
          </w:p>
        </w:tc>
      </w:tr>
      <w:tr>
        <w:trPr>
          <w:trHeight w:val="739" w:hRule="exact"/>
        </w:trPr>
        <w:tc>
          <w:tcPr>
            <w:tcW w:w="42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8"/>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 况确定。</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3"/>
          <w:szCs w:val="23"/>
        </w:rPr>
      </w:pPr>
      <w:r>
        <w:rPr/>
        <w:pict>
          <v:shape style="position:absolute;margin-left:187.559998pt;margin-top:299.220001pt;width:74.05pt;height:35.2pt;mso-position-horizontal-relative:page;mso-position-vertical-relative:page;z-index:-757192"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93.740005pt;margin-top:299.220001pt;width:67.9pt;height:35.2pt;mso-position-horizontal-relative:page;mso-position-vertical-relative:page;z-index:-757168" coordorigin="3875,5984" coordsize="1358,704">
            <v:group style="position:absolute;left:3875;top:5984;width:1358;height:704" coordorigin="3875,5984" coordsize="1358,704">
              <v:shape style="position:absolute;left:3875;top:5984;width:1358;height:704" coordorigin="3875,5984" coordsize="1358,704" path="m3875,6688l5232,6688,5232,5984,3875,5984,3875,6688xe" filled="true" fillcolor="#ffffff" stroked="false">
                <v:path arrowok="t"/>
                <v:fill type="solid"/>
              </v:shape>
            </v:group>
            <v:group style="position:absolute;left:3898;top:6140;width:1312;height:392" coordorigin="3898,6140" coordsize="1312,392">
              <v:shape style="position:absolute;left:3898;top:6140;width:1312;height:392" coordorigin="3898,6140" coordsize="1312,392" path="m3898,6532l5209,6532,5209,6140,3898,6140,3898,6532xe" filled="true" fillcolor="#ffffff" stroked="false">
                <v:path arrowok="t"/>
                <v:fill type="solid"/>
              </v:shape>
            </v:group>
            <w10:wrap type="none"/>
          </v:group>
        </w:pict>
      </w:r>
    </w:p>
    <w:p>
      <w:pPr>
        <w:spacing w:line="768" w:lineRule="exact"/>
        <w:ind w:left="139"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5pt;height:38.4pt;mso-position-horizontal-relative:char;mso-position-vertical-relative:line" coordorigin="0,0" coordsize="9590,768">
            <v:group style="position:absolute;left:22;top:23;width:4246;height:10" coordorigin="22,23" coordsize="4246,10">
              <v:shape style="position:absolute;left:22;top:23;width:4246;height:10" coordorigin="22,23" coordsize="4246,10" path="m22,32l4267,32,4267,23,22,23,22,32xe" filled="true" fillcolor="#d3d3d3" stroked="false">
                <v:path arrowok="t"/>
                <v:fill type="solid"/>
              </v:shape>
            </v:group>
            <v:group style="position:absolute;left:22;top:424;width:4246;height:322" coordorigin="22,424" coordsize="4246,322">
              <v:shape style="position:absolute;left:22;top:424;width:4246;height:322" coordorigin="22,424" coordsize="4246,322" path="m22,745l4267,745,4267,424,22,424,22,745xe" filled="true" fillcolor="#d3d3d3" stroked="false">
                <v:path arrowok="t"/>
                <v:fill type="solid"/>
              </v:shape>
            </v:group>
            <v:group style="position:absolute;left:24;top:32;width:4241;height:392" coordorigin="24,32" coordsize="4241,392">
              <v:shape style="position:absolute;left:24;top:32;width:4241;height:392" coordorigin="24,32" coordsize="4241,392" path="m24,424l4265,424,4265,32,24,32,24,424xe" filled="true" fillcolor="#d3d3d3" stroked="false">
                <v:path arrowok="t"/>
                <v:fill type="solid"/>
              </v:shape>
            </v:group>
            <v:group style="position:absolute;left:7;top:14;width:4260;height:2" coordorigin="7,14" coordsize="4260,2">
              <v:shape style="position:absolute;left:7;top:14;width:4260;height:2" coordorigin="7,14" coordsize="4260,0" path="m7,14l4267,14e" filled="false" stroked="true" strokeweight=".72003pt" strokecolor="#000000">
                <v:path arrowok="t"/>
              </v:shape>
            </v:group>
            <v:group style="position:absolute;left:22;top:27;width:4246;height:2" coordorigin="22,27" coordsize="4246,2">
              <v:shape style="position:absolute;left:22;top:27;width:4246;height:2" coordorigin="22,27" coordsize="4246,0" path="m22,27l4267,27e" filled="false" stroked="true" strokeweight=".53998pt" strokecolor="#d3d3d3">
                <v:path arrowok="t"/>
              </v:shape>
            </v:group>
            <v:group style="position:absolute;left:4282;top:14;width:5294;height:2" coordorigin="4282,14" coordsize="5294,2">
              <v:shape style="position:absolute;left:4282;top:14;width:5294;height:2" coordorigin="4282,14" coordsize="5294,0" path="m4282,14l9575,14e" filled="false" stroked="true" strokeweight=".72003pt" strokecolor="#000000">
                <v:path arrowok="t"/>
              </v:shape>
            </v:group>
            <v:group style="position:absolute;left:14;top:740;width:4260;height:2" coordorigin="14,740" coordsize="4260,2">
              <v:shape style="position:absolute;left:14;top:740;width:4260;height:2" coordorigin="14,740" coordsize="4260,0" path="m14,740l4274,740e" filled="false" stroked="true" strokeweight=".47998pt" strokecolor="#d3d3d3">
                <v:path arrowok="t"/>
              </v:shape>
            </v:group>
            <v:group style="position:absolute;left:14;top:7;width:2;height:754" coordorigin="14,7" coordsize="2,754">
              <v:shape style="position:absolute;left:14;top:7;width:2;height:754" coordorigin="14,7" coordsize="0,754" path="m14,7l14,761e" filled="false" stroked="true" strokeweight=".72pt" strokecolor="#000000">
                <v:path arrowok="t"/>
              </v:shape>
            </v:group>
            <v:group style="position:absolute;left:7;top:754;width:4260;height:2" coordorigin="7,754" coordsize="4260,2">
              <v:shape style="position:absolute;left:7;top:754;width:4260;height:2" coordorigin="7,754" coordsize="4260,0" path="m7,754l4267,754e" filled="false" stroked="true" strokeweight=".71997pt" strokecolor="#000000">
                <v:path arrowok="t"/>
              </v:shape>
            </v:group>
            <v:group style="position:absolute;left:4274;top:7;width:2;height:754" coordorigin="4274,7" coordsize="2,754">
              <v:shape style="position:absolute;left:4274;top:7;width:2;height:754" coordorigin="4274,7" coordsize="0,754" path="m4274,7l4274,761e" filled="false" stroked="true" strokeweight=".72pt" strokecolor="#000000">
                <v:path arrowok="t"/>
              </v:shape>
            </v:group>
            <v:group style="position:absolute;left:4282;top:754;width:5294;height:2" coordorigin="4282,754" coordsize="5294,2">
              <v:shape style="position:absolute;left:4282;top:754;width:5294;height:2" coordorigin="4282,754" coordsize="5294,0" path="m4282,754l9575,754e" filled="false" stroked="true" strokeweight=".71997pt" strokecolor="#000000">
                <v:path arrowok="t"/>
              </v:shape>
            </v:group>
            <v:group style="position:absolute;left:9582;top:7;width:2;height:754" coordorigin="9582,7" coordsize="2,754">
              <v:shape style="position:absolute;left:9582;top:7;width:2;height:754" coordorigin="9582,7" coordsize="0,754" path="m9582,7l9582,761e" filled="false" stroked="true" strokeweight=".71997pt" strokecolor="#000000">
                <v:path arrowok="t"/>
              </v:shape>
              <v:shape style="position:absolute;left:14;top:14;width:4260;height:740" type="#_x0000_t202" filled="false" stroked="false">
                <v:textbox inset="0,0,0,0">
                  <w:txbxContent>
                    <w:p>
                      <w:pPr>
                        <w:spacing w:before="69"/>
                        <w:ind w:left="9" w:right="0" w:firstLine="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xbxContent>
                </v:textbox>
                <w10:wrap type="none"/>
              </v:shape>
              <v:shape style="position:absolute;left:4274;top:14;width:5308;height:740" type="#_x0000_t202" filled="false" stroked="false">
                <v:textbox inset="0,0,0,0">
                  <w:txbxContent>
                    <w:p>
                      <w:pPr>
                        <w:spacing w:line="300" w:lineRule="auto" w:before="69"/>
                        <w:ind w:left="9" w:right="7" w:firstLine="0"/>
                        <w:jc w:val="left"/>
                        <w:rPr>
                          <w:rFonts w:ascii="宋体" w:hAnsi="宋体" w:cs="宋体" w:eastAsia="宋体" w:hint="default"/>
                          <w:sz w:val="18"/>
                          <w:szCs w:val="18"/>
                        </w:rPr>
                      </w:pPr>
                      <w:r>
                        <w:rPr>
                          <w:rFonts w:ascii="宋体" w:hAnsi="宋体" w:cs="宋体" w:eastAsia="宋体" w:hint="default"/>
                          <w:spacing w:val="-2"/>
                          <w:sz w:val="18"/>
                          <w:szCs w:val="18"/>
                        </w:rPr>
                        <w:t>公司现有董事、监事、高级管理人员共</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人，</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年实际支付</w:t>
                      </w:r>
                      <w:r>
                        <w:rPr>
                          <w:rFonts w:ascii="Times New Roman" w:hAnsi="Times New Roman" w:cs="Times New Roman" w:eastAsia="Times New Roman" w:hint="default"/>
                          <w:spacing w:val="-2"/>
                          <w:sz w:val="18"/>
                          <w:szCs w:val="18"/>
                        </w:rPr>
                        <w:t>134.12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sz w:val="23"/>
          <w:szCs w:val="23"/>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公司董事、监事、高级管理人员报告期内被授予的股权激励情况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w:t>
            </w:r>
          </w:p>
        </w:tc>
      </w:tr>
    </w:tbl>
    <w:p>
      <w:pPr>
        <w:spacing w:line="240" w:lineRule="auto" w:before="2"/>
        <w:rPr>
          <w:rFonts w:ascii="宋体" w:hAnsi="宋体" w:cs="宋体" w:eastAsia="宋体" w:hint="default"/>
          <w:b/>
          <w:bCs/>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t>公司在遵守国家相关法律法规的基础上，不断完善和健全薪酬体系。员工薪酬由“</w:t>
      </w:r>
      <w:r>
        <w:rPr>
          <w:color w:val="323232"/>
        </w:rPr>
        <w:t>基本工资+年终奖”两部分组成，基</w:t>
      </w:r>
      <w:r>
        <w:rPr>
          <w:color w:val="323232"/>
        </w:rPr>
        <w:t> </w:t>
      </w:r>
      <w:r>
        <w:rPr>
          <w:color w:val="323232"/>
          <w:spacing w:val="-2"/>
        </w:rPr>
        <w:t>本工资与员工岗位职级、出勤率、绩效考核等因素关联，年终奖的测算方式为基本工资*个人年度绩效系数*公司年度经营系</w:t>
      </w:r>
      <w:r>
        <w:rPr>
          <w:color w:val="323232"/>
          <w:spacing w:val="-64"/>
        </w:rPr>
        <w:t> </w:t>
      </w:r>
      <w:r>
        <w:rPr>
          <w:color w:val="323232"/>
          <w:spacing w:val="-64"/>
        </w:rPr>
      </w:r>
      <w:r>
        <w:rPr>
          <w:color w:val="323232"/>
          <w:spacing w:val="-2"/>
        </w:rPr>
        <w:t>数。秉承</w:t>
      </w:r>
      <w:r>
        <w:rPr>
          <w:spacing w:val="-2"/>
        </w:rPr>
        <w:t>“效率优先、兼顾公平、突出绩效”的薪酬分配原则的基础上，公司凸显人文关怀，为员工提供年度带薪假期、年</w:t>
      </w:r>
      <w:r>
        <w:rPr>
          <w:spacing w:val="-67"/>
        </w:rPr>
        <w:t> </w:t>
      </w:r>
      <w:r>
        <w:rPr>
          <w:spacing w:val="-67"/>
        </w:rPr>
      </w:r>
      <w:r>
        <w:rPr>
          <w:spacing w:val="-4"/>
        </w:rPr>
        <w:t>度健康体检、免费商业保险等福利政策，保障员工劳逸结合、身心健康；同时，公司还增设多元的福利活动，如</w:t>
      </w:r>
      <w:r>
        <w:rPr>
          <w:color w:val="323232"/>
          <w:spacing w:val="-4"/>
        </w:rPr>
        <w:t>结婚、生子、</w:t>
      </w:r>
      <w:r>
        <w:rPr>
          <w:color w:val="323232"/>
          <w:spacing w:val="-46"/>
        </w:rPr>
        <w:t> </w:t>
      </w:r>
      <w:r>
        <w:rPr>
          <w:color w:val="323232"/>
          <w:spacing w:val="-46"/>
        </w:rPr>
      </w:r>
      <w:r>
        <w:rPr>
          <w:color w:val="323232"/>
        </w:rPr>
        <w:t>生日、节日福利，</w:t>
      </w:r>
      <w:r>
        <w:rPr/>
        <w:t>部门活动经费，定期体育活动等，调动员工积极性，增强公司凝聚力，提升公司综合竞争力。</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员工培训作为现代企业人力资源管理的重要内容备受公司关注，为加强人才队伍建设，提升公司核心竞争力，保证公司</w:t>
      </w:r>
      <w:r>
        <w:rPr/>
        <w:t> </w:t>
      </w:r>
      <w:r>
        <w:rPr>
          <w:spacing w:val="-2"/>
        </w:rPr>
        <w:t>可持续发展，公司结合发展战略布局、人才需求，制定了科学、系统、规范的培训计划。公司现有的培训体系包括，对新员</w:t>
      </w:r>
      <w:r>
        <w:rPr>
          <w:spacing w:val="-65"/>
        </w:rPr>
        <w:t> </w:t>
      </w:r>
      <w:r>
        <w:rPr>
          <w:spacing w:val="-65"/>
        </w:rPr>
      </w:r>
      <w:r>
        <w:rPr>
          <w:spacing w:val="-2"/>
        </w:rPr>
        <w:t>工进行的一年多期培训，以企业文化、运作流程、规章制度介绍为主，结合实地参观体验；对客服体系全方位培训，提升产</w:t>
      </w:r>
      <w:r>
        <w:rPr>
          <w:spacing w:val="-68"/>
        </w:rPr>
        <w:t> </w:t>
      </w:r>
      <w:r>
        <w:rPr>
          <w:spacing w:val="-68"/>
        </w:rPr>
      </w:r>
      <w:r>
        <w:rPr>
          <w:spacing w:val="-2"/>
        </w:rPr>
        <w:t>品技术认知，沟通交流技巧等；对技术体进行系统一宣导，与时俱进探讨新技术发展，进行重难点技术问题答疑及常见问题</w:t>
      </w:r>
      <w:r>
        <w:rPr>
          <w:spacing w:val="-66"/>
        </w:rPr>
        <w:t> </w:t>
      </w:r>
      <w:r>
        <w:rPr>
          <w:spacing w:val="-66"/>
        </w:rPr>
      </w:r>
      <w:r>
        <w:rPr/>
        <w:t>排查，热点分析等。对不同阶段不同工作性质的员工进行多元化针对性的培训，有的放矢，提升员工企业认知，职业技能， 增强公司活力。</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64"/>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90" w:hanging="360"/>
        <w:jc w:val="left"/>
      </w:pPr>
      <w:r>
        <w:rPr/>
        <w:t>1．关于股东与股东大会 </w:t>
      </w:r>
      <w:r>
        <w:rPr>
          <w:spacing w:val="-9"/>
        </w:rPr>
        <w:t>公司严格按照《上市公司股东大会规则》、《公司章程》、《股东大会议事规则》等规定和要求召集、召开股东大会，平等</w:t>
      </w:r>
    </w:p>
    <w:p>
      <w:pPr>
        <w:pStyle w:val="BodyText"/>
        <w:spacing w:line="477" w:lineRule="auto" w:before="54"/>
        <w:ind w:right="3330"/>
        <w:jc w:val="left"/>
      </w:pPr>
      <w:r>
        <w:rPr/>
        <w:t>对待所有股东，并尽可能为股东参加股东大会提供便利，使其充分行使股东权利。 2．关于公司与控股股东</w:t>
      </w:r>
    </w:p>
    <w:p>
      <w:pPr>
        <w:pStyle w:val="BodyText"/>
        <w:spacing w:line="477" w:lineRule="auto" w:before="54"/>
        <w:ind w:right="90" w:firstLine="360"/>
        <w:jc w:val="left"/>
      </w:pPr>
      <w:r>
        <w:rPr>
          <w:spacing w:val="-2"/>
        </w:rPr>
        <w:t>公司控股股东严格规范自己的行为，没有超越股东大会直接或间接干预公司的决策和经营活动。公司拥有独立完整的业</w:t>
      </w:r>
      <w:r>
        <w:rPr/>
        <w:t> 务和自主经营能力，在业务、人员、资产、机构、财务上独立于控股股东，公司董事会、监事会和内部机构独立运作。 3．关于董事和董事会</w:t>
      </w:r>
    </w:p>
    <w:p>
      <w:pPr>
        <w:pStyle w:val="BodyText"/>
        <w:spacing w:line="477" w:lineRule="auto" w:before="54"/>
        <w:ind w:right="188" w:firstLine="360"/>
        <w:jc w:val="both"/>
      </w:pPr>
      <w:r>
        <w:rPr>
          <w:spacing w:val="-2"/>
        </w:rPr>
        <w:t>公司董事会设董事9名，其中独立董事3名，董事会的人数及人员构成符合法律、法规和《公司章程》的要求。公司董事</w:t>
      </w:r>
      <w:r>
        <w:rPr/>
        <w:t> </w:t>
      </w:r>
      <w:r>
        <w:rPr>
          <w:spacing w:val="-8"/>
        </w:rPr>
        <w:t>能够依据《董事会议事规则》、《独立董事制度》、《深圳证券交易所创业板上市公司规范运作指引》等开展工作，出席董事会</w:t>
      </w:r>
      <w:r>
        <w:rPr>
          <w:spacing w:val="-86"/>
        </w:rPr>
        <w:t> </w:t>
      </w:r>
      <w:r>
        <w:rPr>
          <w:spacing w:val="-86"/>
        </w:rPr>
      </w:r>
      <w:r>
        <w:rPr/>
        <w:t>和股东大会，勤勉尽责地履行职责和义务，同时积极参加相关培训，熟悉相关法律法规。</w:t>
      </w:r>
    </w:p>
    <w:p>
      <w:pPr>
        <w:pStyle w:val="BodyText"/>
        <w:spacing w:line="477" w:lineRule="auto" w:before="54"/>
        <w:ind w:left="514" w:right="90" w:hanging="360"/>
        <w:jc w:val="left"/>
      </w:pPr>
      <w:r>
        <w:rPr/>
        <w:t>4．关于监事和监事会 </w:t>
      </w:r>
      <w:r>
        <w:rPr>
          <w:spacing w:val="-2"/>
        </w:rPr>
        <w:t>公司监事会设监事3名，其中职工监事1名，监事会的人数和构成符合法律、法规的要求。公司监事能够按照《监事会议</w:t>
      </w:r>
    </w:p>
    <w:p>
      <w:pPr>
        <w:pStyle w:val="BodyText"/>
        <w:spacing w:line="477" w:lineRule="auto" w:before="54"/>
        <w:ind w:right="90"/>
        <w:jc w:val="left"/>
      </w:pPr>
      <w:r>
        <w:rPr>
          <w:spacing w:val="-2"/>
        </w:rPr>
        <w:t>事规则》的要求，认真履行自己的职责，对公司重大事项、关联交易、财务状况以及董事、高管人员履行职责的合法合规性</w:t>
      </w:r>
      <w:r>
        <w:rPr>
          <w:spacing w:val="-68"/>
        </w:rPr>
        <w:t> </w:t>
      </w:r>
      <w:r>
        <w:rPr>
          <w:spacing w:val="-68"/>
        </w:rPr>
      </w:r>
      <w:r>
        <w:rPr/>
        <w:t>进行监督。</w:t>
      </w:r>
    </w:p>
    <w:p>
      <w:pPr>
        <w:pStyle w:val="BodyText"/>
        <w:spacing w:line="477" w:lineRule="auto" w:before="54"/>
        <w:ind w:left="514" w:right="90" w:hanging="360"/>
        <w:jc w:val="left"/>
      </w:pPr>
      <w:r>
        <w:rPr/>
        <w:t>5．关于绩效评价与激励约束机制 </w:t>
      </w:r>
      <w:r>
        <w:rPr>
          <w:spacing w:val="-4"/>
        </w:rPr>
        <w:t>公司正逐步建立和完善公正、透明的董事、监事和经理人员的绩效评价标准和激励约束机制，高层管理人员的聘任公开、</w:t>
      </w:r>
    </w:p>
    <w:p>
      <w:pPr>
        <w:pStyle w:val="BodyText"/>
        <w:spacing w:line="477" w:lineRule="auto" w:before="54"/>
        <w:ind w:right="7470"/>
        <w:jc w:val="left"/>
      </w:pPr>
      <w:r>
        <w:rPr/>
        <w:t>透明，符合法律法规的规定。 6．关于信息披露与透明度</w:t>
      </w:r>
    </w:p>
    <w:p>
      <w:pPr>
        <w:pStyle w:val="BodyText"/>
        <w:spacing w:line="477" w:lineRule="auto" w:before="54"/>
        <w:ind w:right="90" w:firstLine="360"/>
        <w:jc w:val="left"/>
      </w:pPr>
      <w:r>
        <w:rPr>
          <w:spacing w:val="-5"/>
        </w:rPr>
        <w:t>公司严格按照有关法律法规以及《信息披露制度》、《投资者关系管理制度》等的要求，真实、准确、及时、公平、完整</w:t>
      </w:r>
      <w:r>
        <w:rPr/>
        <w:t> 地披露有关信息；并指定公司董事会秘书负责信息披露工作，协调公司与投资者的关系，接待股东来访，回答投资者咨询；</w:t>
      </w:r>
      <w:hyperlink r:id="rId12">
        <w:r>
          <w:rPr/>
          <w:t> 并指定《证券时报》和巨潮资讯网（www.cninfo.com.cn）为公司信息披露的指定报纸和网站，确保公司所有股东能够以平</w:t>
        </w:r>
      </w:hyperlink>
      <w:r>
        <w:rPr/>
        <w:t> 等的机会获得信息。</w:t>
      </w:r>
    </w:p>
    <w:p>
      <w:pPr>
        <w:pStyle w:val="BodyText"/>
        <w:spacing w:line="477" w:lineRule="auto" w:before="54"/>
        <w:ind w:left="514" w:right="90" w:hanging="360"/>
        <w:jc w:val="left"/>
      </w:pPr>
      <w:r>
        <w:rPr/>
        <w:t>7．关于相关利益者 </w:t>
      </w:r>
      <w:r>
        <w:rPr>
          <w:spacing w:val="-2"/>
        </w:rPr>
        <w:t>公司充分尊重和维护相关利益者的合法权益，实现社会、股东、公司、员工等各方面利益的协调平衡，诚信对待供应商</w:t>
      </w:r>
    </w:p>
    <w:p>
      <w:pPr>
        <w:pStyle w:val="BodyText"/>
        <w:spacing w:line="240" w:lineRule="auto" w:before="54"/>
        <w:ind w:right="90"/>
        <w:jc w:val="left"/>
      </w:pPr>
      <w:r>
        <w:rPr/>
        <w:t>和客户，坚持与相关利益者互利共赢的原则，共同推动公司持续、稳健发展。</w:t>
      </w:r>
    </w:p>
    <w:p>
      <w:pPr>
        <w:spacing w:after="0" w:line="240" w:lineRule="auto"/>
        <w:jc w:val="left"/>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90"/>
        <w:jc w:val="left"/>
      </w:pPr>
      <w:r>
        <w:rPr/>
        <w:t>公司治理的实际状况与中国证监会发布的有关上市公司治理的规范性文件是否存在重大差异</w:t>
      </w:r>
    </w:p>
    <w:p>
      <w:pPr>
        <w:pStyle w:val="BodyText"/>
        <w:spacing w:line="340" w:lineRule="auto" w:before="116"/>
        <w:ind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91" w:firstLine="360"/>
        <w:jc w:val="both"/>
      </w:pPr>
      <w:r>
        <w:rPr>
          <w:spacing w:val="-6"/>
        </w:rPr>
        <w:t>报告期内，公司严格按照《公司法》、《证券法》等有关法律、法规和《公司章程》的要求规范运作，建立、健全公司法</w:t>
      </w:r>
      <w:r>
        <w:rPr/>
        <w:t> </w:t>
      </w:r>
      <w:r>
        <w:rPr>
          <w:spacing w:val="-2"/>
        </w:rPr>
        <w:t>人治理结构。公司与控股股东、实际控制人在业务、人员、资产、机构、财务等方面完全分开，具有独立完整的业务及自主</w:t>
      </w:r>
      <w:r>
        <w:rPr>
          <w:spacing w:val="-65"/>
        </w:rPr>
        <w:t> </w:t>
      </w:r>
      <w:r>
        <w:rPr>
          <w:spacing w:val="-65"/>
        </w:rPr>
      </w:r>
      <w:r>
        <w:rPr/>
        <w:t>经营能力。</w:t>
      </w:r>
    </w:p>
    <w:p>
      <w:pPr>
        <w:pStyle w:val="BodyText"/>
        <w:spacing w:line="477" w:lineRule="auto" w:before="54"/>
        <w:ind w:left="514" w:right="90"/>
        <w:jc w:val="left"/>
      </w:pPr>
      <w:r>
        <w:rPr/>
        <w:t>1．业务独立 </w:t>
      </w:r>
      <w:r>
        <w:rPr>
          <w:spacing w:val="-2"/>
        </w:rPr>
        <w:t>公司拥有完整独立的研发、运营、采购和销售系统，具有独立完整的业务体系及面向市场独立经营的能力，不依赖于股</w:t>
      </w:r>
    </w:p>
    <w:p>
      <w:pPr>
        <w:pStyle w:val="BodyText"/>
        <w:spacing w:line="477" w:lineRule="auto" w:before="54"/>
        <w:ind w:left="514" w:right="3870" w:hanging="360"/>
        <w:jc w:val="left"/>
      </w:pPr>
      <w:r>
        <w:rPr/>
        <w:t>东或其它任何关联方，也不存在与控股股东、实际控制人之间的同业竞争。 2．人员独立</w:t>
      </w:r>
    </w:p>
    <w:p>
      <w:pPr>
        <w:pStyle w:val="BodyText"/>
        <w:spacing w:line="477" w:lineRule="auto" w:before="54"/>
        <w:ind w:right="191" w:firstLine="270"/>
        <w:jc w:val="both"/>
      </w:pPr>
      <w:r>
        <w:rPr/>
        <w:t>公司人员、劳动、人事及工资完全独立。公司的董事、监事、高级管理人员的任职，均按照《公司法》及其他法律、法 </w:t>
      </w:r>
      <w:r>
        <w:rPr>
          <w:spacing w:val="-2"/>
        </w:rPr>
        <w:t>规、规范性文件、《公司章程》规定的程序进行。公司董事、监事及高级管理人员等均在公司工作并领取薪酬；公司财务人</w:t>
      </w:r>
      <w:r>
        <w:rPr>
          <w:spacing w:val="-65"/>
        </w:rPr>
        <w:t> </w:t>
      </w:r>
      <w:r>
        <w:rPr>
          <w:spacing w:val="-65"/>
        </w:rPr>
      </w:r>
      <w:r>
        <w:rPr/>
        <w:t>员没有在控股股东、其下属企业或其他企业兼职。</w:t>
      </w:r>
    </w:p>
    <w:p>
      <w:pPr>
        <w:pStyle w:val="BodyText"/>
        <w:spacing w:line="477" w:lineRule="auto" w:before="54"/>
        <w:ind w:left="514" w:right="90"/>
        <w:jc w:val="left"/>
      </w:pPr>
      <w:r>
        <w:rPr/>
        <w:t>3．资产完整 </w:t>
      </w:r>
      <w:r>
        <w:rPr>
          <w:spacing w:val="-2"/>
        </w:rPr>
        <w:t>公司资产完整，与控股股东产权关系界定清晰，拥有独立的经营系统和配套设施以及商标（商标申请权）、专利、专有</w:t>
      </w:r>
    </w:p>
    <w:p>
      <w:pPr>
        <w:pStyle w:val="BodyText"/>
        <w:spacing w:line="477" w:lineRule="auto" w:before="54"/>
        <w:ind w:right="90"/>
        <w:jc w:val="left"/>
      </w:pPr>
      <w:r>
        <w:rPr>
          <w:spacing w:val="-2"/>
        </w:rPr>
        <w:t>技术、计算机软件著作权等资产。公司对全部资产拥有完整的控制支配权，不存在货币资金或其他资产被股东占用而损害公</w:t>
      </w:r>
      <w:r>
        <w:rPr>
          <w:spacing w:val="-66"/>
        </w:rPr>
        <w:t> </w:t>
      </w:r>
      <w:r>
        <w:rPr>
          <w:spacing w:val="-66"/>
        </w:rPr>
      </w:r>
      <w:r>
        <w:rPr/>
        <w:t>司利益的情况，公司资产完整且独立。</w:t>
      </w:r>
    </w:p>
    <w:p>
      <w:pPr>
        <w:pStyle w:val="BodyText"/>
        <w:spacing w:line="477" w:lineRule="auto" w:before="54"/>
        <w:ind w:left="514" w:right="90"/>
        <w:jc w:val="left"/>
      </w:pPr>
      <w:r>
        <w:rPr/>
        <w:t>4．机构独立 </w:t>
      </w:r>
      <w:r>
        <w:rPr>
          <w:spacing w:val="-2"/>
        </w:rPr>
        <w:t>本公司具有独立健全的法人治理结构，董事会、监事会等内部机构独立运作，不存在与控股股东及其职能部门之间的从</w:t>
      </w:r>
    </w:p>
    <w:p>
      <w:pPr>
        <w:pStyle w:val="BodyText"/>
        <w:spacing w:line="477" w:lineRule="auto" w:before="54"/>
        <w:ind w:left="514" w:right="90" w:hanging="360"/>
        <w:jc w:val="left"/>
      </w:pPr>
      <w:r>
        <w:rPr>
          <w:spacing w:val="-4"/>
        </w:rPr>
        <w:t>属关系。各部门独立履行其职责，负责公司的生产经营活动，其履行职能不受控股股东、其他有关部门或单位、个人的干预。</w:t>
      </w:r>
      <w:r>
        <w:rPr>
          <w:spacing w:val="-44"/>
        </w:rPr>
        <w:t> </w:t>
      </w:r>
      <w:r>
        <w:rPr>
          <w:spacing w:val="-44"/>
        </w:rPr>
      </w:r>
      <w:r>
        <w:rPr/>
        <w:t>5．财务独立 </w:t>
      </w:r>
      <w:r>
        <w:rPr>
          <w:spacing w:val="-2"/>
        </w:rPr>
        <w:t>本公司设有独立的财务部门、财务负责人和财务会计工作人员，建立了独立的财务规章制度和财务核算体系，独立进行</w:t>
      </w:r>
    </w:p>
    <w:p>
      <w:pPr>
        <w:pStyle w:val="BodyText"/>
        <w:spacing w:line="477" w:lineRule="auto" w:before="54"/>
        <w:ind w:right="90"/>
        <w:jc w:val="left"/>
      </w:pPr>
      <w:r>
        <w:rPr>
          <w:spacing w:val="-4"/>
        </w:rPr>
        <w:t>财务决策。公司开设了独立的银行账户，依法独立纳税，不存在与股东单位及其关联方共用银行账户的情况，也不存在资金、</w:t>
      </w:r>
      <w:r>
        <w:rPr>
          <w:spacing w:val="-46"/>
        </w:rPr>
        <w:t> </w:t>
      </w:r>
      <w:r>
        <w:rPr>
          <w:spacing w:val="-46"/>
        </w:rPr>
      </w:r>
      <w:r>
        <w:rPr/>
        <w:t>资产被股东单位及其关联方非法占用的情况。</w:t>
      </w:r>
    </w:p>
    <w:p>
      <w:pPr>
        <w:spacing w:line="240" w:lineRule="auto" w:before="7"/>
        <w:rPr>
          <w:rFonts w:ascii="宋体" w:hAnsi="宋体" w:cs="宋体" w:eastAsia="宋体" w:hint="default"/>
          <w:sz w:val="17"/>
          <w:szCs w:val="17"/>
        </w:rPr>
      </w:pPr>
    </w:p>
    <w:p>
      <w:pPr>
        <w:pStyle w:val="Heading2"/>
        <w:spacing w:line="240" w:lineRule="auto"/>
        <w:ind w:right="9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436" w:lineRule="auto" w:before="51"/>
        <w:ind w:left="513" w:right="7071" w:hanging="360"/>
        <w:jc w:val="left"/>
      </w:pPr>
      <w:r>
        <w:rPr/>
        <w:t>连续两次未亲自出席董事会的说明 无</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13"/>
          <w:szCs w:val="13"/>
        </w:rPr>
      </w:pPr>
    </w:p>
    <w:p>
      <w:pPr>
        <w:pStyle w:val="BodyText"/>
        <w:spacing w:line="240" w:lineRule="auto"/>
        <w:ind w:left="514" w:right="0"/>
        <w:jc w:val="left"/>
      </w:pPr>
      <w:r>
        <w:rPr/>
        <w:t>报告期内独立董事对公司有关事项未提出异议。</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独立董事对公司有关建议是否被采纳</w:t>
      </w:r>
    </w:p>
    <w:p>
      <w:pPr>
        <w:pStyle w:val="BodyText"/>
        <w:spacing w:line="340"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77" w:lineRule="auto" w:before="117"/>
        <w:ind w:right="90" w:firstLine="360"/>
        <w:jc w:val="left"/>
      </w:pPr>
      <w:r>
        <w:rPr>
          <w:spacing w:val="-4"/>
        </w:rPr>
        <w:t>报告期内，独立董事认真履行职责，本着诚信勤勉义务，利用各自专业上的优势对公司收购资产、关联交易、对外担保、</w:t>
      </w:r>
      <w:r>
        <w:rPr/>
        <w:t> </w:t>
      </w:r>
      <w:r>
        <w:rPr>
          <w:spacing w:val="-2"/>
        </w:rPr>
        <w:t>聘任董事、高管等重要事项作出独立、客观、公正的判断，发表了独立意见，并根据公司实际情况，科学审慎决策，给公司</w:t>
      </w:r>
      <w:r>
        <w:rPr>
          <w:spacing w:val="-65"/>
        </w:rPr>
        <w:t> </w:t>
      </w:r>
      <w:r>
        <w:rPr>
          <w:spacing w:val="-65"/>
        </w:rPr>
      </w:r>
      <w:r>
        <w:rPr>
          <w:spacing w:val="-2"/>
        </w:rPr>
        <w:t>的经营管理、规范运作提出了合理的建议并均被得以采纳；为公司未来的健康发展出谋划策，切实维护了公司和股东尤其是</w:t>
      </w:r>
      <w:r>
        <w:rPr>
          <w:spacing w:val="-66"/>
        </w:rPr>
        <w:t> </w:t>
      </w:r>
      <w:r>
        <w:rPr>
          <w:spacing w:val="-66"/>
        </w:rPr>
      </w:r>
      <w:r>
        <w:rPr/>
        <w:t>社会公众股东的利益。</w:t>
      </w:r>
    </w:p>
    <w:p>
      <w:pPr>
        <w:spacing w:line="240" w:lineRule="auto" w:before="7"/>
        <w:rPr>
          <w:rFonts w:ascii="宋体" w:hAnsi="宋体" w:cs="宋体" w:eastAsia="宋体" w:hint="default"/>
          <w:sz w:val="17"/>
          <w:szCs w:val="17"/>
        </w:rPr>
      </w:pPr>
    </w:p>
    <w:p>
      <w:pPr>
        <w:pStyle w:val="Heading2"/>
        <w:spacing w:line="240" w:lineRule="auto"/>
        <w:ind w:right="9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8" w:firstLine="450"/>
        <w:jc w:val="both"/>
      </w:pPr>
      <w:r>
        <w:rPr/>
        <w:t>董事会下设审计委员会、薪酬与考核委员会。报告期内，各专业委员会在公司章程及工作条例范围内，充分发挥专业 性，科学决策，审慎监督，切实履行职责，为董事会决策提供专业支持。</w:t>
      </w:r>
    </w:p>
    <w:p>
      <w:pPr>
        <w:pStyle w:val="BodyText"/>
        <w:spacing w:line="451" w:lineRule="auto" w:before="54"/>
        <w:ind w:left="513" w:right="181"/>
        <w:jc w:val="left"/>
      </w:pPr>
      <w:r>
        <w:rPr>
          <w:rFonts w:ascii="Times New Roman" w:hAnsi="Times New Roman" w:cs="Times New Roman" w:eastAsia="Times New Roman" w:hint="default"/>
        </w:rPr>
        <w:t>1.</w:t>
      </w:r>
      <w:r>
        <w:rPr/>
        <w:t>审计委员会 公司董事会审计委员会由3名董事组成，分别为郑学定、郭斐、陈向军，其中郑学定、郭斐为独立董事，会计专业的独</w:t>
      </w:r>
    </w:p>
    <w:p>
      <w:pPr>
        <w:pStyle w:val="BodyText"/>
        <w:spacing w:line="477" w:lineRule="auto" w:before="74"/>
        <w:ind w:left="153" w:right="90"/>
        <w:jc w:val="left"/>
      </w:pPr>
      <w:r>
        <w:rPr>
          <w:spacing w:val="-4"/>
        </w:rPr>
        <w:t>立董事郑学定担任主任。报告期内，审计委员会严格按照相关法律法规和《公司章程》的规定积极履行职责，定期召开会议，</w:t>
      </w:r>
      <w:r>
        <w:rPr>
          <w:spacing w:val="-44"/>
        </w:rPr>
        <w:t> </w:t>
      </w:r>
      <w:r>
        <w:rPr>
          <w:spacing w:val="-44"/>
        </w:rPr>
      </w:r>
      <w:r>
        <w:rPr>
          <w:spacing w:val="-2"/>
        </w:rPr>
        <w:t>就公司年度审计报告与会计师进行沟通，对公司的年度审计计划及内部控制制度提出建议，审核公司的财务信息，对重大关</w:t>
      </w:r>
      <w:r>
        <w:rPr>
          <w:spacing w:val="-66"/>
        </w:rPr>
        <w:t> </w:t>
      </w:r>
      <w:r>
        <w:rPr>
          <w:spacing w:val="-66"/>
        </w:rPr>
      </w:r>
      <w:r>
        <w:rPr/>
        <w:t>联交易进行审计，监督募集资金的存放及使用情况，并对既往年度审计工作作出总结。</w:t>
      </w:r>
    </w:p>
    <w:p>
      <w:pPr>
        <w:pStyle w:val="BodyText"/>
        <w:spacing w:line="516" w:lineRule="auto" w:before="95"/>
        <w:ind w:left="513" w:right="3961" w:hanging="90"/>
        <w:jc w:val="left"/>
      </w:pPr>
      <w:r>
        <w:rPr/>
        <w:t>（1）本年度审计委员会会议召开情况 报告期内，审计委员会共召开了4次审计委员会会议，具体情况如下：</w:t>
      </w:r>
    </w:p>
    <w:p>
      <w:pPr>
        <w:pStyle w:val="BodyText"/>
        <w:spacing w:line="477" w:lineRule="auto" w:before="25"/>
        <w:ind w:left="153" w:right="191" w:firstLine="360"/>
        <w:jc w:val="both"/>
      </w:pPr>
      <w:r>
        <w:rPr/>
        <w:t>1）2015年4月8日，召开第三届审计委员会第四次会议，审议通过了公司《2014年度财务报表</w:t>
      </w:r>
      <w:r>
        <w:rPr>
          <w:spacing w:val="-90"/>
        </w:rPr>
        <w:t>》、</w:t>
      </w:r>
      <w:r>
        <w:rPr/>
        <w:t>《关于2014年度募集资</w:t>
      </w:r>
      <w:r>
        <w:rPr/>
        <w:t> 金的存放与使用情况的专项报告</w:t>
      </w:r>
      <w:r>
        <w:rPr>
          <w:spacing w:val="-90"/>
        </w:rPr>
        <w:t>》</w:t>
      </w:r>
      <w:r>
        <w:rPr>
          <w:spacing w:val="-118"/>
        </w:rPr>
        <w:t>、</w:t>
      </w:r>
      <w:r>
        <w:rPr/>
        <w:t>《2014年度控股股东及其他关联方占用资金情况</w:t>
      </w:r>
      <w:r>
        <w:rPr>
          <w:spacing w:val="-28"/>
        </w:rPr>
        <w:t>、</w:t>
      </w:r>
      <w:r>
        <w:rPr/>
        <w:t>公司对外担保事项的审计报告</w:t>
      </w:r>
      <w:r>
        <w:rPr>
          <w:spacing w:val="-90"/>
        </w:rPr>
        <w:t>》</w:t>
      </w:r>
      <w:r>
        <w:rPr>
          <w:spacing w:val="-118"/>
        </w:rPr>
        <w:t>、</w:t>
      </w:r>
      <w:r>
        <w:rPr/>
        <w:t>《2014</w:t>
      </w:r>
      <w:r>
        <w:rPr/>
        <w:t> 年4季度货币资金的专项检查报告</w:t>
      </w:r>
      <w:r>
        <w:rPr>
          <w:spacing w:val="-90"/>
        </w:rPr>
        <w:t>》</w:t>
      </w:r>
      <w:r>
        <w:rPr>
          <w:spacing w:val="-148"/>
        </w:rPr>
        <w:t>、</w:t>
      </w:r>
      <w:r>
        <w:rPr/>
        <w:t>《2014年度内部控制自我评价报告</w:t>
      </w:r>
      <w:r>
        <w:rPr>
          <w:spacing w:val="-90"/>
        </w:rPr>
        <w:t>》</w:t>
      </w:r>
      <w:r>
        <w:rPr>
          <w:spacing w:val="-148"/>
        </w:rPr>
        <w:t>、</w:t>
      </w:r>
      <w:r>
        <w:rPr/>
        <w:t>《关于续聘瑞华会计师事务所审核意见</w:t>
      </w:r>
      <w:r>
        <w:rPr>
          <w:spacing w:val="-90"/>
        </w:rPr>
        <w:t>》</w:t>
      </w:r>
      <w:r>
        <w:rPr>
          <w:spacing w:val="-148"/>
        </w:rPr>
        <w:t>、</w:t>
      </w:r>
      <w:r>
        <w:rPr/>
        <w:t>《关于2015</w:t>
      </w:r>
      <w:r>
        <w:rPr/>
        <w:t> 年度日常关联交易预计的议案</w:t>
      </w:r>
      <w:r>
        <w:rPr>
          <w:spacing w:val="-90"/>
        </w:rPr>
        <w:t>》、</w:t>
      </w:r>
      <w:r>
        <w:rPr/>
        <w:t>《2014年度内部审计工作总结</w:t>
      </w:r>
      <w:r>
        <w:rPr>
          <w:spacing w:val="-90"/>
        </w:rPr>
        <w:t>》、</w:t>
      </w:r>
      <w:r>
        <w:rPr/>
        <w:t>《2015年度内部审计工作计划</w:t>
      </w:r>
      <w:r>
        <w:rPr>
          <w:spacing w:val="-90"/>
        </w:rPr>
        <w:t>》</w:t>
      </w:r>
      <w:r>
        <w:rPr/>
        <w:t>；</w:t>
      </w:r>
    </w:p>
    <w:p>
      <w:pPr>
        <w:pStyle w:val="BodyText"/>
        <w:spacing w:line="477" w:lineRule="auto" w:before="54"/>
        <w:ind w:right="191" w:firstLine="360"/>
        <w:jc w:val="both"/>
      </w:pPr>
      <w:r>
        <w:rPr/>
        <w:t>2</w:t>
      </w:r>
      <w:r>
        <w:rPr>
          <w:spacing w:val="-17"/>
        </w:rPr>
        <w:t>）</w:t>
      </w:r>
      <w:r>
        <w:rPr/>
        <w:t>2015年4月22日</w:t>
      </w:r>
      <w:r>
        <w:rPr>
          <w:spacing w:val="-17"/>
        </w:rPr>
        <w:t>，</w:t>
      </w:r>
      <w:r>
        <w:rPr/>
        <w:t>召开第三届审计委员会第五次会议</w:t>
      </w:r>
      <w:r>
        <w:rPr>
          <w:spacing w:val="-17"/>
        </w:rPr>
        <w:t>，</w:t>
      </w:r>
      <w:r>
        <w:rPr/>
        <w:t>审议通过了公</w:t>
      </w:r>
      <w:r>
        <w:rPr>
          <w:spacing w:val="-17"/>
        </w:rPr>
        <w:t>司</w:t>
      </w:r>
      <w:r>
        <w:rPr/>
        <w:t>《2015年1季度财务报表</w:t>
      </w:r>
      <w:r>
        <w:rPr>
          <w:spacing w:val="-90"/>
        </w:rPr>
        <w:t>》</w:t>
      </w:r>
      <w:r>
        <w:rPr>
          <w:spacing w:val="-107"/>
        </w:rPr>
        <w:t>、</w:t>
      </w:r>
      <w:r>
        <w:rPr/>
        <w:t>《关于2015年1</w:t>
      </w:r>
      <w:r>
        <w:rPr>
          <w:spacing w:val="1"/>
        </w:rPr>
        <w:t>季</w:t>
      </w:r>
      <w:r>
        <w:rPr/>
        <w:t>度</w:t>
      </w:r>
      <w:r>
        <w:rPr/>
        <w:t> 募集资金的存放与使用情况的专项报告</w:t>
      </w:r>
      <w:r>
        <w:rPr>
          <w:spacing w:val="-90"/>
        </w:rPr>
        <w:t>》、</w:t>
      </w:r>
      <w:r>
        <w:rPr/>
        <w:t>《2015年1季度控股股东及其他关联方占用资金情况、公司对外担保事项的审计报</w:t>
      </w:r>
      <w:r>
        <w:rPr/>
        <w:t> 告</w:t>
      </w:r>
      <w:r>
        <w:rPr>
          <w:spacing w:val="-90"/>
        </w:rPr>
        <w:t>》、</w:t>
      </w:r>
      <w:r>
        <w:rPr/>
        <w:t>《2015年1季度货币资金的专项检查报告</w:t>
      </w:r>
      <w:r>
        <w:rPr>
          <w:spacing w:val="-90"/>
        </w:rPr>
        <w:t>》、</w:t>
      </w:r>
      <w:r>
        <w:rPr/>
        <w:t>《内审部2015年1季度工作报告</w:t>
      </w:r>
      <w:r>
        <w:rPr>
          <w:spacing w:val="-90"/>
        </w:rPr>
        <w:t>》</w:t>
      </w:r>
      <w:r>
        <w:rPr/>
        <w:t>；</w:t>
      </w:r>
    </w:p>
    <w:p>
      <w:pPr>
        <w:pStyle w:val="BodyText"/>
        <w:spacing w:line="477" w:lineRule="auto" w:before="54"/>
        <w:ind w:right="191" w:firstLine="360"/>
        <w:jc w:val="both"/>
      </w:pPr>
      <w:r>
        <w:rPr/>
        <w:t>3</w:t>
      </w:r>
      <w:r>
        <w:rPr>
          <w:spacing w:val="-17"/>
        </w:rPr>
        <w:t>）</w:t>
      </w:r>
      <w:r>
        <w:rPr/>
        <w:t>2015年8月21日</w:t>
      </w:r>
      <w:r>
        <w:rPr>
          <w:spacing w:val="-17"/>
        </w:rPr>
        <w:t>，</w:t>
      </w:r>
      <w:r>
        <w:rPr/>
        <w:t>召开第三届审计委员会第六次会议</w:t>
      </w:r>
      <w:r>
        <w:rPr>
          <w:spacing w:val="-17"/>
        </w:rPr>
        <w:t>，</w:t>
      </w:r>
      <w:r>
        <w:rPr/>
        <w:t>审议通过了公</w:t>
      </w:r>
      <w:r>
        <w:rPr>
          <w:spacing w:val="-17"/>
        </w:rPr>
        <w:t>司</w:t>
      </w:r>
      <w:r>
        <w:rPr/>
        <w:t>《2015年半年度财务报表</w:t>
      </w:r>
      <w:r>
        <w:rPr>
          <w:spacing w:val="-90"/>
        </w:rPr>
        <w:t>》</w:t>
      </w:r>
      <w:r>
        <w:rPr>
          <w:spacing w:val="-107"/>
        </w:rPr>
        <w:t>、</w:t>
      </w:r>
      <w:r>
        <w:rPr/>
        <w:t>《关于2015年</w:t>
      </w:r>
      <w:r>
        <w:rPr>
          <w:spacing w:val="1"/>
        </w:rPr>
        <w:t>半</w:t>
      </w:r>
      <w:r>
        <w:rPr/>
        <w:t>年</w:t>
      </w:r>
      <w:r>
        <w:rPr/>
        <w:t> 度募集资金的存放与使用情况的专项报告</w:t>
      </w:r>
      <w:r>
        <w:rPr>
          <w:spacing w:val="-90"/>
        </w:rPr>
        <w:t>》、</w:t>
      </w:r>
      <w:r>
        <w:rPr/>
        <w:t>《2015年2季度控股股东及其他关联方占用资金情况、公司对外担保事项的审计</w:t>
      </w:r>
      <w:r>
        <w:rPr/>
        <w:t> 报告</w:t>
      </w:r>
      <w:r>
        <w:rPr>
          <w:spacing w:val="-90"/>
        </w:rPr>
        <w:t>》、</w:t>
      </w:r>
      <w:r>
        <w:rPr/>
        <w:t>《内部审计制度</w:t>
      </w:r>
      <w:r>
        <w:rPr>
          <w:spacing w:val="-90"/>
        </w:rPr>
        <w:t>》</w:t>
      </w:r>
      <w:r>
        <w:rPr/>
        <w:t>（2015年8月</w:t>
      </w:r>
      <w:r>
        <w:rPr>
          <w:spacing w:val="-90"/>
        </w:rPr>
        <w:t>）、</w:t>
      </w:r>
      <w:r>
        <w:rPr/>
        <w:t>《内审部2015年2季度工作报告</w:t>
      </w:r>
      <w:r>
        <w:rPr>
          <w:spacing w:val="-90"/>
        </w:rPr>
        <w:t>》</w:t>
      </w:r>
      <w:r>
        <w:rPr/>
        <w:t>；</w:t>
      </w:r>
    </w:p>
    <w:p>
      <w:pPr>
        <w:pStyle w:val="BodyText"/>
        <w:spacing w:line="240" w:lineRule="auto" w:before="54"/>
        <w:ind w:left="514" w:right="90"/>
        <w:jc w:val="left"/>
      </w:pPr>
      <w:r>
        <w:rPr/>
        <w:t>4）2015年10月21日，召开第三届审计委员会第七次会议，审议通过了公司《2015年3季度财务报表</w:t>
      </w:r>
      <w:r>
        <w:rPr>
          <w:spacing w:val="-90"/>
        </w:rPr>
        <w:t>》、</w:t>
      </w:r>
      <w:r>
        <w:rPr/>
        <w:t>《关于2015年3季</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98"/>
        <w:jc w:val="both"/>
      </w:pPr>
      <w:r>
        <w:rPr/>
        <w:t>度募集资金的存放与使用情况的专项报告</w:t>
      </w:r>
      <w:r>
        <w:rPr>
          <w:spacing w:val="-90"/>
        </w:rPr>
        <w:t>》、</w:t>
      </w:r>
      <w:r>
        <w:rPr/>
        <w:t>《2015年3季度控股股东及其他关联方占用资金情况、公司对外担保事项的审计</w:t>
      </w:r>
      <w:r>
        <w:rPr/>
        <w:t> 报告</w:t>
      </w:r>
      <w:r>
        <w:rPr>
          <w:spacing w:val="-90"/>
        </w:rPr>
        <w:t>》、</w:t>
      </w:r>
      <w:r>
        <w:rPr/>
        <w:t>《2015年3季度货币资金的专项检查报告</w:t>
      </w:r>
      <w:r>
        <w:rPr>
          <w:spacing w:val="-90"/>
        </w:rPr>
        <w:t>》、</w:t>
      </w:r>
      <w:r>
        <w:rPr/>
        <w:t>《内审部2015年3季度工作报告</w:t>
      </w:r>
      <w:r>
        <w:rPr>
          <w:spacing w:val="-90"/>
        </w:rPr>
        <w:t>》</w:t>
      </w:r>
      <w:r>
        <w:rPr/>
        <w:t>。</w:t>
      </w:r>
    </w:p>
    <w:p>
      <w:pPr>
        <w:pStyle w:val="BodyText"/>
        <w:spacing w:line="477" w:lineRule="auto" w:before="54"/>
        <w:ind w:left="604" w:right="5760" w:hanging="90"/>
        <w:jc w:val="left"/>
      </w:pPr>
      <w:r>
        <w:rPr/>
        <w:t>（2）对公司2015年度财务报告审计的工作情况 1）确定总体审计计划</w:t>
      </w:r>
    </w:p>
    <w:p>
      <w:pPr>
        <w:pStyle w:val="BodyText"/>
        <w:spacing w:line="477" w:lineRule="auto" w:before="54"/>
        <w:ind w:right="90" w:firstLine="450"/>
        <w:jc w:val="left"/>
      </w:pPr>
      <w:r>
        <w:rPr/>
        <w:t>2015年12月18日，审计委员会组织公司内部审计部门与瑞华会计师事务所（特殊普通合伙），对2015年年度报告中财 </w:t>
      </w:r>
      <w:r>
        <w:rPr>
          <w:spacing w:val="-4"/>
        </w:rPr>
        <w:t>务报告及相关专项报告进行沟通交流，审计委员会认真听取了瑞华会计师事务所（特殊普通合伙）关于年度审计的工作计划，</w:t>
      </w:r>
      <w:r>
        <w:rPr>
          <w:spacing w:val="-44"/>
        </w:rPr>
        <w:t> </w:t>
      </w:r>
      <w:r>
        <w:rPr>
          <w:spacing w:val="-44"/>
        </w:rPr>
      </w:r>
      <w:r>
        <w:rPr/>
        <w:t>对工作流程及工作范围的细节进行提问，与内部审计部门协商确定本次审计工作的重点，对审计报告的具体内容提出建议， 并协商确定了公司2015年度财务及相关专项报告审计工作的时间安排和总体审计策略。</w:t>
      </w:r>
    </w:p>
    <w:p>
      <w:pPr>
        <w:pStyle w:val="BodyText"/>
        <w:spacing w:line="477" w:lineRule="auto" w:before="54"/>
        <w:ind w:left="514" w:right="90"/>
        <w:jc w:val="left"/>
      </w:pPr>
      <w:r>
        <w:rPr/>
        <w:t>2）审核公司财务信息 </w:t>
      </w:r>
      <w:r>
        <w:rPr>
          <w:spacing w:val="-2"/>
        </w:rPr>
        <w:t>报告期内，审计委员会召开的4次会议分别审议通过了公司《2014年度财务报表》、《2015年1季度财务报表》、《2015</w:t>
      </w:r>
    </w:p>
    <w:p>
      <w:pPr>
        <w:pStyle w:val="BodyText"/>
        <w:spacing w:line="477" w:lineRule="auto" w:before="54"/>
        <w:ind w:right="191"/>
        <w:jc w:val="both"/>
      </w:pPr>
      <w:r>
        <w:rPr/>
        <w:t>年半年度财务报表》、《2015年3季度财务报表》及募集资金存放及使用情况、控股股东及其他关联方占用资金情况、公司 </w:t>
      </w:r>
      <w:r>
        <w:rPr>
          <w:spacing w:val="-2"/>
        </w:rPr>
        <w:t>对外担保事项等的专项报告，认为：公司财务报表依照公司会计政策编制、会计政策运用恰当，会计估计合理，符合新企业</w:t>
      </w:r>
      <w:r>
        <w:rPr>
          <w:spacing w:val="-66"/>
        </w:rPr>
        <w:t> </w:t>
      </w:r>
      <w:r>
        <w:rPr>
          <w:spacing w:val="-66"/>
        </w:rPr>
      </w:r>
      <w:r>
        <w:rPr/>
        <w:t>会计准则及财政部发布的有关规定要求。</w:t>
      </w:r>
    </w:p>
    <w:p>
      <w:pPr>
        <w:pStyle w:val="BodyText"/>
        <w:spacing w:line="477" w:lineRule="auto" w:before="54"/>
        <w:ind w:left="514" w:right="90"/>
        <w:jc w:val="left"/>
      </w:pPr>
      <w:r>
        <w:rPr/>
        <w:t>3）监督公司的内部审计制度及其实施 </w:t>
      </w:r>
      <w:r>
        <w:rPr>
          <w:spacing w:val="-2"/>
        </w:rPr>
        <w:t>报告期内，董事会审计委员会对公司内部控制制度进行检查和评估后，认为：公司现有的内部控制制度较为完善、合理</w:t>
      </w:r>
    </w:p>
    <w:p>
      <w:pPr>
        <w:pStyle w:val="BodyText"/>
        <w:spacing w:line="477" w:lineRule="auto" w:before="54"/>
        <w:ind w:right="191"/>
        <w:jc w:val="both"/>
      </w:pPr>
      <w:r>
        <w:rPr>
          <w:spacing w:val="-2"/>
        </w:rPr>
        <w:t>及有效，基本符合我国有关法规和证券监管部门的要求和公司内部控制的设定与执行，符合目前公司经营实际情况需要，在</w:t>
      </w:r>
      <w:r>
        <w:rPr>
          <w:spacing w:val="-66"/>
        </w:rPr>
        <w:t> </w:t>
      </w:r>
      <w:r>
        <w:rPr>
          <w:spacing w:val="-66"/>
        </w:rPr>
      </w:r>
      <w:r>
        <w:rPr>
          <w:spacing w:val="-2"/>
        </w:rPr>
        <w:t>企业管理的关键环节发挥了较好的控制与防范作用。公司的内部控制在整体上是有效的，为公司防范风险、规范运作提供了</w:t>
      </w:r>
      <w:r>
        <w:rPr>
          <w:spacing w:val="-66"/>
        </w:rPr>
        <w:t> </w:t>
      </w:r>
      <w:r>
        <w:rPr>
          <w:spacing w:val="-66"/>
        </w:rPr>
      </w:r>
      <w:r>
        <w:rPr/>
        <w:t>强有力的保障，推动公司稳健发展。</w:t>
      </w:r>
    </w:p>
    <w:p>
      <w:pPr>
        <w:pStyle w:val="BodyText"/>
        <w:spacing w:line="477" w:lineRule="auto" w:before="54"/>
        <w:ind w:left="514" w:right="90"/>
        <w:jc w:val="left"/>
      </w:pPr>
      <w:r>
        <w:rPr/>
        <w:t>4）对外部审计机构的工作进行评价 </w:t>
      </w:r>
      <w:r>
        <w:rPr>
          <w:spacing w:val="-2"/>
        </w:rPr>
        <w:t>对瑞华会计师事务所（特殊普通合伙）在2015年度对公司提供的审计服务进行评估，认为：瑞华会计师事务所（特殊普</w:t>
      </w:r>
    </w:p>
    <w:p>
      <w:pPr>
        <w:pStyle w:val="BodyText"/>
        <w:spacing w:line="477" w:lineRule="auto" w:before="54"/>
        <w:ind w:right="189"/>
        <w:jc w:val="both"/>
      </w:pPr>
      <w:r>
        <w:rPr>
          <w:spacing w:val="-2"/>
        </w:rPr>
        <w:t>通合伙）在对公司2015年度会计报表审计过程中尽职、尽责，按照中国注册会计师审计准则要求，按时完成了公司2015年年</w:t>
      </w:r>
      <w:r>
        <w:rPr>
          <w:spacing w:val="-58"/>
        </w:rPr>
        <w:t> </w:t>
      </w:r>
      <w:r>
        <w:rPr>
          <w:spacing w:val="-58"/>
        </w:rPr>
      </w:r>
      <w:r>
        <w:rPr>
          <w:spacing w:val="-2"/>
        </w:rPr>
        <w:t>报审计工作，表现了良好的职业规范和精神，客观、公正的对公司会计报表发表了意见。根据其职业操守与履职能力，审计</w:t>
      </w:r>
      <w:r>
        <w:rPr>
          <w:spacing w:val="-66"/>
        </w:rPr>
        <w:t> </w:t>
      </w:r>
      <w:r>
        <w:rPr>
          <w:spacing w:val="-66"/>
        </w:rPr>
      </w:r>
      <w:r>
        <w:rPr/>
        <w:t>委员会建议董事会提请股东大会续聘其为公司2016年度财务审计机构。</w:t>
      </w:r>
    </w:p>
    <w:p>
      <w:pPr>
        <w:pStyle w:val="BodyText"/>
        <w:spacing w:line="477" w:lineRule="auto" w:before="54"/>
        <w:ind w:left="514" w:right="180"/>
        <w:jc w:val="left"/>
      </w:pPr>
      <w:r>
        <w:rPr/>
        <w:t>2.薪酬与考核委员会 公司董事会薪酬与考核委员会由3名董事组成，分别为郭斐、何剑、张学君，其中郭斐、何剑为独立董事，法律专业的</w:t>
      </w:r>
    </w:p>
    <w:p>
      <w:pPr>
        <w:pStyle w:val="BodyText"/>
        <w:spacing w:line="477" w:lineRule="auto" w:before="54"/>
        <w:ind w:left="514" w:right="90" w:hanging="360"/>
        <w:jc w:val="left"/>
      </w:pPr>
      <w:r>
        <w:rPr/>
        <w:t>独立董事郭斐担任主任。 </w:t>
      </w:r>
      <w:r>
        <w:rPr>
          <w:spacing w:val="-2"/>
        </w:rPr>
        <w:t>薪酬与考核委员会严格遵照根据中国证监会、深圳证券交易所的有关规定及公司《薪酬与考核委员会工作细则》，切实</w:t>
      </w:r>
    </w:p>
    <w:p>
      <w:pPr>
        <w:pStyle w:val="BodyText"/>
        <w:spacing w:line="477" w:lineRule="auto" w:before="54"/>
        <w:ind w:right="191"/>
        <w:jc w:val="both"/>
      </w:pPr>
      <w:r>
        <w:rPr>
          <w:spacing w:val="-2"/>
        </w:rPr>
        <w:t>履行职责，主要负责制定公司董事及高级管理人员的考核标准并进行考核，制定、审查公司董事及高级管理人员的薪酬政策</w:t>
      </w:r>
      <w:r>
        <w:rPr>
          <w:spacing w:val="-66"/>
        </w:rPr>
        <w:t> </w:t>
      </w:r>
      <w:r>
        <w:rPr>
          <w:spacing w:val="-66"/>
        </w:rPr>
      </w:r>
      <w:r>
        <w:rPr/>
        <w:t>与方案，并指导董事会完善公司薪酬体系。</w:t>
      </w:r>
    </w:p>
    <w:p>
      <w:pPr>
        <w:pStyle w:val="BodyText"/>
        <w:spacing w:line="240" w:lineRule="auto" w:before="54"/>
        <w:ind w:left="514" w:right="90"/>
        <w:jc w:val="left"/>
      </w:pPr>
      <w:r>
        <w:rPr/>
        <w:t>报告期内，薪酬与考核委员会共召开了2次薪酬与考核委员会会议，具体情况如下：</w:t>
      </w:r>
    </w:p>
    <w:p>
      <w:pPr>
        <w:spacing w:after="0" w:line="240" w:lineRule="auto"/>
        <w:jc w:val="left"/>
        <w:sectPr>
          <w:footerReference w:type="default" r:id="rId19"/>
          <w:pgSz w:w="11910" w:h="16840"/>
          <w:pgMar w:footer="982" w:header="877" w:top="1100" w:bottom="1180" w:left="980" w:right="940"/>
          <w:pgNumType w:start="74"/>
        </w:sectPr>
      </w:pPr>
    </w:p>
    <w:p>
      <w:pPr>
        <w:spacing w:line="240" w:lineRule="auto" w:before="11"/>
        <w:rPr>
          <w:rFonts w:ascii="宋体" w:hAnsi="宋体" w:cs="宋体" w:eastAsia="宋体" w:hint="default"/>
          <w:sz w:val="27"/>
          <w:szCs w:val="27"/>
        </w:rPr>
      </w:pPr>
    </w:p>
    <w:p>
      <w:pPr>
        <w:pStyle w:val="BodyText"/>
        <w:spacing w:line="477" w:lineRule="auto" w:before="44"/>
        <w:ind w:right="151" w:firstLine="360"/>
        <w:jc w:val="both"/>
      </w:pPr>
      <w:r>
        <w:rPr>
          <w:spacing w:val="-2"/>
        </w:rPr>
        <w:t>1.2015年4月8日，召开第三届董事会薪酬与考核委员会第二次会议，审议通过了《关于公司高级管理人员2015年度薪酬</w:t>
      </w:r>
      <w:r>
        <w:rPr/>
        <w:t> 的议案》；</w:t>
      </w:r>
    </w:p>
    <w:p>
      <w:pPr>
        <w:pStyle w:val="BodyText"/>
        <w:spacing w:line="477" w:lineRule="auto" w:before="54"/>
        <w:ind w:right="158" w:firstLine="360"/>
        <w:jc w:val="both"/>
      </w:pPr>
      <w:r>
        <w:rPr/>
        <w:t>2.2015年8月21日，召开第三届董事会薪酬与考核委员会第三次会议，审议通过了《关于股票期权与限制性股票激励计 划第二个行权/解锁期可行权/解锁的议案》。</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13"/>
          <w:szCs w:val="13"/>
        </w:rPr>
      </w:pPr>
    </w:p>
    <w:p>
      <w:pPr>
        <w:pStyle w:val="BodyText"/>
        <w:spacing w:line="240" w:lineRule="auto"/>
        <w:ind w:left="514" w:right="0"/>
        <w:jc w:val="left"/>
      </w:pPr>
      <w:r>
        <w:rPr/>
        <w:t>公司监事会对报告期内的监督事项无异议。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149" w:firstLine="360"/>
        <w:jc w:val="both"/>
      </w:pPr>
      <w:r>
        <w:rPr>
          <w:spacing w:val="-2"/>
        </w:rPr>
        <w:t>根据《公司法》、公司《董事、监事和高级管理人员薪酬管理制度》的有关规定，结合公司实际经营情况及同行业整体</w:t>
      </w:r>
      <w:r>
        <w:rPr/>
        <w:t> </w:t>
      </w:r>
      <w:r>
        <w:rPr>
          <w:spacing w:val="7"/>
        </w:rPr>
        <w:t>薪酬水平，经公司董事会薪酬与考核委员会提议，2015年4月8</w:t>
      </w:r>
      <w:r>
        <w:rPr>
          <w:spacing w:val="-26"/>
        </w:rPr>
        <w:t> </w:t>
      </w:r>
      <w:r>
        <w:rPr/>
        <w:t>日第三届董事会第十次会议审议通过了《关于公司高级管</w:t>
      </w:r>
      <w:r>
        <w:rPr/>
        <w:t> 理人员</w:t>
      </w:r>
      <w:r>
        <w:rPr>
          <w:spacing w:val="-41"/>
        </w:rPr>
        <w:t> </w:t>
      </w:r>
      <w:r>
        <w:rPr/>
        <w:t>2015</w:t>
      </w:r>
      <w:r>
        <w:rPr>
          <w:spacing w:val="-41"/>
        </w:rPr>
        <w:t> </w:t>
      </w:r>
      <w:r>
        <w:rPr/>
        <w:t>年度薪酬的议案》。公司高级管理人员的年薪分为基本年薪和绩效奖金两部分，基本年薪按照月度发放，绩效</w:t>
      </w:r>
      <w:r>
        <w:rPr/>
        <w:t> </w:t>
      </w:r>
      <w:r>
        <w:rPr>
          <w:spacing w:val="-2"/>
        </w:rPr>
        <w:t>奖金在次年发放。薪酬与考核委员会负责监督薪酬制度的执行情况，并审查高级管理人员的年度履职情况。公司建立了与现</w:t>
      </w:r>
      <w:r>
        <w:rPr>
          <w:spacing w:val="-66"/>
        </w:rPr>
        <w:t> </w:t>
      </w:r>
      <w:r>
        <w:rPr>
          <w:spacing w:val="-66"/>
        </w:rPr>
      </w:r>
      <w:r>
        <w:rPr>
          <w:spacing w:val="-2"/>
        </w:rPr>
        <w:t>代企业制度相适应的激励约束机制，积极调动高级管理人员的积极性、主动性和创造性。报告期内，公司高级管理人员积极</w:t>
      </w:r>
      <w:r>
        <w:rPr>
          <w:spacing w:val="-66"/>
        </w:rPr>
        <w:t> </w:t>
      </w:r>
      <w:r>
        <w:rPr>
          <w:spacing w:val="-66"/>
        </w:rPr>
      </w:r>
      <w:r>
        <w:rPr/>
        <w:t>落实公司股东大会和董事会相关决议，认真履行职责。</w:t>
      </w: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一、重大缺陷</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8pt;height:651.9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0"/>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董事、监事和高级管理人员舞弊；对已经</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务流程有效性的影响程度、发生的可能</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公告的财务报告出现的重大差错进行错报</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性作判断：</w:t>
                        </w:r>
                      </w:p>
                    </w:tc>
                  </w:tr>
                  <w:tr>
                    <w:trPr>
                      <w:trHeight w:val="33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更正；监管部门责令公司对以前年度财务</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一、重大缺陷</w:t>
                        </w:r>
                      </w:p>
                    </w:tc>
                  </w:tr>
                  <w:tr>
                    <w:trPr>
                      <w:trHeight w:val="331"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报告存在的差错进行改正；</w:t>
                        </w:r>
                        <w:r>
                          <w:rPr>
                            <w:rFonts w:ascii="宋体" w:hAnsi="宋体" w:cs="宋体" w:eastAsia="宋体" w:hint="default"/>
                            <w:spacing w:val="-64"/>
                            <w:sz w:val="18"/>
                            <w:szCs w:val="18"/>
                          </w:rPr>
                          <w:t> </w:t>
                        </w:r>
                        <w:r>
                          <w:rPr>
                            <w:rFonts w:ascii="宋体" w:hAnsi="宋体" w:cs="宋体" w:eastAsia="宋体" w:hint="default"/>
                            <w:sz w:val="18"/>
                            <w:szCs w:val="18"/>
                          </w:rPr>
                          <w:t>注册会计师发</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12" w:right="0"/>
                          <w:jc w:val="left"/>
                          <w:rPr>
                            <w:rFonts w:ascii="宋体" w:hAnsi="宋体" w:cs="宋体" w:eastAsia="宋体" w:hint="default"/>
                            <w:sz w:val="18"/>
                            <w:szCs w:val="18"/>
                          </w:rPr>
                        </w:pPr>
                        <w:r>
                          <w:rPr>
                            <w:rFonts w:ascii="宋体" w:hAnsi="宋体" w:cs="宋体" w:eastAsia="宋体" w:hint="default"/>
                            <w:sz w:val="18"/>
                            <w:szCs w:val="18"/>
                          </w:rPr>
                          <w:t>如果缺陷发生的可能性高，会严重降</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现财务报告存在重大错报，而内部控制在</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低工作效率或效果、或严重加大效果的</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运行过程中未能发现该错报；审计委员会</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不确定性、或使之严重偏离预期目标为</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以及内部审计部门对财务报告内部控制监</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重大缺陷。</w:t>
                        </w:r>
                      </w:p>
                    </w:tc>
                  </w:tr>
                  <w:tr>
                    <w:trPr>
                      <w:trHeight w:val="35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督无效。</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二、重要缺陷</w:t>
                        </w:r>
                      </w:p>
                    </w:tc>
                  </w:tr>
                  <w:tr>
                    <w:trPr>
                      <w:trHeight w:val="351"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二、重要缺陷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如果缺陷发生的可能性较高，会显著降</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未依照公认会计准则选择和应用会计政</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低工作效率或效果、或显著加大效果的</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策；对于非常规或特殊交易的账务处理没</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不确定性、或使之显著偏离预期目标为</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有建立相应的控制机制或没有实施且没有</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重要缺陷。</w:t>
                        </w:r>
                      </w:p>
                    </w:tc>
                  </w:tr>
                  <w:tr>
                    <w:trPr>
                      <w:trHeight w:val="33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相应的补偿性控制；对于期末财务报告过</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三、一般缺陷</w:t>
                        </w:r>
                      </w:p>
                    </w:tc>
                  </w:tr>
                  <w:tr>
                    <w:trPr>
                      <w:trHeight w:val="976"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23" w:right="0"/>
                          <w:jc w:val="left"/>
                          <w:rPr>
                            <w:rFonts w:ascii="宋体" w:hAnsi="宋体" w:cs="宋体" w:eastAsia="宋体" w:hint="default"/>
                            <w:sz w:val="18"/>
                            <w:szCs w:val="18"/>
                          </w:rPr>
                        </w:pPr>
                        <w:r>
                          <w:rPr>
                            <w:rFonts w:ascii="宋体" w:hAnsi="宋体" w:cs="宋体" w:eastAsia="宋体" w:hint="default"/>
                            <w:sz w:val="18"/>
                            <w:szCs w:val="18"/>
                          </w:rPr>
                          <w:t>程的控制存在一项或多项缺陷且不能合理</w:t>
                        </w:r>
                      </w:p>
                      <w:p>
                        <w:pPr>
                          <w:pStyle w:val="TableParagraph"/>
                          <w:spacing w:line="319" w:lineRule="auto" w:before="76"/>
                          <w:ind w:left="23" w:right="48"/>
                          <w:jc w:val="left"/>
                          <w:rPr>
                            <w:rFonts w:ascii="宋体" w:hAnsi="宋体" w:cs="宋体" w:eastAsia="宋体" w:hint="default"/>
                            <w:sz w:val="18"/>
                            <w:szCs w:val="18"/>
                          </w:rPr>
                        </w:pPr>
                        <w:r>
                          <w:rPr>
                            <w:rFonts w:ascii="宋体" w:hAnsi="宋体" w:cs="宋体" w:eastAsia="宋体" w:hint="default"/>
                            <w:sz w:val="18"/>
                            <w:szCs w:val="18"/>
                          </w:rPr>
                          <w:t>保证编制的财务报表达到真实、准确的目 标。</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9"/>
                          <w:ind w:left="22" w:right="20"/>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性、或使之偏离预期目标为一般缺陷</w:t>
                        </w:r>
                      </w:p>
                    </w:tc>
                  </w:tr>
                  <w:tr>
                    <w:trPr>
                      <w:trHeight w:val="27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23" w:right="0"/>
                          <w:jc w:val="left"/>
                          <w:rPr>
                            <w:rFonts w:ascii="宋体" w:hAnsi="宋体" w:cs="宋体" w:eastAsia="宋体" w:hint="default"/>
                            <w:sz w:val="18"/>
                            <w:szCs w:val="18"/>
                          </w:rPr>
                        </w:pPr>
                        <w:r>
                          <w:rPr>
                            <w:rFonts w:ascii="宋体" w:hAnsi="宋体" w:cs="宋体" w:eastAsia="宋体" w:hint="default"/>
                            <w:sz w:val="18"/>
                            <w:szCs w:val="18"/>
                          </w:rPr>
                          <w:t>三、一般缺陷</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除上述重大缺陷、重要缺陷之外的其他控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制缺陷。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一、重大缺陷</w:t>
                        </w:r>
                      </w:p>
                    </w:tc>
                  </w:tr>
                  <w:tr>
                    <w:trPr>
                      <w:trHeight w:val="35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一、重大缺陷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收</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利润总额</w:t>
                        </w: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r>
                  <w:tr>
                    <w:trPr>
                      <w:trHeight w:val="34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二、重要缺陷</w:t>
                        </w:r>
                      </w:p>
                    </w:tc>
                  </w:tr>
                  <w:tr>
                    <w:trPr>
                      <w:trHeight w:val="35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二、重要缺陷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≤错报金额≤资产总额</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≤错报金额≤资产总额的</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p>
                    </w:tc>
                  </w:tr>
                  <w:tr>
                    <w:trPr>
                      <w:trHeight w:val="625"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≤错报金额≤收入总 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≤错报金额≤利</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1"/>
                          <w:jc w:val="left"/>
                          <w:rPr>
                            <w:rFonts w:ascii="宋体" w:hAnsi="宋体" w:cs="宋体" w:eastAsia="宋体" w:hint="default"/>
                            <w:sz w:val="18"/>
                            <w:szCs w:val="18"/>
                          </w:rPr>
                        </w:pP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 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w:t>
                        </w:r>
                      </w:p>
                    </w:tc>
                  </w:tr>
                  <w:tr>
                    <w:trPr>
                      <w:trHeight w:val="33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33"/>
                          <w:jc w:val="left"/>
                          <w:rPr>
                            <w:rFonts w:ascii="宋体" w:hAnsi="宋体" w:cs="宋体" w:eastAsia="宋体" w:hint="default"/>
                            <w:sz w:val="18"/>
                            <w:szCs w:val="18"/>
                          </w:rPr>
                        </w:pPr>
                        <w:r>
                          <w:rPr>
                            <w:rFonts w:ascii="宋体" w:hAnsi="宋体" w:cs="宋体" w:eastAsia="宋体" w:hint="default"/>
                            <w:sz w:val="18"/>
                            <w:szCs w:val="18"/>
                          </w:rPr>
                          <w:t>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w:t>
                        </w:r>
                        <w:r>
                          <w:rPr>
                            <w:rFonts w:ascii="宋体" w:hAnsi="宋体" w:cs="宋体" w:eastAsia="宋体" w:hint="default"/>
                            <w:sz w:val="18"/>
                            <w:szCs w:val="18"/>
                          </w:rPr>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46"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三、一般缺陷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三、一般缺陷</w:t>
                        </w:r>
                      </w:p>
                    </w:tc>
                  </w:tr>
                  <w:tr>
                    <w:trPr>
                      <w:trHeight w:val="336"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收入总额</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74"/>
                            <w:sz w:val="18"/>
                            <w:szCs w:val="18"/>
                          </w:rPr>
                          <w:t>；</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收入总</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；利润总额的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p>
                    </w:tc>
                  </w:tr>
                  <w:tr>
                    <w:trPr>
                      <w:trHeight w:val="351"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9" w:space="0" w:color="FFFFFF"/>
                        </w:tcBorders>
                      </w:tcPr>
                      <w:p>
                        <w:pPr/>
                      </w:p>
                    </w:tc>
                    <w:tc>
                      <w:tcPr>
                        <w:tcW w:w="3050" w:type="dxa"/>
                        <w:tcBorders>
                          <w:top w:val="nil" w:sz="6" w:space="0" w:color="auto"/>
                          <w:left w:val="single" w:sz="9" w:space="0" w:color="FFFFFF"/>
                          <w:bottom w:val="single" w:sz="4" w:space="0" w:color="000000"/>
                          <w:right w:val="single" w:sz="9" w:space="0" w:color="FFFFFF"/>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before="44"/>
        <w:ind w:left="0" w:right="183"/>
        <w:jc w:val="right"/>
      </w:pPr>
      <w:r>
        <w:rPr/>
        <w:pict>
          <v:shape style="position:absolute;margin-left:376.6203pt;margin-top:62.512009pt;width:158.25pt;height:263.650pt;mso-position-horizontal-relative:page;mso-position-vertical-relative:paragraph;z-index:-7571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351" w:lineRule="exact"/>
        <w:ind w:left="669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8pt;height:17.6pt;mso-position-horizontal-relative:char;mso-position-vertical-relative:line" coordorigin="0,0" coordsize="2996,352">
            <v:group style="position:absolute;left:0;top:0;width:2996;height:352" coordorigin="0,0" coordsize="2996,352">
              <v:shape style="position:absolute;left:0;top:0;width:2996;height:352" coordorigin="0,0" coordsize="2996,352" path="m0,352l2995,352,2995,0,0,0,0,352xe" filled="true" fillcolor="#ffffff" stroked="false">
                <v:path arrowok="t"/>
                <v:fill type="solid"/>
              </v:shape>
            </v:group>
          </v:group>
        </w:pict>
      </w:r>
      <w:r>
        <w:rPr>
          <w:rFonts w:ascii="宋体" w:hAnsi="宋体" w:cs="宋体" w:eastAsia="宋体" w:hint="default"/>
          <w:position w:val="-6"/>
          <w:sz w:val="20"/>
          <w:szCs w:val="20"/>
        </w:rPr>
      </w:r>
    </w:p>
    <w:p>
      <w:pPr>
        <w:spacing w:after="0" w:line="351"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firstLine="450"/>
              <w:jc w:val="left"/>
              <w:rPr>
                <w:rFonts w:ascii="宋体" w:hAnsi="宋体" w:cs="宋体" w:eastAsia="宋体" w:hint="default"/>
                <w:sz w:val="18"/>
                <w:szCs w:val="18"/>
              </w:rPr>
            </w:pPr>
            <w:r>
              <w:rPr>
                <w:rFonts w:ascii="宋体" w:hAnsi="宋体" w:cs="宋体" w:eastAsia="宋体" w:hint="default"/>
                <w:sz w:val="18"/>
                <w:szCs w:val="18"/>
              </w:rPr>
              <w:t>我们认为，银之杰公司于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日在所有重大方面保持了按照财政部颁布的《内部会计控制规范—基本规 </w:t>
            </w:r>
            <w:r>
              <w:rPr>
                <w:rFonts w:ascii="宋体" w:hAnsi="宋体" w:cs="宋体" w:eastAsia="宋体" w:hint="default"/>
                <w:spacing w:val="-3"/>
                <w:sz w:val="18"/>
                <w:szCs w:val="18"/>
              </w:rPr>
              <w:t>范（试行）》的有关规范标准中与财务报表相关的有效的内部控制。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40" w:lineRule="auto" w:before="116"/>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64"/>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48020002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梅月欣、昝丽涛</w:t>
            </w:r>
          </w:p>
        </w:tc>
      </w:tr>
    </w:tbl>
    <w:p>
      <w:pPr>
        <w:spacing w:line="240" w:lineRule="auto" w:before="5"/>
        <w:rPr>
          <w:rFonts w:ascii="宋体" w:hAnsi="宋体" w:cs="宋体" w:eastAsia="宋体" w:hint="default"/>
          <w:b/>
          <w:bCs/>
          <w:sz w:val="27"/>
          <w:szCs w:val="27"/>
        </w:rPr>
      </w:pPr>
    </w:p>
    <w:p>
      <w:pPr>
        <w:pStyle w:val="BodyText"/>
        <w:spacing w:line="240" w:lineRule="auto" w:before="44"/>
        <w:ind w:left="3427" w:right="3464"/>
        <w:jc w:val="center"/>
      </w:pPr>
      <w:r>
        <w:rPr/>
        <w:t>审计报告正文</w:t>
      </w:r>
    </w:p>
    <w:p>
      <w:pPr>
        <w:spacing w:line="240" w:lineRule="auto" w:before="8"/>
        <w:rPr>
          <w:rFonts w:ascii="宋体" w:hAnsi="宋体" w:cs="宋体" w:eastAsia="宋体" w:hint="default"/>
          <w:sz w:val="11"/>
          <w:szCs w:val="11"/>
        </w:rPr>
      </w:pPr>
    </w:p>
    <w:p>
      <w:pPr>
        <w:pStyle w:val="BodyText"/>
        <w:spacing w:line="240" w:lineRule="auto" w:before="44"/>
        <w:ind w:right="90"/>
        <w:jc w:val="left"/>
      </w:pPr>
      <w:r>
        <w:rPr/>
        <w:t>深圳市银之杰科技股份有限公司全体股东：</w:t>
      </w:r>
    </w:p>
    <w:p>
      <w:pPr>
        <w:spacing w:line="240" w:lineRule="auto" w:before="12"/>
        <w:rPr>
          <w:rFonts w:ascii="宋体" w:hAnsi="宋体" w:cs="宋体" w:eastAsia="宋体" w:hint="default"/>
          <w:sz w:val="14"/>
          <w:szCs w:val="14"/>
        </w:rPr>
      </w:pPr>
    </w:p>
    <w:p>
      <w:pPr>
        <w:pStyle w:val="BodyText"/>
        <w:spacing w:line="300" w:lineRule="auto"/>
        <w:ind w:right="190" w:firstLine="360"/>
        <w:jc w:val="both"/>
      </w:pPr>
      <w:r>
        <w:rPr>
          <w:spacing w:val="-2"/>
        </w:rPr>
        <w:t>我们审计了后附的深圳市银之杰科技股份有限公司（以下简称“银之杰公司”）的财务报表，包括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w:t>
      </w:r>
      <w:r>
        <w:rPr>
          <w:spacing w:val="-2"/>
        </w:rPr>
        <w:t>及母公司的资产负债表，</w:t>
      </w:r>
      <w:r>
        <w:rPr>
          <w:rFonts w:ascii="Times New Roman" w:hAnsi="Times New Roman" w:cs="Times New Roman" w:eastAsia="Times New Roman" w:hint="default"/>
          <w:spacing w:val="-2"/>
        </w:rPr>
        <w:t>2015</w:t>
      </w:r>
      <w:r>
        <w:rPr>
          <w:spacing w:val="-2"/>
        </w:rPr>
        <w:t>年度合并及母公司的利润表、合并及母公司的现金流量表和合并及母公司的股东权益变动表以</w:t>
      </w:r>
      <w:r>
        <w:rPr>
          <w:spacing w:val="-60"/>
        </w:rPr>
        <w:t> </w:t>
      </w:r>
      <w:r>
        <w:rPr>
          <w:spacing w:val="-60"/>
        </w:rPr>
      </w:r>
      <w:r>
        <w:rPr/>
        <w:t>及财务报表附注。</w:t>
      </w:r>
    </w:p>
    <w:p>
      <w:pPr>
        <w:pStyle w:val="BodyText"/>
        <w:spacing w:line="432" w:lineRule="exact" w:before="16"/>
        <w:ind w:left="514" w:right="90"/>
        <w:jc w:val="left"/>
      </w:pPr>
      <w:r>
        <w:rPr/>
        <w:t>一、管理层对财务报表的责任 </w:t>
      </w:r>
      <w:r>
        <w:rPr>
          <w:spacing w:val="-4"/>
        </w:rPr>
        <w:t>编制和公允列报财务报表是银之杰公司管理层的责任。这种责任包括：（</w:t>
      </w:r>
      <w:r>
        <w:rPr>
          <w:rFonts w:ascii="Times New Roman" w:hAnsi="Times New Roman" w:cs="Times New Roman" w:eastAsia="Times New Roman" w:hint="default"/>
          <w:spacing w:val="-4"/>
        </w:rPr>
        <w:t>1</w:t>
      </w:r>
      <w:r>
        <w:rPr>
          <w:spacing w:val="-4"/>
        </w:rPr>
        <w:t>）按照企业会计准则的规定编制财务报表，并</w:t>
      </w:r>
    </w:p>
    <w:p>
      <w:pPr>
        <w:pStyle w:val="BodyText"/>
        <w:spacing w:line="240" w:lineRule="auto" w:before="15"/>
        <w:ind w:right="90"/>
        <w:jc w:val="left"/>
      </w:pPr>
      <w:r>
        <w:rPr/>
        <w:t>使其实现公允反映</w:t>
      </w:r>
      <w:r>
        <w:rPr>
          <w:spacing w:val="-90"/>
        </w:rPr>
        <w:t>；</w:t>
      </w:r>
      <w:r>
        <w:rPr/>
        <w:t>（</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432" w:lineRule="exact" w:before="47"/>
        <w:ind w:left="514" w:right="90"/>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5"/>
        <w:ind w:right="9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39"/>
        <w:ind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439" w:lineRule="auto" w:before="139"/>
        <w:ind w:left="514" w:right="3150"/>
        <w:jc w:val="left"/>
      </w:pPr>
      <w:r>
        <w:rPr/>
        <w:t>我们相信，我们获取的审计证据是充分、适当的，为发表审计意见提供了基础。 三、审计意见</w:t>
      </w:r>
    </w:p>
    <w:p>
      <w:pPr>
        <w:pStyle w:val="BodyText"/>
        <w:spacing w:line="240" w:lineRule="auto" w:before="47"/>
        <w:ind w:left="514" w:right="90"/>
        <w:jc w:val="left"/>
      </w:pPr>
      <w:r>
        <w:rPr/>
        <w:t>我们认为，上述财务报表在所有重大方面按照企业会计准则的规定编制，公允反映了深圳市银之杰科技股份有限公司</w:t>
      </w:r>
    </w:p>
    <w:p>
      <w:pPr>
        <w:pStyle w:val="BodyText"/>
        <w:spacing w:line="240" w:lineRule="auto" w:before="76"/>
        <w:ind w:right="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2015</w:t>
      </w:r>
      <w:r>
        <w:rPr/>
        <w:t>年度合并及母公司的经营成果和现金流量。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5485" w:val="left" w:leader="none"/>
          <w:tab w:pos="7178" w:val="left" w:leader="none"/>
          <w:tab w:pos="7238" w:val="left" w:leader="none"/>
        </w:tabs>
        <w:spacing w:line="439" w:lineRule="auto" w:before="143"/>
        <w:ind w:left="5456" w:right="2203" w:hanging="5303"/>
        <w:jc w:val="left"/>
      </w:pPr>
      <w:r>
        <w:rPr/>
        <w:t>瑞华会计师事务所（特殊普通合伙）</w:t>
        <w:tab/>
        <w:tab/>
        <w:t> </w:t>
      </w:r>
      <w:r>
        <w:rPr>
          <w:spacing w:val="-1"/>
        </w:rPr>
        <w:t>中国注册会计师</w:t>
        <w:tab/>
        <w:t>梅月欣</w:t>
      </w:r>
      <w:r>
        <w:rPr/>
        <w:t> </w:t>
      </w:r>
      <w:r>
        <w:rPr>
          <w:spacing w:val="-1"/>
        </w:rPr>
        <w:t>中国注册会计师</w:t>
        <w:tab/>
        <w:tab/>
      </w:r>
      <w:r>
        <w:rPr/>
        <w:t>昝丽涛</w:t>
      </w:r>
    </w:p>
    <w:p>
      <w:pPr>
        <w:pStyle w:val="BodyText"/>
        <w:spacing w:line="240" w:lineRule="auto" w:before="47"/>
        <w:ind w:left="0" w:right="190"/>
        <w:jc w:val="right"/>
      </w:pPr>
      <w:r>
        <w:rPr/>
        <w:t>二〇一六年四月十一日</w:t>
      </w:r>
    </w:p>
    <w:p>
      <w:pPr>
        <w:pStyle w:val="BodyText"/>
        <w:spacing w:line="240" w:lineRule="auto" w:before="76"/>
        <w:ind w:left="0" w:right="190"/>
        <w:jc w:val="right"/>
      </w:pPr>
      <w:r>
        <w:rPr>
          <w:spacing w:val="-1"/>
        </w:rPr>
        <w:t>中国</w:t>
      </w:r>
      <w:r>
        <w:rPr>
          <w:rFonts w:ascii="Times New Roman" w:hAnsi="Times New Roman" w:cs="Times New Roman" w:eastAsia="Times New Roman" w:hint="default"/>
          <w:spacing w:val="-1"/>
        </w:rPr>
        <w:t>•</w:t>
      </w:r>
      <w:r>
        <w:rPr>
          <w:spacing w:val="-1"/>
        </w:rPr>
        <w:t>北京</w:t>
      </w:r>
    </w:p>
    <w:p>
      <w:pPr>
        <w:spacing w:after="0" w:line="240" w:lineRule="auto"/>
        <w:jc w:val="right"/>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240" w:lineRule="auto" w:before="44"/>
        <w:ind w:right="-20"/>
        <w:jc w:val="left"/>
      </w:pPr>
      <w:r>
        <w:rPr/>
        <w:t>编制单位：深圳市银之杰科技股份有限公司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600" w:bottom="280" w:left="980" w:right="980"/>
          <w:cols w:num="3" w:equalWidth="0">
            <w:col w:w="3575" w:space="502"/>
            <w:col w:w="1639" w:space="3203"/>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125,652,743.14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345,044,566.58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280,029,194.47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174,536,753.13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70,778,846.15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45,987,536.86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1,417,892.67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12,317,273.22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24,160,789.36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41,145,609.29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33,558,835.37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148,076,851.84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7,200,221.70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678,000,518.11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632,214,595.67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600" w:bottom="2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183,387,936.83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26,098,078.05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40,547,405.19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41,705,249.67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10,574,453.67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8,361,898.95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735,926.00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80,592,563.58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78,624,424.05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6,627,151.10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14,473,634.61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154,146,360.35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152,676,360.35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4,693,545.03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3,430,967.57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18,107,111.74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4,439,134.26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1,824,960.00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500,501,487.49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330,990,673.51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1,178,502,005.60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963,205,269.18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68,331,350.80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37,078,571.65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107,573,688.42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62,958,365.40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7,348,603.20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1,833,368.53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39,999,671.66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12,762,341.33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13,799,130.79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6,647,762.03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262,097,544.87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121,300,908.94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1,430,961.85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5,106,170.44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5,923,157.70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6,537,132.29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5,923,157.70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268,634,677.16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127,224,066.64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525,804,438.00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262,722,219.00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207,270,712.93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467,211,676.96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20,594,551.97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17,844,077.81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147,888,160.59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85,559,647.91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899,659,563.49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832,517,621.68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10,207,764.95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3,463,580.86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909,867,328.44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835,981,202.54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1,178,502,005.60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963,205,269.18</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48"/>
        <w:jc w:val="right"/>
      </w:pPr>
      <w:r>
        <w:rPr/>
        <w:t>法定代表人：陈向军</w:t>
        <w:tab/>
        <w:t>主管会计工作负责人：许秋江</w:t>
        <w:tab/>
        <w:t>会计机构负责人：张春雷</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75,081,148.64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247,367,812.17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141,183,878.28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108,494,892.47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1,389,882.53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4,094,736.97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1,417,892.67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13,093,016.12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6,509,634.75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8,217,386.30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8,641,285.71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493,727.13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434,899.73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250,779,039.00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387,269,154.47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547,145,352.36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334,098,054.42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40,547,405.19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41,705,249.67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5,679,060.40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4,857,303.73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735,926.00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44,810,444.66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36,813,791.34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6,627,151.10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14,473,634.61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1,960,497.58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1,062,267.21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14,562,026.93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2,969,932.58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662,711,898.22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436,716,159.56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913,490,937.22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823,985,314.03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9,679,791.58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2,574,080.83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1,505,046.30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3,760,738.53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2,083.54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4,423,439.10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3,142,233.62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33,738,811.30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6,015,944.43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78,152,926.81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11,764,295.42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1,430,961.85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1,430,961.85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79,583,888.66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11,764,295.42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525,804,438.00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262,722,219.00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207,270,712.93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467,211,676.96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18,507,836.44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15,757,362.28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84,222,361.19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67,349,760.37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833,907,048.56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812,221,018.61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913,490,937.22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823,985,314.03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619,663,715.53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192,124,040.97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619,663,715.53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192,124,040.97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529,655,073.06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164,462,720.57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347,998,850.51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95,320,004.40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177.841202pt;margin-top:541.380005pt;width:193.1pt;height:19.650pt;mso-position-horizontal-relative:page;mso-position-vertical-relative:page;z-index:-757072"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0.960007pt;margin-top:420.779999pt;width:160pt;height:19.650pt;mso-position-horizontal-relative:page;mso-position-vertical-relative:page;z-index:-757048" coordorigin="4219,8416" coordsize="3200,393">
            <v:group style="position:absolute;left:7396;top:8416;width:23;height:393" coordorigin="7396,8416" coordsize="23,393">
              <v:shape style="position:absolute;left:7396;top:8416;width:23;height:393" coordorigin="7396,8416" coordsize="23,393" path="m7396,8808l7418,8808,7418,8416,7396,8416,7396,8808xe" filled="true" fillcolor="#ffffff" stroked="false">
                <v:path arrowok="t"/>
                <v:fill type="solid"/>
              </v:shape>
            </v:group>
            <v:group style="position:absolute;left:4219;top:8416;width:23;height:393" coordorigin="4219,8416" coordsize="23,393">
              <v:shape style="position:absolute;left:4219;top:8416;width:23;height:393" coordorigin="4219,8416" coordsize="23,393" path="m4219,8808l4242,8808,4242,8416,4219,8416,4219,8808xe" filled="true" fillcolor="#ffffff" stroked="false">
                <v:path arrowok="t"/>
                <v:fill type="solid"/>
              </v:shape>
            </v:group>
            <v:group style="position:absolute;left:4242;top:8416;width:3154;height:393" coordorigin="4242,8416" coordsize="3154,393">
              <v:shape style="position:absolute;left:4242;top:8416;width:3154;height:393" coordorigin="4242,8416" coordsize="3154,393" path="m4242,8808l7396,8808,7396,8416,4242,8416,4242,880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2,491,125.77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1,156,927.27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72,618,641.84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24,069,964.04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105,941,131.71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48,432,734.48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-7,346,539.05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-6,518,251.80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7,951,862.28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2,001,342.18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-6,210,141.22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-1,249,748.22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-6,210,141.22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-1,249,912.60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83,798,501.25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26,411,572.18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2,786,521.13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4,403,139.34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17,019.46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2,246,453.77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26,848.46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11,703.70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84,338,568.61</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30,803,007.82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6,103,731.11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2,595,219.05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78,234,837.50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28,207,788.77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72,960,653.41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27,686,672.11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5,274,184.09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521,116.66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78,234,837.50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28,207,788.77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72,960,653.41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27,686,672.11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5,274,184.09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521,116.66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0.0563</w:t>
            </w:r>
          </w:p>
        </w:tc>
      </w:tr>
    </w:tbl>
    <w:p>
      <w:pPr>
        <w:pStyle w:val="BodyText"/>
        <w:tabs>
          <w:tab w:pos="3573" w:val="left" w:leader="none"/>
          <w:tab w:pos="7713" w:val="left" w:leader="none"/>
        </w:tabs>
        <w:spacing w:line="592" w:lineRule="auto" w:before="51"/>
        <w:ind w:right="248"/>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法定代表人：陈向军</w:t>
        <w:tab/>
        <w:t>主管会计工作负责人：许秋江</w:t>
        <w:tab/>
        <w:t>会计机构负责人：张春雷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151,053,527.61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110,361,942.25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110,132,560.78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68,919,776.86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713,647.02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781,877.48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19,617,493.25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19,252,061.19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50,729,093.10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36,137,389.02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-2,939,581.52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-6,461,533.66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2,753,818.36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2,362,425.13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46,467,297.94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18,250,087.40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-4,852,702.06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-1,249,912.60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16,513,794.56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7,620,033.63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1,455,283.37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2,920,487.98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2,103,332.15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2,923.05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2,923.05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15,865,745.78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10,537,598.56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-11,638,995.77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-1,523,129.06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27,504,741.55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12,060,727.62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27,504,741.55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12,060,727.62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0.0245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562,884,588.94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176,786,686.98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5,357,651.57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4,377,287.37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46,718,538.68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19,055,849.68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614,960,779.19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200,219,824.03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361,448,967.47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66,578,511.97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79,629,549.23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37,813,039.38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22,638,408.32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14,315,503.06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118,000,635.07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49,643,226.24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581,717,560.09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168,350,280.65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33,243,219.10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31,869,543.38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4,099,455.98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56,147,967.49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95,130,065.98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88,955,531.87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18,659,281.97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21,591,550.89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166,898,660.00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5,810,354.23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364,057,941.97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30,651,905.12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-268,927,875.99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58,303,626.75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40,015,200.00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8,133,301.30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6,031,950.00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1,671,254.82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2,518,775.92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23,804,556.12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8,850,725.92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16,210,643.88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-8,840,725.92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82,189.57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-20,399.40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-219,391,823.44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81,312,044.81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345,044,566.58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263,732,521.77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125,652,743.14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345,044,566.58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132,650,339.74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99,023,562.84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1,080,511.44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2,548,477.98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45,651,438.17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12,591,162.77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179,382,289.35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114,163,203.59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97,514,427.98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48,673,453.94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42,097,317.44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29,279,656.32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9,597,264.52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9,709,221.89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39,219,327.05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37,270,850.48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188,428,336.99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124,933,182.63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-9,046,047.64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-10,769,979.04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50,033,062.50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4,110.00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75,037,172.50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41,507,400.00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14,189,772.27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21,375,940.83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7,398,660.00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5,803,773.58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254,488,432.27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33,629,714.41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-179,451,259.77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7,877,685.59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40,015,200.00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8,133,301.30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6,025,500.00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1,671,254.82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2,518,775.92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23,804,556.12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8,544,275.92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16,210,643.88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-8,544,275.92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-172,286,663.53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-11,436,569.37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247,367,812.17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258,804,381.54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75,081,148.64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247,367,812.17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467,211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,676.96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077.81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85,559,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647.91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3,463,5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80.86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835,981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,202.54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467,211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,676.96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077.81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85,559,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647.91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3,463,5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80.86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835,981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,202.54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263,08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1,078,3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74.16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62,328,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512.68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6,744,1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73,886,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125.90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72,960,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653.41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5,274,1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78,234,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837.50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2,781,2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54.97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1,078,3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3,532,9</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54.97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655,200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2,485,2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1,023,1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1,023,1</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54.97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1,102,9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1,078,3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74.16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-10,632,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140.73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-7,881,6</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66.57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74.16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-7,881,6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66.57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-7,881,6</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66.57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262,72</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-262,72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2,219.0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262,72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2,219.0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525,80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4,438.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207,270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,712.93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1,898,3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551.97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147,888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,160.59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10,207,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764.95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909,867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,328.44</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318,949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,500.21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65,145,</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548.56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522,063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,053.82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318,949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,500.21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65,145,</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548.56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522,063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,053.82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141,39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148,262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820,000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1,206,0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20,414,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3,463,5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313,918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,176.75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72.76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left"/>
              <w:rPr>
                <w:rFonts w:ascii="Times New Roman" w:hAnsi="Times New Roman" w:cs="Times New Roman" w:eastAsia="Times New Roman" w:hint="default"/>
                <w:sz w:val="18"/>
                <w:szCs w:val="18"/>
              </w:rPr>
            </w:pPr>
            <w:r>
              <w:rPr>
                <w:rFonts w:ascii="Times New Roman"/>
                <w:sz w:val="18"/>
              </w:rPr>
              <w:t>099.35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80.86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,148.72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27,686,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672.11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521,116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788.77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20,062</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,219.0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269,592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,176.75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64.20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291,776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,859.95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21,082</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,219.0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270,225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,297.80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64.20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294,249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,981.00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1,841,6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1,841,6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78.95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-2,474,8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-4,314,8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-7,272,5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-6,066,5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-6,066,5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-6,066,5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262,72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467,211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,676.96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85,559,</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647.91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3,463,5</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835,981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,202.54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262,722,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467,211,6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15,757,36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67,349,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760.37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812,221,0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18.61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262,722,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467,211,6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15,757,36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67,349,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760.37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812,221,0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18.61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263,082,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-259,940,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964.03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1,078,300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2,750,474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600.82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21,686,02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9.95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741.55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27,504,74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1.55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2,781,254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1,078,300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2,062,954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1,023,154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1,102,900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24,600.00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2,750,474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-10,632,</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140.73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-7,881,66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6.57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2,750,474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74.16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-7,881,6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66.57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-7,881,66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262,722,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-262,722,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219.00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262,722,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-262,722,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219.00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525,804,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438.00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207,270,7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1,898,300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18,507,83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84,222,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361.19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833,907,0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48.56</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318,949,5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14,551,28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62,561,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605.51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517,392,3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121,330,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318,949,5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14,551,28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62,561,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517,392,3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605.51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95.24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141,392,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148,262,1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4,788,1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54.86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294,828,6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23.37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727.62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7.62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20,062,2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269,592,1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288,834,3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95.75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21,082,2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270,225,2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291,307,5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16.80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1,841,678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1,841,678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-2,474,80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-4,314,80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-7,272,5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-6,066,50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72.76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-6,066,5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-6,066,50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18"/>
                <w:szCs w:val="18"/>
              </w:rPr>
            </w:pPr>
            <w:r>
              <w:rPr>
                <w:rFonts w:ascii="Times New Roman"/>
                <w:sz w:val="18"/>
              </w:rPr>
              <w:t>262,722,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pacing w:val="-1"/>
                <w:sz w:val="18"/>
              </w:rPr>
              <w:t>467,211,6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820,000.0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15,757,36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67,349,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812,221,0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2.28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760.37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18.61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5"/>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84" w:firstLine="360"/>
        <w:jc w:val="left"/>
      </w:pPr>
      <w:r>
        <w:rPr/>
        <w:t>深圳市银之杰科技股份有限公司（以下简称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spacing w:val="-44"/>
        </w:rPr>
        <w:t> </w:t>
      </w:r>
      <w:r>
        <w:rPr/>
        <w:t>前身为深圳市银之杰科技有限公司。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 </w:t>
      </w:r>
      <w:r>
        <w:rPr>
          <w:spacing w:val="-2"/>
        </w:rPr>
        <w:t>经公司临时股东会决议，公司整体变更为股份有限公司，于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日在深圳市市场监督管理局登记注册。</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7"/>
        </w:rPr>
        <w:t> </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[2010]548</w:t>
      </w:r>
      <w:r>
        <w:rPr/>
        <w:t>号</w:t>
      </w:r>
      <w:r>
        <w:rPr>
          <w:rFonts w:ascii="Times New Roman" w:hAnsi="Times New Roman" w:cs="Times New Roman" w:eastAsia="Times New Roman" w:hint="default"/>
        </w:rPr>
        <w:t>”</w:t>
      </w:r>
      <w:r>
        <w:rPr/>
        <w:t>文核准和深圳证券交易所《关于深圳市银之杰科技股份有限公司人 民币普通股股票在创业板上市的通知》（深证上</w:t>
      </w:r>
      <w:r>
        <w:rPr>
          <w:rFonts w:ascii="Times New Roman" w:hAnsi="Times New Roman" w:cs="Times New Roman" w:eastAsia="Times New Roman" w:hint="default"/>
        </w:rPr>
        <w:t>[2010]165</w:t>
      </w:r>
      <w:r>
        <w:rPr/>
        <w:t>号）同意，本公司发行的人民币普通股股票于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日在深 圳证券交易所上市，股票简称</w:t>
      </w:r>
      <w:r>
        <w:rPr>
          <w:rFonts w:ascii="Times New Roman" w:hAnsi="Times New Roman" w:cs="Times New Roman" w:eastAsia="Times New Roman" w:hint="default"/>
        </w:rPr>
        <w:t>“</w:t>
      </w:r>
      <w:r>
        <w:rPr/>
        <w:t>银之杰</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“300085”</w:t>
      </w:r>
      <w:r>
        <w:rPr/>
        <w:t>。公司总部位于广东省深圳市福田区车公庙天安数码城天祥大厦 </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5B2</w:t>
      </w:r>
      <w:r>
        <w:rPr/>
        <w:t>，企业法人营业执照注册号为</w:t>
      </w:r>
      <w:r>
        <w:rPr>
          <w:rFonts w:ascii="Times New Roman" w:hAnsi="Times New Roman" w:cs="Times New Roman" w:eastAsia="Times New Roman" w:hint="default"/>
        </w:rPr>
        <w:t>440301102955880</w:t>
      </w:r>
      <w:r>
        <w:rPr/>
        <w:t>。</w:t>
      </w:r>
    </w:p>
    <w:p>
      <w:pPr>
        <w:pStyle w:val="BodyText"/>
        <w:spacing w:line="451" w:lineRule="auto" w:before="43"/>
        <w:ind w:right="90" w:firstLine="360"/>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日止，公司总股本为</w:t>
      </w:r>
      <w:r>
        <w:rPr>
          <w:rFonts w:ascii="Times New Roman" w:hAnsi="Times New Roman" w:cs="Times New Roman" w:eastAsia="Times New Roman" w:hint="default"/>
          <w:spacing w:val="-2"/>
        </w:rPr>
        <w:t>525,804,438</w:t>
      </w:r>
      <w:r>
        <w:rPr>
          <w:spacing w:val="-2"/>
        </w:rPr>
        <w:t>股。其中，有限售条件的流通股</w:t>
      </w:r>
      <w:r>
        <w:rPr>
          <w:rFonts w:ascii="Times New Roman" w:hAnsi="Times New Roman" w:cs="Times New Roman" w:eastAsia="Times New Roman" w:hint="default"/>
          <w:spacing w:val="-2"/>
        </w:rPr>
        <w:t>274,754,902</w:t>
      </w:r>
      <w:r>
        <w:rPr>
          <w:spacing w:val="-2"/>
        </w:rPr>
        <w:t>股；无限售条件的流通股</w:t>
      </w:r>
      <w:r>
        <w:rPr/>
        <w:t> 份</w:t>
      </w:r>
      <w:r>
        <w:rPr>
          <w:rFonts w:ascii="Times New Roman" w:hAnsi="Times New Roman" w:cs="Times New Roman" w:eastAsia="Times New Roman" w:hint="default"/>
        </w:rPr>
        <w:t>251,049,536</w:t>
      </w:r>
      <w:r>
        <w:rPr/>
        <w:t>股。</w:t>
      </w:r>
    </w:p>
    <w:p>
      <w:pPr>
        <w:pStyle w:val="BodyText"/>
        <w:spacing w:line="477" w:lineRule="auto" w:before="43"/>
        <w:ind w:right="191" w:firstLine="360"/>
        <w:jc w:val="both"/>
      </w:pPr>
      <w:r>
        <w:rPr>
          <w:spacing w:val="-2"/>
        </w:rPr>
        <w:t>本公司属于软件和信息技术服务业。公司及各子公司主营业务是为银行等金融机构提供软件产品、软件开发、金融专用</w:t>
      </w:r>
      <w:r>
        <w:rPr/>
        <w:t> </w:t>
      </w:r>
      <w:r>
        <w:rPr>
          <w:spacing w:val="-2"/>
        </w:rPr>
        <w:t>设备和技术服务；投资发展支票自助结算金融服务和企业移动支付业务；提供移动商务服务和大数据运营服务；投资发展个</w:t>
      </w:r>
      <w:r>
        <w:rPr>
          <w:spacing w:val="-66"/>
        </w:rPr>
        <w:t> </w:t>
      </w:r>
      <w:r>
        <w:rPr>
          <w:spacing w:val="-66"/>
        </w:rPr>
      </w:r>
      <w:r>
        <w:rPr/>
        <w:t>人征信服务业务及其相关业务；电子商务服务业务。</w:t>
      </w:r>
    </w:p>
    <w:p>
      <w:pPr>
        <w:pStyle w:val="BodyText"/>
        <w:spacing w:line="451" w:lineRule="auto" w:before="54"/>
        <w:ind w:left="514" w:right="90"/>
        <w:jc w:val="left"/>
      </w:pPr>
      <w:r>
        <w:rPr/>
        <w:t>本公司财务报表及财务报表附注业经于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日经公司第三届董事会第十九次会议审议批准报出。 </w:t>
      </w:r>
      <w:r>
        <w:rPr>
          <w:spacing w:val="-2"/>
        </w:rPr>
        <w:t>本公司</w:t>
      </w:r>
      <w:r>
        <w:rPr>
          <w:rFonts w:ascii="Times New Roman" w:hAnsi="Times New Roman" w:cs="Times New Roman" w:eastAsia="Times New Roman" w:hint="default"/>
          <w:spacing w:val="-2"/>
        </w:rPr>
        <w:t>2015</w:t>
      </w:r>
      <w:r>
        <w:rPr>
          <w:spacing w:val="-2"/>
        </w:rPr>
        <w:t>年度将深圳市银之杰金融设备有限公司、深圳市银之杰技术开发有限公司、北京亿美软通科技有限公司、深</w:t>
      </w:r>
    </w:p>
    <w:p>
      <w:pPr>
        <w:pStyle w:val="BodyText"/>
        <w:spacing w:line="451" w:lineRule="auto" w:before="43"/>
        <w:ind w:right="217"/>
        <w:jc w:val="both"/>
      </w:pPr>
      <w:r>
        <w:rPr/>
        <w:t>圳市科安数字有限公司等</w:t>
      </w:r>
      <w:r>
        <w:rPr>
          <w:rFonts w:ascii="Times New Roman" w:hAnsi="Times New Roman" w:cs="Times New Roman" w:eastAsia="Times New Roman" w:hint="default"/>
        </w:rPr>
        <w:t>5</w:t>
      </w:r>
      <w:r>
        <w:rPr/>
        <w:t>家子公司纳入本期合并财务报表范围，详见本附注八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 范围未发生变化。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spacing w:val="-4"/>
        </w:rPr>
        <w:t>本公司财务报表以持续经营假设为基础，根据实际发生的交易和事项，按照财政部发布的《企业会计准则——基本准则》</w:t>
      </w:r>
    </w:p>
    <w:p>
      <w:pPr>
        <w:spacing w:line="240" w:lineRule="auto" w:before="10"/>
        <w:rPr>
          <w:rFonts w:ascii="宋体" w:hAnsi="宋体" w:cs="宋体" w:eastAsia="宋体" w:hint="default"/>
          <w:sz w:val="17"/>
          <w:szCs w:val="17"/>
        </w:rPr>
      </w:pPr>
    </w:p>
    <w:p>
      <w:pPr>
        <w:pStyle w:val="BodyText"/>
        <w:spacing w:line="477" w:lineRule="auto"/>
        <w:ind w:left="153" w:right="191"/>
        <w:jc w:val="both"/>
      </w:pPr>
      <w:r>
        <w:rPr/>
        <w:t>（财政部令第33号发布、财政部令第76号修订）、于2006年2月15日及其后颁布和修订的41项具体会计准则、企业会计准则 </w:t>
      </w:r>
      <w:r>
        <w:rPr>
          <w:spacing w:val="-2"/>
        </w:rPr>
        <w:t>应用指南、企业会计准则解释及其他相关规定（以下合称“企业会计准则”），以及中国证券监督管理委员会《公开发行证</w:t>
      </w:r>
      <w:r>
        <w:rPr>
          <w:spacing w:val="-65"/>
        </w:rPr>
        <w:t> </w:t>
      </w:r>
      <w:r>
        <w:rPr>
          <w:spacing w:val="-65"/>
        </w:rPr>
      </w:r>
      <w:r>
        <w:rPr/>
        <w:t>券的公司信息披露编报规则第15号——财务报告的一般规定》（2014年修订）的披露规定编制。</w:t>
      </w:r>
    </w:p>
    <w:p>
      <w:pPr>
        <w:pStyle w:val="BodyText"/>
        <w:spacing w:line="477" w:lineRule="auto" w:before="54"/>
        <w:ind w:left="153" w:right="90"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after="0" w:line="477"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9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90"/>
        <w:jc w:val="left"/>
      </w:pPr>
      <w:r>
        <w:rPr/>
        <w:t>具体会计政策和会计估计提示： </w:t>
      </w:r>
      <w:r>
        <w:rPr>
          <w:spacing w:val="-2"/>
        </w:rPr>
        <w:t>本公司及各子公司根据实际生产经营特点，依据相关企业会计准则的规定，对收入确认、研究开发支出等交易和事项制</w:t>
      </w:r>
    </w:p>
    <w:p>
      <w:pPr>
        <w:pStyle w:val="BodyText"/>
        <w:spacing w:line="477" w:lineRule="auto" w:before="54"/>
        <w:ind w:left="153" w:right="90"/>
        <w:jc w:val="left"/>
      </w:pPr>
      <w:r>
        <w:rPr>
          <w:spacing w:val="-2"/>
        </w:rPr>
        <w:t>定了若干项具体会计政策和会计估计，详见本附注四、25“收入”、（1）及17、“无形资产”、（2）各项描述。关于管理</w:t>
      </w:r>
      <w:r>
        <w:rPr>
          <w:spacing w:val="-59"/>
        </w:rPr>
        <w:t> </w:t>
      </w:r>
      <w:r>
        <w:rPr>
          <w:spacing w:val="-59"/>
        </w:rPr>
      </w:r>
      <w:r>
        <w:rPr/>
        <w:t>层所作出的重大会计判断和估计的说明，请参阅附注四、30“重大会计判断和估计”。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2"/>
        </w:rPr>
        <w:t>本公司编制的财务报表符合企业会计准则的要求，真实、完整地反映了本公司2015年12月31日的财务状况及2015年度的</w:t>
      </w:r>
      <w:r>
        <w:rPr/>
        <w:t> </w:t>
      </w:r>
      <w:r>
        <w:rPr>
          <w:spacing w:val="-2"/>
        </w:rPr>
        <w:t>经营成果和现金流量等有关信息。此外，本公司的财务报表在所有重大方面符合中国证券监督管理委员会2014年修订的《公</w:t>
      </w:r>
      <w:r>
        <w:rPr>
          <w:spacing w:val="-62"/>
        </w:rPr>
        <w:t> </w:t>
      </w:r>
      <w:r>
        <w:rPr>
          <w:spacing w:val="-62"/>
        </w:rPr>
      </w:r>
      <w:r>
        <w:rPr/>
        <w:t>开发行证券的公司信息披露编报规则第15号－财务报告的一般规定》有关财务报表及其附注的披露要求。</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8" w:firstLine="360"/>
        <w:jc w:val="both"/>
      </w:pPr>
      <w:r>
        <w:rPr/>
        <w:t>本公司的会计期间分为年度和中期，会计中期指短于一个完整的会计年度的报告期间。本公司会计年度采用公历年度， 即每年自1月1日起至12月31日止。</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3" w:right="288"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19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之境外子公司根据其经营所处的主要经济环境中的货币确定人民币为其记账本位币。本公司编制本财务报表时所采用的货币</w:t>
      </w:r>
      <w:r>
        <w:rPr>
          <w:spacing w:val="-64"/>
        </w:rPr>
        <w:t> </w:t>
      </w:r>
      <w:r>
        <w:rPr>
          <w:spacing w:val="-64"/>
        </w:rPr>
      </w:r>
      <w:r>
        <w:rPr/>
        <w:t>为人民币。</w:t>
      </w:r>
    </w:p>
    <w:p>
      <w:pPr>
        <w:spacing w:after="0" w:line="477"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451" w:lineRule="auto" w:before="54"/>
        <w:ind w:left="513" w:right="9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477" w:lineRule="auto" w:before="74"/>
        <w:ind w:left="153" w:right="9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477" w:lineRule="auto" w:before="54"/>
        <w:ind w:left="153" w:right="91" w:firstLine="360"/>
        <w:jc w:val="left"/>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54"/>
        <w:ind w:left="514" w:right="90"/>
        <w:jc w:val="left"/>
      </w:pPr>
      <w:r>
        <w:rPr/>
        <w:t>合并方为进行企业合并发生的各项直接费用，于发生时计入当期损益。</w:t>
      </w:r>
    </w:p>
    <w:p>
      <w:pPr>
        <w:spacing w:line="240" w:lineRule="auto" w:before="10"/>
        <w:rPr>
          <w:rFonts w:ascii="宋体" w:hAnsi="宋体" w:cs="宋体" w:eastAsia="宋体" w:hint="default"/>
          <w:sz w:val="17"/>
          <w:szCs w:val="17"/>
        </w:rPr>
      </w:pPr>
    </w:p>
    <w:p>
      <w:pPr>
        <w:pStyle w:val="BodyText"/>
        <w:spacing w:line="451" w:lineRule="auto"/>
        <w:ind w:left="514" w:right="9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477" w:lineRule="auto" w:before="74"/>
        <w:ind w:right="9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472" w:lineRule="auto" w:before="54"/>
        <w:ind w:right="19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468" w:lineRule="auto" w:before="58"/>
        <w:ind w:right="90"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240" w:lineRule="auto" w:before="61"/>
        <w:ind w:left="514" w:right="90"/>
        <w:jc w:val="left"/>
      </w:pPr>
      <w:r>
        <w:rPr/>
        <w:t>通过多次交换交易分步实现的非同一控制下企业合并，根据《财政部关于印发企业会计准则解释第</w:t>
      </w:r>
      <w:r>
        <w:rPr>
          <w:rFonts w:ascii="Times New Roman" w:hAnsi="Times New Roman" w:cs="Times New Roman" w:eastAsia="Times New Roman" w:hint="default"/>
        </w:rPr>
        <w:t>5</w:t>
      </w:r>
      <w:r>
        <w:rPr/>
        <w:t>号的通知》（财会</w:t>
      </w:r>
    </w:p>
    <w:p>
      <w:pPr>
        <w:spacing w:line="240" w:lineRule="auto" w:before="9"/>
        <w:rPr>
          <w:rFonts w:ascii="宋体" w:hAnsi="宋体" w:cs="宋体" w:eastAsia="宋体" w:hint="default"/>
          <w:sz w:val="16"/>
          <w:szCs w:val="16"/>
        </w:rPr>
      </w:pPr>
    </w:p>
    <w:p>
      <w:pPr>
        <w:pStyle w:val="BodyText"/>
        <w:spacing w:line="240" w:lineRule="auto"/>
        <w:ind w:right="90"/>
        <w:jc w:val="left"/>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w:t>
      </w:r>
      <w:r>
        <w:rPr>
          <w:rFonts w:ascii="Times New Roman" w:hAnsi="Times New Roman" w:cs="Times New Roman" w:eastAsia="Times New Roman" w:hint="default"/>
        </w:rPr>
        <w:t>(</w:t>
      </w:r>
      <w:r>
        <w:rPr/>
        <w:t>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w:t>
      </w:r>
    </w:p>
    <w:p>
      <w:pPr>
        <w:spacing w:after="0" w:line="240" w:lineRule="auto"/>
        <w:jc w:val="left"/>
        <w:sectPr>
          <w:footerReference w:type="default" r:id="rId20"/>
          <w:pgSz w:w="11910" w:h="16840"/>
          <w:pgMar w:footer="982" w:header="877" w:top="1100" w:bottom="1180" w:left="980" w:right="940"/>
        </w:sectPr>
      </w:pPr>
    </w:p>
    <w:p>
      <w:pPr>
        <w:spacing w:line="240" w:lineRule="auto" w:before="11"/>
        <w:rPr>
          <w:rFonts w:ascii="宋体" w:hAnsi="宋体" w:cs="宋体" w:eastAsia="宋体" w:hint="default"/>
          <w:sz w:val="27"/>
          <w:szCs w:val="27"/>
        </w:rPr>
      </w:pPr>
    </w:p>
    <w:p>
      <w:pPr>
        <w:pStyle w:val="BodyText"/>
        <w:spacing w:line="451" w:lineRule="auto" w:before="44"/>
        <w:ind w:right="231" w:hanging="1"/>
        <w:jc w:val="left"/>
      </w:pPr>
      <w:r>
        <w:rPr/>
        <w:t>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12“</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 务报表和合并财务报表进行相关会计处理：</w:t>
      </w:r>
    </w:p>
    <w:p>
      <w:pPr>
        <w:pStyle w:val="BodyText"/>
        <w:spacing w:line="477" w:lineRule="auto" w:before="74"/>
        <w:ind w:right="189"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477" w:lineRule="auto" w:before="54"/>
        <w:ind w:right="189"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477" w:lineRule="auto" w:before="74"/>
        <w:ind w:left="153" w:right="9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被本公司控制的企业或主体。</w:t>
      </w:r>
    </w:p>
    <w:p>
      <w:pPr>
        <w:pStyle w:val="BodyText"/>
        <w:spacing w:line="240" w:lineRule="auto" w:before="54"/>
        <w:ind w:left="513" w:right="90"/>
        <w:jc w:val="left"/>
      </w:pPr>
      <w:r>
        <w:rPr/>
        <w:t>一旦相关事实和情况的变化导致上述控制定义涉及的相关要素发生了变化，本公司将进行重新评估。</w:t>
      </w:r>
    </w:p>
    <w:p>
      <w:pPr>
        <w:spacing w:line="240" w:lineRule="auto" w:before="10"/>
        <w:rPr>
          <w:rFonts w:ascii="宋体" w:hAnsi="宋体" w:cs="宋体" w:eastAsia="宋体" w:hint="default"/>
          <w:sz w:val="17"/>
          <w:szCs w:val="17"/>
        </w:rPr>
      </w:pPr>
    </w:p>
    <w:p>
      <w:pPr>
        <w:pStyle w:val="BodyText"/>
        <w:spacing w:line="451" w:lineRule="auto"/>
        <w:ind w:left="513" w:right="9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477" w:lineRule="auto" w:before="74"/>
        <w:ind w:right="9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477" w:lineRule="auto" w:before="54"/>
        <w:ind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477" w:lineRule="auto" w:before="54"/>
        <w:ind w:left="514" w:right="270"/>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w:t>
      </w:r>
    </w:p>
    <w:p>
      <w:pPr>
        <w:spacing w:after="0" w:line="477" w:lineRule="auto"/>
        <w:jc w:val="left"/>
        <w:sectPr>
          <w:footerReference w:type="default" r:id="rId21"/>
          <w:pgSz w:w="11910" w:h="16840"/>
          <w:pgMar w:footer="982" w:header="877" w:top="1100" w:bottom="1180" w:left="980" w:right="940"/>
          <w:pgNumType w:start="101"/>
        </w:sectPr>
      </w:pPr>
    </w:p>
    <w:p>
      <w:pPr>
        <w:spacing w:line="240" w:lineRule="auto" w:before="11"/>
        <w:rPr>
          <w:rFonts w:ascii="宋体" w:hAnsi="宋体" w:cs="宋体" w:eastAsia="宋体" w:hint="default"/>
          <w:sz w:val="27"/>
          <w:szCs w:val="27"/>
        </w:rPr>
      </w:pPr>
    </w:p>
    <w:p>
      <w:pPr>
        <w:pStyle w:val="BodyText"/>
        <w:spacing w:line="451" w:lineRule="auto" w:before="44"/>
        <w:ind w:right="20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项目列示。少数股东分担的子公司的亏损超过了少数股东在该子公司期初股东权益中所享有的份额，冲减少数股 东权益。</w:t>
      </w:r>
    </w:p>
    <w:p>
      <w:pPr>
        <w:pStyle w:val="BodyText"/>
        <w:spacing w:line="470" w:lineRule="auto" w:before="74"/>
        <w:ind w:right="9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t>制权时一并转为当期投资收益。其后，对该部分剩余股权按照《企业会计准则第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 </w:t>
      </w:r>
      <w:r>
        <w:rPr>
          <w:spacing w:val="-1"/>
        </w:rPr>
        <w:t>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金融工具确认和计量》等相关规定进行后续计量，详见本附注四、</w:t>
      </w:r>
      <w:r>
        <w:rPr>
          <w:rFonts w:ascii="Times New Roman" w:hAnsi="Times New Roman" w:cs="Times New Roman" w:eastAsia="Times New Roman" w:hint="default"/>
          <w:spacing w:val="-1"/>
        </w:rPr>
        <w:t>12“</w:t>
      </w:r>
      <w:r>
        <w:rPr>
          <w:spacing w:val="-1"/>
        </w:rPr>
        <w:t>长期股权投资</w:t>
      </w:r>
      <w:r>
        <w:rPr>
          <w:rFonts w:ascii="Times New Roman" w:hAnsi="Times New Roman" w:cs="Times New Roman" w:eastAsia="Times New Roman" w:hint="default"/>
          <w:spacing w:val="-1"/>
        </w:rPr>
        <w:t>”</w:t>
      </w:r>
      <w:r>
        <w:rPr>
          <w:spacing w:val="-1"/>
        </w:rPr>
        <w:t>或本附注四、</w:t>
      </w:r>
      <w:r>
        <w:rPr>
          <w:rFonts w:ascii="Times New Roman" w:hAnsi="Times New Roman" w:cs="Times New Roman" w:eastAsia="Times New Roman" w:hint="default"/>
          <w:spacing w:val="-1"/>
        </w:rPr>
        <w:t>9“</w:t>
      </w:r>
      <w:r>
        <w:rPr>
          <w:spacing w:val="-1"/>
        </w:rPr>
        <w:t>金融工具</w:t>
      </w:r>
      <w:r>
        <w:rPr>
          <w:rFonts w:ascii="Times New Roman" w:hAnsi="Times New Roman" w:cs="Times New Roman" w:eastAsia="Times New Roman" w:hint="default"/>
          <w:spacing w:val="-1"/>
        </w:rPr>
        <w:t>”</w:t>
      </w:r>
      <w:r>
        <w:rPr>
          <w:spacing w:val="-1"/>
        </w:rPr>
        <w:t>。</w:t>
      </w:r>
    </w:p>
    <w:p>
      <w:pPr>
        <w:pStyle w:val="BodyText"/>
        <w:spacing w:line="468" w:lineRule="auto" w:before="27"/>
        <w:ind w:right="9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451" w:lineRule="auto" w:before="54"/>
        <w:ind w:right="2070" w:firstLine="360"/>
        <w:jc w:val="left"/>
      </w:pPr>
      <w:r>
        <w:rPr/>
        <w:t>本公司对合营企业的投资采用权益法核算，按照本附注四、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）②</w:t>
      </w:r>
      <w:r>
        <w:rPr>
          <w:spacing w:val="-57"/>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477" w:lineRule="auto" w:before="74"/>
        <w:ind w:right="191"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240" w:lineRule="auto" w:before="54"/>
        <w:ind w:left="514" w:right="0"/>
        <w:jc w:val="left"/>
      </w:pPr>
      <w:r>
        <w:rPr/>
        <w:t>当本公司作为合营方向共同经营投出或出售资产（该资产不构成业务，下同）、或者自共同经营购买资产时，在该等资</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63" w:lineRule="auto" w:before="44"/>
        <w:ind w:left="153" w:right="191"/>
        <w:jc w:val="both"/>
      </w:pP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1"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477" w:lineRule="auto" w:before="74"/>
        <w:ind w:left="153" w:right="190"/>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451" w:lineRule="auto" w:before="54"/>
        <w:ind w:left="513" w:right="9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477" w:lineRule="auto" w:before="74"/>
        <w:ind w:left="153" w:right="191"/>
        <w:jc w:val="both"/>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477" w:lineRule="auto" w:before="54"/>
        <w:ind w:left="153"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值变动（含汇率变动）处理，计入当期损益或确认为其他综合收益并计入资本公积。</w:t>
      </w:r>
    </w:p>
    <w:p>
      <w:pPr>
        <w:pStyle w:val="BodyText"/>
        <w:spacing w:line="451" w:lineRule="auto" w:before="54"/>
        <w:ind w:left="513" w:right="9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451" w:lineRule="auto" w:before="74"/>
        <w:ind w:left="514" w:right="90" w:hanging="360"/>
        <w:jc w:val="left"/>
      </w:pPr>
      <w:r>
        <w:rPr/>
        <w:t>额，列入股东权益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468" w:lineRule="auto" w:before="74"/>
        <w:ind w:right="191"/>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益并在资产负债表中股东权益项目下单独列示。处置境外经营并丧失控制权时，将资产负债表中股东权益项目下列示的、与</w:t>
      </w:r>
    </w:p>
    <w:p>
      <w:pPr>
        <w:spacing w:after="0" w:line="468"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513" w:right="90" w:hanging="360"/>
        <w:jc w:val="left"/>
      </w:pPr>
      <w:r>
        <w:rPr/>
        <w:t>该境外经营相关的外币报表折算差额，全部或按处置该境外经营的比例转入处置当期损益。 </w:t>
      </w:r>
      <w:r>
        <w:rPr>
          <w:spacing w:val="-2"/>
        </w:rPr>
        <w:t>外币现金流量以及境外子公司的现金流量，采用现金流量发生日的即期汇率折算。汇率变动对现金的影响额作为调节项</w:t>
      </w:r>
    </w:p>
    <w:p>
      <w:pPr>
        <w:pStyle w:val="BodyText"/>
        <w:spacing w:line="477" w:lineRule="auto" w:before="54"/>
        <w:ind w:left="513" w:right="4771" w:hanging="360"/>
        <w:jc w:val="left"/>
      </w:pPr>
      <w:r>
        <w:rPr/>
        <w:t>目，在现金流量表中单独列报。 年初数和上年实际数按照上年财务报表折算后的数额列示。</w:t>
      </w:r>
    </w:p>
    <w:p>
      <w:pPr>
        <w:pStyle w:val="BodyText"/>
        <w:spacing w:line="477" w:lineRule="auto" w:before="54"/>
        <w:ind w:left="153" w:right="91" w:firstLine="360"/>
        <w:jc w:val="left"/>
      </w:pPr>
      <w:r>
        <w:rPr>
          <w:spacing w:val="-2"/>
        </w:rPr>
        <w:t>在处置本公司在境外经营的全部所有者权益或因处置部分股权投资或其他原因丧失了对境外经营控制权时，将资产负债</w:t>
      </w:r>
      <w:r>
        <w:rPr/>
        <w:t> 表中股东权益项目下列示的、与该境外经营相关的归属于母公司所有者权益的外币报表折算差额，全部转入处置当期损益。</w:t>
      </w:r>
    </w:p>
    <w:p>
      <w:pPr>
        <w:pStyle w:val="BodyText"/>
        <w:spacing w:line="477" w:lineRule="auto" w:before="54"/>
        <w:ind w:right="90"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451" w:lineRule="auto" w:before="54"/>
        <w:ind w:left="513" w:right="9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477" w:lineRule="auto" w:before="74"/>
        <w:ind w:left="153" w:right="91"/>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451" w:lineRule="auto" w:before="54"/>
        <w:ind w:left="513" w:right="9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74"/>
        <w:ind w:left="153" w:right="90"/>
        <w:jc w:val="left"/>
      </w:pPr>
      <w:r>
        <w:rPr/>
        <w:t>计入当期损益的金融资产、持有至到期投资、贷款和应收款项以及可供出售金融资产。</w:t>
      </w:r>
    </w:p>
    <w:p>
      <w:pPr>
        <w:spacing w:line="240" w:lineRule="auto" w:before="10"/>
        <w:rPr>
          <w:rFonts w:ascii="宋体" w:hAnsi="宋体" w:cs="宋体" w:eastAsia="宋体" w:hint="default"/>
          <w:sz w:val="17"/>
          <w:szCs w:val="17"/>
        </w:rPr>
      </w:pPr>
    </w:p>
    <w:p>
      <w:pPr>
        <w:pStyle w:val="BodyText"/>
        <w:spacing w:line="477" w:lineRule="auto"/>
        <w:ind w:left="514" w:right="90"/>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463" w:lineRule="auto" w:before="21"/>
        <w:ind w:right="189"/>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spacing w:after="0" w:line="463"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58" w:lineRule="auto" w:before="44"/>
        <w:ind w:left="153" w:right="19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9"/>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477" w:lineRule="auto" w:before="68"/>
        <w:ind w:left="153" w:right="190"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477" w:lineRule="auto" w:before="54"/>
        <w:ind w:left="513" w:right="90"/>
        <w:jc w:val="left"/>
      </w:pPr>
      <w:r>
        <w:rPr/>
        <w:t>②</w:t>
      </w:r>
      <w:r>
        <w:rPr>
          <w:spacing w:val="-17"/>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54"/>
        <w:ind w:left="153" w:right="90"/>
        <w:jc w:val="left"/>
      </w:pPr>
      <w:r>
        <w:rPr/>
        <w:t>当期损益。</w:t>
      </w:r>
    </w:p>
    <w:p>
      <w:pPr>
        <w:spacing w:line="240" w:lineRule="auto" w:before="10"/>
        <w:rPr>
          <w:rFonts w:ascii="宋体" w:hAnsi="宋体" w:cs="宋体" w:eastAsia="宋体" w:hint="default"/>
          <w:sz w:val="17"/>
          <w:szCs w:val="17"/>
        </w:rPr>
      </w:pPr>
    </w:p>
    <w:p>
      <w:pPr>
        <w:pStyle w:val="BodyText"/>
        <w:spacing w:line="477" w:lineRule="auto"/>
        <w:ind w:left="153" w:right="19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477" w:lineRule="auto" w:before="54"/>
        <w:ind w:left="153" w:right="19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477" w:lineRule="auto" w:before="54"/>
        <w:ind w:left="513" w:right="90"/>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477" w:lineRule="auto" w:before="54"/>
        <w:ind w:left="513" w:right="9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54"/>
        <w:ind w:left="153" w:right="90"/>
        <w:jc w:val="left"/>
      </w:pPr>
      <w:r>
        <w:rPr/>
        <w:t>当期损益。</w:t>
      </w:r>
    </w:p>
    <w:p>
      <w:pPr>
        <w:spacing w:line="240" w:lineRule="auto" w:before="10"/>
        <w:rPr>
          <w:rFonts w:ascii="宋体" w:hAnsi="宋体" w:cs="宋体" w:eastAsia="宋体" w:hint="default"/>
          <w:sz w:val="17"/>
          <w:szCs w:val="17"/>
        </w:rPr>
      </w:pPr>
    </w:p>
    <w:p>
      <w:pPr>
        <w:pStyle w:val="BodyText"/>
        <w:spacing w:line="477" w:lineRule="auto"/>
        <w:ind w:left="513" w:right="91"/>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477" w:lineRule="auto" w:before="54"/>
        <w:ind w:left="513" w:right="9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477" w:lineRule="auto" w:before="54"/>
        <w:ind w:left="153" w:right="90"/>
        <w:jc w:val="left"/>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477" w:lineRule="auto" w:before="54"/>
        <w:ind w:left="153" w:right="190"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p>
    <w:p>
      <w:pPr>
        <w:spacing w:after="0" w:line="477"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513" w:right="0" w:hanging="360"/>
        <w:jc w:val="left"/>
      </w:pPr>
      <w:r>
        <w:rPr/>
        <w:t>生金融资产，按照成本进行后续计量。 可供出售金融资产持有期间取得的利息及被投资单位宣告发放的现金股利，计入投资收益。 如对可供出售金融资产改按成本或摊余成本核算的，可参考以下表述： </w:t>
      </w:r>
      <w:r>
        <w:rPr>
          <w:spacing w:val="-2"/>
        </w:rPr>
        <w:t>因持有意图或能力发生改变，或公允价值不再能够可靠计量，或根据《企业会计准则第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w:t>
      </w:r>
    </w:p>
    <w:p>
      <w:pPr>
        <w:pStyle w:val="BodyText"/>
        <w:spacing w:line="477" w:lineRule="auto" w:before="21"/>
        <w:ind w:left="153" w:right="151"/>
        <w:jc w:val="both"/>
      </w:pPr>
      <w:r>
        <w:rPr>
          <w:spacing w:val="-2"/>
        </w:rPr>
        <w:t>十六条规定将持有至到期投资重分类为可供出售金融资产的期限已超过两个完整的会计年度，使金融资产不再适合按照公允</w:t>
      </w:r>
      <w:r>
        <w:rPr>
          <w:spacing w:val="-64"/>
        </w:rPr>
        <w:t> </w:t>
      </w:r>
      <w:r>
        <w:rPr>
          <w:spacing w:val="-64"/>
        </w:rPr>
      </w:r>
      <w:r>
        <w:rPr>
          <w:spacing w:val="-2"/>
        </w:rPr>
        <w:t>价值计量时，本公司将可供出售金融资产改按成本或摊余成本计量。重分类日，该金融资产的成本或摊余成本为该日的公允</w:t>
      </w:r>
      <w:r>
        <w:rPr>
          <w:spacing w:val="-66"/>
        </w:rPr>
        <w:t> </w:t>
      </w:r>
      <w:r>
        <w:rPr>
          <w:spacing w:val="-66"/>
        </w:rPr>
      </w:r>
      <w:r>
        <w:rPr/>
        <w:t>价值或账面价值。</w:t>
      </w:r>
    </w:p>
    <w:p>
      <w:pPr>
        <w:pStyle w:val="BodyText"/>
        <w:spacing w:line="477" w:lineRule="auto" w:before="54"/>
        <w:ind w:left="153" w:right="149" w:firstLine="360"/>
        <w:jc w:val="both"/>
      </w:pPr>
      <w:r>
        <w:rPr>
          <w:spacing w:val="-2"/>
        </w:rPr>
        <w:t>该金融资产有固定到期日的，与该金融资产相关、原计入其他综合收益的利得或损失，在该金融资产的剩余期限内，采</w:t>
      </w:r>
      <w:r>
        <w:rPr/>
        <w:t> </w:t>
      </w:r>
      <w:r>
        <w:rPr>
          <w:spacing w:val="-2"/>
        </w:rPr>
        <w:t>用实际利率法摊销，计入当期损益；该金融资产的摊余成本与到期日金额之间的差额，在该金融资产的剩余期限内，采用实</w:t>
      </w:r>
      <w:r>
        <w:rPr>
          <w:spacing w:val="-66"/>
        </w:rPr>
        <w:t> </w:t>
      </w:r>
      <w:r>
        <w:rPr>
          <w:spacing w:val="-66"/>
        </w:rPr>
      </w:r>
      <w:r>
        <w:rPr>
          <w:spacing w:val="-2"/>
        </w:rPr>
        <w:t>际利率法摊销，计入当期损益。该金融资产没有固定到期日的，原计入其他综合收益的利得或损失仍保留在股东权益中，在</w:t>
      </w:r>
      <w:r>
        <w:rPr>
          <w:spacing w:val="-66"/>
        </w:rPr>
        <w:t> </w:t>
      </w:r>
      <w:r>
        <w:rPr>
          <w:spacing w:val="-66"/>
        </w:rPr>
      </w:r>
      <w:r>
        <w:rPr/>
        <w:t>该金融资产被处置时转出，计入当期损益。</w:t>
      </w:r>
    </w:p>
    <w:p>
      <w:pPr>
        <w:pStyle w:val="BodyText"/>
        <w:spacing w:line="451" w:lineRule="auto" w:before="54"/>
        <w:ind w:left="513"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477" w:lineRule="auto" w:before="74"/>
        <w:ind w:left="513"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477" w:lineRule="auto" w:before="54"/>
        <w:ind w:left="153" w:right="149"/>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477" w:lineRule="auto" w:before="54"/>
        <w:ind w:left="514" w:right="0"/>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477" w:lineRule="auto" w:before="54"/>
        <w:ind w:right="149"/>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477" w:lineRule="auto" w:before="54"/>
        <w:ind w:left="514" w:right="0"/>
        <w:jc w:val="left"/>
      </w:pPr>
      <w:r>
        <w:rPr/>
        <w:t>②</w:t>
      </w:r>
      <w:r>
        <w:rPr>
          <w:spacing w:val="-17"/>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477" w:lineRule="auto" w:before="54"/>
        <w:ind w:left="153" w:right="151"/>
        <w:jc w:val="both"/>
      </w:pPr>
      <w:r>
        <w:rPr>
          <w:spacing w:val="-2"/>
        </w:rPr>
        <w:t>减值。发生减值时，将原计入其他综合收益的因公允价值下降形成的累计损失予以转出并计入当期损益，该转出的累计损失</w:t>
      </w:r>
      <w:r>
        <w:rPr>
          <w:spacing w:val="-66"/>
        </w:rPr>
        <w:t> </w:t>
      </w:r>
      <w:r>
        <w:rPr>
          <w:spacing w:val="-66"/>
        </w:rPr>
      </w:r>
      <w:r>
        <w:rPr/>
        <w:t>为该资产初始取得成本扣除已收回本金和已摊销金额、当前公允价值和原已计入损益的减值损失后的余额。</w:t>
      </w:r>
    </w:p>
    <w:p>
      <w:pPr>
        <w:pStyle w:val="BodyText"/>
        <w:spacing w:line="477" w:lineRule="auto" w:before="54"/>
        <w:ind w:left="153" w:right="15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spacing w:after="0" w:line="477" w:lineRule="auto"/>
        <w:jc w:val="both"/>
        <w:sectPr>
          <w:footerReference w:type="default" r:id="rId22"/>
          <w:pgSz w:w="11910" w:h="16840"/>
          <w:pgMar w:footer="982" w:header="877" w:top="1100" w:bottom="1180" w:left="980" w:right="980"/>
          <w:pgNumType w:start="106"/>
        </w:sectPr>
      </w:pPr>
    </w:p>
    <w:p>
      <w:pPr>
        <w:spacing w:line="240" w:lineRule="auto" w:before="11"/>
        <w:rPr>
          <w:rFonts w:ascii="宋体" w:hAnsi="宋体" w:cs="宋体" w:eastAsia="宋体" w:hint="default"/>
          <w:sz w:val="27"/>
          <w:szCs w:val="27"/>
        </w:rPr>
      </w:pPr>
    </w:p>
    <w:p>
      <w:pPr>
        <w:pStyle w:val="BodyText"/>
        <w:spacing w:line="477" w:lineRule="auto" w:before="44"/>
        <w:ind w:left="153" w:right="19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54"/>
        <w:ind w:left="513" w:right="90"/>
        <w:jc w:val="left"/>
      </w:pPr>
      <w:r>
        <w:rPr/>
        <w:t>（</w:t>
      </w:r>
      <w:r>
        <w:rPr>
          <w:rFonts w:ascii="Times New Roman" w:hAnsi="Times New Roman" w:cs="Times New Roman" w:eastAsia="Times New Roman" w:hint="default"/>
        </w:rPr>
        <w:t>4</w:t>
      </w:r>
      <w:r>
        <w:rPr/>
        <w:t>）金融资产转移的确认依据和计量方法</w:t>
      </w:r>
    </w:p>
    <w:p>
      <w:pPr>
        <w:spacing w:line="240" w:lineRule="auto" w:before="9"/>
        <w:rPr>
          <w:rFonts w:ascii="宋体" w:hAnsi="宋体" w:cs="宋体" w:eastAsia="宋体" w:hint="default"/>
          <w:sz w:val="16"/>
          <w:szCs w:val="16"/>
        </w:rPr>
      </w:pPr>
    </w:p>
    <w:p>
      <w:pPr>
        <w:pStyle w:val="BodyText"/>
        <w:spacing w:line="477" w:lineRule="auto"/>
        <w:ind w:right="144" w:firstLine="360"/>
        <w:jc w:val="both"/>
      </w:pPr>
      <w:r>
        <w:rPr/>
        <w:t>满足下列条件之一的金融资产，予以终止确认：① 收取该金融资产现金流量的合同权利终止；②</w:t>
      </w:r>
      <w:r>
        <w:rPr>
          <w:spacing w:val="-37"/>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477" w:lineRule="auto" w:before="54"/>
        <w:ind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477" w:lineRule="auto" w:before="54"/>
        <w:ind w:right="19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477" w:lineRule="auto" w:before="54"/>
        <w:ind w:right="19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477" w:lineRule="auto" w:before="54"/>
        <w:ind w:right="190"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451" w:lineRule="auto" w:before="54"/>
        <w:ind w:left="514" w:right="90"/>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477" w:lineRule="auto" w:before="74"/>
        <w:ind w:right="9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477" w:lineRule="auto" w:before="54"/>
        <w:ind w:left="514" w:right="270"/>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477" w:lineRule="auto" w:before="54"/>
        <w:ind w:left="514" w:right="9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54"/>
        <w:ind w:right="90"/>
        <w:jc w:val="left"/>
      </w:pPr>
      <w:r>
        <w:rPr/>
        <w:t>与该等金融负债相关的股利和利息支出计入当期损益。</w:t>
      </w:r>
    </w:p>
    <w:p>
      <w:pPr>
        <w:spacing w:line="240" w:lineRule="auto" w:before="10"/>
        <w:rPr>
          <w:rFonts w:ascii="宋体" w:hAnsi="宋体" w:cs="宋体" w:eastAsia="宋体" w:hint="default"/>
          <w:sz w:val="17"/>
          <w:szCs w:val="17"/>
        </w:rPr>
      </w:pPr>
    </w:p>
    <w:p>
      <w:pPr>
        <w:pStyle w:val="BodyText"/>
        <w:spacing w:line="477" w:lineRule="auto"/>
        <w:ind w:left="514" w:right="90"/>
        <w:jc w:val="left"/>
      </w:pPr>
      <w:r>
        <w:rPr/>
        <w:t>②</w:t>
      </w:r>
      <w:r>
        <w:rPr>
          <w:spacing w:val="-17"/>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240" w:lineRule="auto" w:before="54"/>
        <w:ind w:right="0"/>
        <w:jc w:val="left"/>
      </w:pPr>
      <w:r>
        <w:rPr/>
        <w:t>成本进行后续计量。其他金融负债采用实际利率法，按摊余成本进行后续计量，终止确认或摊销产生的利得或损失计入当期</w:t>
      </w:r>
    </w:p>
    <w:p>
      <w:pPr>
        <w:spacing w:after="0" w:line="240" w:lineRule="auto"/>
        <w:jc w:val="left"/>
        <w:sectPr>
          <w:footerReference w:type="default" r:id="rId23"/>
          <w:pgSz w:w="11910" w:h="16840"/>
          <w:pgMar w:footer="982" w:header="877" w:top="1100" w:bottom="1180" w:left="980" w:right="940"/>
          <w:pgNumType w:start="107"/>
        </w:sectPr>
      </w:pPr>
    </w:p>
    <w:p>
      <w:pPr>
        <w:spacing w:line="240" w:lineRule="auto" w:before="11"/>
        <w:rPr>
          <w:rFonts w:ascii="宋体" w:hAnsi="宋体" w:cs="宋体" w:eastAsia="宋体" w:hint="default"/>
          <w:sz w:val="27"/>
          <w:szCs w:val="27"/>
        </w:rPr>
      </w:pPr>
    </w:p>
    <w:p>
      <w:pPr>
        <w:pStyle w:val="BodyText"/>
        <w:spacing w:line="240" w:lineRule="auto" w:before="44"/>
        <w:ind w:left="153" w:right="0"/>
        <w:jc w:val="both"/>
      </w:pPr>
      <w:r>
        <w:rPr/>
        <w:t>损益。</w:t>
      </w:r>
    </w:p>
    <w:p>
      <w:pPr>
        <w:spacing w:line="240" w:lineRule="auto" w:before="10"/>
        <w:rPr>
          <w:rFonts w:ascii="宋体" w:hAnsi="宋体" w:cs="宋体" w:eastAsia="宋体" w:hint="default"/>
          <w:sz w:val="17"/>
          <w:szCs w:val="17"/>
        </w:rPr>
      </w:pPr>
    </w:p>
    <w:p>
      <w:pPr>
        <w:pStyle w:val="BodyText"/>
        <w:spacing w:line="477" w:lineRule="auto"/>
        <w:ind w:left="514" w:right="90"/>
        <w:jc w:val="left"/>
      </w:pPr>
      <w:r>
        <w:rPr/>
        <w:t>③</w:t>
      </w:r>
      <w:r>
        <w:rPr>
          <w:spacing w:val="-17"/>
        </w:rPr>
        <w:t> </w:t>
      </w:r>
      <w:r>
        <w:rPr/>
        <w:t>财务担保合同及贷款承诺</w:t>
      </w:r>
      <w:r>
        <w:rPr/>
        <w:t> </w:t>
      </w:r>
      <w:r>
        <w:rPr>
          <w:spacing w:val="-2"/>
        </w:rPr>
        <w:t>不属于指定为以公允价值计量且其变动计入当期损益的金融负债的财务担保合同，或没有指定为以公允价值计量且其变</w:t>
      </w:r>
    </w:p>
    <w:p>
      <w:pPr>
        <w:pStyle w:val="BodyText"/>
        <w:spacing w:line="451" w:lineRule="auto" w:before="54"/>
        <w:ind w:left="153" w:right="191"/>
        <w:jc w:val="both"/>
      </w:pPr>
      <w:r>
        <w:rPr>
          <w:spacing w:val="-2"/>
        </w:rPr>
        <w:t>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4"/>
        </w:rPr>
        <w:t> </w:t>
      </w:r>
      <w:r>
        <w:rPr>
          <w:spacing w:val="-2"/>
        </w:rPr>
        <w:t>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r>
        <w:rPr>
          <w:spacing w:val="-64"/>
        </w:rPr>
        <w:t> </w:t>
      </w:r>
      <w:r>
        <w:rPr>
          <w:spacing w:val="-64"/>
        </w:rPr>
      </w:r>
      <w:r>
        <w:rPr/>
        <w:t>者进行后续计量。</w:t>
      </w:r>
    </w:p>
    <w:p>
      <w:pPr>
        <w:pStyle w:val="BodyText"/>
        <w:spacing w:line="451" w:lineRule="auto" w:before="74"/>
        <w:ind w:left="513" w:right="9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477" w:lineRule="auto" w:before="74"/>
        <w:ind w:left="153" w:right="191"/>
        <w:jc w:val="both"/>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477" w:lineRule="auto" w:before="54"/>
        <w:ind w:left="153" w:right="9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451" w:lineRule="auto" w:before="54"/>
        <w:ind w:left="513" w:right="9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477" w:lineRule="auto" w:before="74"/>
        <w:ind w:left="153" w:right="190"/>
        <w:jc w:val="both"/>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477" w:lineRule="auto" w:before="54"/>
        <w:ind w:left="153" w:right="9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76" w:lineRule="auto" w:before="54"/>
        <w:ind w:left="513" w:right="9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209" w:lineRule="exact"/>
        <w:ind w:left="153" w:right="0"/>
        <w:jc w:val="both"/>
      </w:pPr>
      <w:r>
        <w:rPr/>
        <w:t>同时变现该金融资产和清偿该金融负债时，金融资产和金融负债以相互抵销后的金额在资产负债表内列示。除此以外，金融</w:t>
      </w:r>
    </w:p>
    <w:p>
      <w:pPr>
        <w:pStyle w:val="BodyText"/>
        <w:spacing w:line="240" w:lineRule="auto" w:before="76"/>
        <w:ind w:left="153" w:right="0"/>
        <w:jc w:val="both"/>
      </w:pPr>
      <w:r>
        <w:rPr/>
        <w:t>资产和金融负债在资产负债表内分别列示，不予相互抵销。</w:t>
      </w:r>
    </w:p>
    <w:p>
      <w:pPr>
        <w:pStyle w:val="BodyText"/>
        <w:spacing w:line="451" w:lineRule="auto" w:before="154"/>
        <w:ind w:left="513" w:right="90"/>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439" w:lineRule="auto" w:before="74"/>
        <w:ind w:left="153" w:right="101"/>
        <w:jc w:val="both"/>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after="0" w:line="439"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44"/>
        <w:ind w:left="0" w:right="159"/>
        <w:jc w:val="right"/>
      </w:pPr>
      <w:r>
        <w:rPr/>
        <w:pict>
          <v:shape style="position:absolute;margin-left:56.459999pt;margin-top:-.847961pt;width:479.1pt;height:118.7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万元以上的应收款项和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pacing w:val="-24"/>
                            <w:sz w:val="18"/>
                            <w:szCs w:val="18"/>
                          </w:rPr>
                          <w:t>万元（含</w:t>
                        </w:r>
                        <w:r>
                          <w:rPr>
                            <w:rFonts w:ascii="宋体" w:hAnsi="宋体" w:cs="宋体" w:eastAsia="宋体" w:hint="default"/>
                            <w:spacing w:val="-2"/>
                            <w:sz w:val="18"/>
                            <w:szCs w:val="18"/>
                          </w:rPr>
                          <w:t> </w:t>
                        </w:r>
                        <w:r>
                          <w:rPr>
                            <w:rFonts w:ascii="宋体" w:hAnsi="宋体" w:cs="宋体" w:eastAsia="宋体" w:hint="default"/>
                            <w:sz w:val="18"/>
                            <w:szCs w:val="18"/>
                          </w:rPr>
                          <w:t>以上其他应收款确认为单项金额重大的应收款项。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低风险信用组合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其他方法（合并报表范围的各公司之间应收款项及应收退税 款，发生坏账的风险低，不计提坏账准备）</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pStyle w:val="BodyText"/>
        <w:spacing w:line="240" w:lineRule="auto" w:before="44"/>
        <w:ind w:left="0" w:right="158"/>
        <w:jc w:val="right"/>
      </w:pPr>
      <w:r>
        <w:rPr/>
        <w:pict>
          <v:shape style="position:absolute;margin-left:56.459999pt;margin-top:-67.687973pt;width:479.1pt;height:103.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单独进行减值测试：已有明显迹象表明债务人很可能无法履 行还款义务的应收款项；其他经确认不能收回的应收款项。</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c>
                  </w:tr>
                </w:tbl>
                <w:p>
                  <w:pPr/>
                </w:p>
              </w:txbxContent>
            </v:textbox>
            <w10:wrap type="none"/>
          </v:shape>
        </w:pict>
      </w:r>
      <w:r>
        <w:rPr/>
        <w:t>，</w:t>
      </w:r>
    </w:p>
    <w:p>
      <w:pPr>
        <w:spacing w:after="0" w:line="240" w:lineRule="auto"/>
        <w:jc w:val="righ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4231"/>
        <w:jc w:val="left"/>
      </w:pPr>
      <w:r>
        <w:rPr/>
        <w:t>（</w:t>
      </w:r>
      <w:r>
        <w:rPr>
          <w:rFonts w:ascii="Times New Roman" w:hAnsi="Times New Roman" w:cs="Times New Roman" w:eastAsia="Times New Roman" w:hint="default"/>
        </w:rPr>
        <w:t>1</w:t>
      </w:r>
      <w:r>
        <w:rPr/>
        <w:t>）存货的分类 存货主要包括库存商品、原材料、低值易耗品、包装物等四大类。</w:t>
      </w:r>
    </w:p>
    <w:p>
      <w:pPr>
        <w:pStyle w:val="BodyText"/>
        <w:spacing w:line="451" w:lineRule="auto" w:before="74"/>
        <w:ind w:left="513" w:right="271"/>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存货在取得时按实际成本计价，存货成本包括采购成本、加工成本和其他成本。领用和发出时按按加权平均法核算。</w:t>
      </w:r>
    </w:p>
    <w:p>
      <w:pPr>
        <w:pStyle w:val="BodyText"/>
        <w:spacing w:line="451" w:lineRule="auto" w:before="74"/>
        <w:ind w:left="514" w:right="9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可变现净值是指在日常活动中，存货的估计售价减去至完工时估计将要发生的成本、估计的销售费用以及相关税费后的</w:t>
      </w:r>
    </w:p>
    <w:p>
      <w:pPr>
        <w:pStyle w:val="BodyText"/>
        <w:spacing w:line="477" w:lineRule="auto" w:before="74"/>
        <w:ind w:left="514" w:right="90"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477" w:lineRule="auto" w:before="54"/>
        <w:ind w:right="108"/>
        <w:jc w:val="both"/>
      </w:pPr>
      <w:r>
        <w:rPr>
          <w:spacing w:val="-2"/>
        </w:rPr>
        <w:t>备通常按单个存货项目的成本高于其可变现净值的差额提取。计提存货跌价准备后，如果以前减记存货价值的影响因素已经</w:t>
      </w:r>
      <w:r>
        <w:rPr>
          <w:spacing w:val="-64"/>
        </w:rPr>
        <w:t> </w:t>
      </w:r>
      <w:r>
        <w:rPr>
          <w:spacing w:val="-64"/>
        </w:rPr>
      </w:r>
      <w:r>
        <w:rPr/>
        <w:t>消失，导致存货的可变现净值高于其账面价值的，在原已计提的存货跌价准备金额内予以转回，转回的金额计入当期损益。</w:t>
      </w:r>
    </w:p>
    <w:p>
      <w:pPr>
        <w:pStyle w:val="BodyText"/>
        <w:spacing w:line="451" w:lineRule="auto" w:before="54"/>
        <w:ind w:left="514" w:right="6210"/>
        <w:jc w:val="left"/>
      </w:pPr>
      <w:r>
        <w:rPr/>
        <w:t>（</w:t>
      </w:r>
      <w:r>
        <w:rPr>
          <w:rFonts w:ascii="Times New Roman" w:hAnsi="Times New Roman" w:cs="Times New Roman" w:eastAsia="Times New Roman" w:hint="default"/>
        </w:rPr>
        <w:t>4</w:t>
      </w:r>
      <w:r>
        <w:rPr/>
        <w:t>）存货的盘存制度 本公司存货的盘存制度采用永续盘存法。</w:t>
      </w:r>
    </w:p>
    <w:p>
      <w:pPr>
        <w:pStyle w:val="BodyText"/>
        <w:spacing w:line="463" w:lineRule="auto" w:before="74"/>
        <w:ind w:left="514" w:right="5670"/>
        <w:jc w:val="left"/>
      </w:pPr>
      <w:r>
        <w:rPr/>
        <w:t>（</w:t>
      </w:r>
      <w:r>
        <w:rPr>
          <w:rFonts w:ascii="Times New Roman" w:hAnsi="Times New Roman" w:cs="Times New Roman" w:eastAsia="Times New Roman" w:hint="default"/>
        </w:rPr>
        <w:t>5</w:t>
      </w:r>
      <w:r>
        <w:rPr/>
        <w:t>）低值易耗品和包装物的摊销方法 低值易耗品摊销方法：于其领用时一次性摊销。 包装物摊销方法：于其领用时一次性摊销。</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477" w:lineRule="auto" w:before="21"/>
        <w:ind w:left="153" w:right="19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451" w:lineRule="auto" w:before="54"/>
        <w:ind w:left="513" w:right="9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477" w:lineRule="auto" w:before="74"/>
        <w:ind w:left="153" w:right="191"/>
        <w:jc w:val="both"/>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p>
    <w:p>
      <w:pPr>
        <w:spacing w:after="0" w:line="477"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0"/>
        <w:jc w:val="left"/>
      </w:pP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w:t>
      </w:r>
    </w:p>
    <w:p>
      <w:pPr>
        <w:pStyle w:val="BodyText"/>
        <w:spacing w:line="477" w:lineRule="auto" w:before="54"/>
        <w:ind w:right="90" w:firstLine="360"/>
        <w:jc w:val="left"/>
      </w:pPr>
      <w:r>
        <w:rPr>
          <w:spacing w:val="-2"/>
        </w:rPr>
        <w:t>对于非同一控制下的企业合并取得的长期股权投资，在购买日按照合并成本作为长期股权投资的初始投资成本，合并成</w:t>
      </w:r>
      <w:r>
        <w:rPr/>
        <w:t> 本包括包括购买方付出的资产、发生或承担的负债、发行的权益性证券的公允价值之和。</w:t>
      </w:r>
    </w:p>
    <w:p>
      <w:pPr>
        <w:pStyle w:val="BodyText"/>
        <w:spacing w:line="477" w:lineRule="auto" w:before="54"/>
        <w:ind w:right="90" w:firstLine="360"/>
        <w:jc w:val="left"/>
      </w:pPr>
      <w:r>
        <w:rPr>
          <w:spacing w:val="-2"/>
        </w:rPr>
        <w:t>合并方或购买方为企业合并发生的审计、法律服务、评估咨询等中介费用以及其他相关管理费用，于发生时计入当期损</w:t>
      </w:r>
      <w:r>
        <w:rPr/>
        <w:t> 益。</w:t>
      </w:r>
    </w:p>
    <w:p>
      <w:pPr>
        <w:pStyle w:val="BodyText"/>
        <w:spacing w:line="477" w:lineRule="auto" w:before="54"/>
        <w:ind w:right="190"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w:t>
      </w:r>
    </w:p>
    <w:p>
      <w:pPr>
        <w:pStyle w:val="BodyText"/>
        <w:spacing w:line="451" w:lineRule="auto" w:before="54"/>
        <w:ind w:left="514" w:right="9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74"/>
        <w:ind w:right="90"/>
        <w:jc w:val="left"/>
      </w:pPr>
      <w:r>
        <w:rPr/>
        <w:t>表采用成本法核算能够对被投资单位实施控制的长期股权投资。</w:t>
      </w:r>
    </w:p>
    <w:p>
      <w:pPr>
        <w:spacing w:line="240" w:lineRule="auto" w:before="10"/>
        <w:rPr>
          <w:rFonts w:ascii="宋体" w:hAnsi="宋体" w:cs="宋体" w:eastAsia="宋体" w:hint="default"/>
          <w:sz w:val="17"/>
          <w:szCs w:val="17"/>
        </w:rPr>
      </w:pPr>
    </w:p>
    <w:p>
      <w:pPr>
        <w:pStyle w:val="BodyText"/>
        <w:spacing w:line="477" w:lineRule="auto"/>
        <w:ind w:left="514" w:right="90"/>
        <w:jc w:val="left"/>
      </w:pPr>
      <w:r>
        <w:rPr/>
        <w:t>①</w:t>
      </w:r>
      <w:r>
        <w:rPr>
          <w:spacing w:val="-17"/>
        </w:rPr>
        <w:t> </w:t>
      </w:r>
      <w:r>
        <w:rPr/>
        <w:t>成本法核算的长期股权投资</w:t>
      </w:r>
      <w:r>
        <w:rPr/>
        <w:t> </w:t>
      </w:r>
      <w:r>
        <w:rPr>
          <w:spacing w:val="-2"/>
        </w:rPr>
        <w:t>采用成本法核算时，长期股权投资按初始投资成本计价，除取得投资时实际支付的价款或者对价中包含的已宣告但尚未</w:t>
      </w:r>
    </w:p>
    <w:p>
      <w:pPr>
        <w:pStyle w:val="BodyText"/>
        <w:spacing w:line="240" w:lineRule="auto" w:before="54"/>
        <w:ind w:right="90"/>
        <w:jc w:val="left"/>
      </w:pPr>
      <w:r>
        <w:rPr/>
        <w:t>发放的现金股利或者利润外，当期投资收益按照享有被投资单位宣告发放的现金股利或利润确认。</w:t>
      </w:r>
    </w:p>
    <w:p>
      <w:pPr>
        <w:spacing w:line="240" w:lineRule="auto" w:before="10"/>
        <w:rPr>
          <w:rFonts w:ascii="宋体" w:hAnsi="宋体" w:cs="宋体" w:eastAsia="宋体" w:hint="default"/>
          <w:sz w:val="17"/>
          <w:szCs w:val="17"/>
        </w:rPr>
      </w:pPr>
    </w:p>
    <w:p>
      <w:pPr>
        <w:pStyle w:val="BodyText"/>
        <w:spacing w:line="477" w:lineRule="auto"/>
        <w:ind w:left="514" w:right="90"/>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477" w:lineRule="auto" w:before="54"/>
        <w:ind w:right="9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477" w:lineRule="auto" w:before="54"/>
        <w:ind w:right="90"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t>不予以抵销。</w:t>
      </w:r>
    </w:p>
    <w:p>
      <w:pPr>
        <w:pStyle w:val="BodyText"/>
        <w:spacing w:line="240" w:lineRule="auto" w:before="54"/>
        <w:ind w:left="514" w:right="90"/>
        <w:jc w:val="left"/>
      </w:pPr>
      <w:r>
        <w:rPr/>
        <w:t>在确认应分担被投资单位发生的净亏损时</w:t>
      </w:r>
      <w:r>
        <w:rPr>
          <w:spacing w:val="-82"/>
        </w:rPr>
        <w:t>，</w:t>
      </w:r>
      <w:r>
        <w:rPr/>
        <w:t>以长期股权投资的账面价值和其他实质上构成对被投资单位净投资的长期权</w:t>
      </w:r>
    </w:p>
    <w:p>
      <w:pPr>
        <w:spacing w:after="0" w:line="240" w:lineRule="auto"/>
        <w:jc w:val="left"/>
        <w:sectPr>
          <w:footerReference w:type="default" r:id="rId24"/>
          <w:pgSz w:w="11910" w:h="16840"/>
          <w:pgMar w:footer="982" w:header="877" w:top="1100" w:bottom="1180" w:left="980" w:right="940"/>
          <w:pgNumType w:start="111"/>
        </w:sectPr>
      </w:pPr>
    </w:p>
    <w:p>
      <w:pPr>
        <w:spacing w:line="240" w:lineRule="auto" w:before="11"/>
        <w:rPr>
          <w:rFonts w:ascii="宋体" w:hAnsi="宋体" w:cs="宋体" w:eastAsia="宋体" w:hint="default"/>
          <w:sz w:val="27"/>
          <w:szCs w:val="27"/>
        </w:rPr>
      </w:pPr>
    </w:p>
    <w:p>
      <w:pPr>
        <w:pStyle w:val="BodyText"/>
        <w:spacing w:line="477" w:lineRule="auto" w:before="44"/>
        <w:ind w:right="0"/>
        <w:jc w:val="left"/>
      </w:pP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477" w:lineRule="auto" w:before="54"/>
        <w:ind w:left="514" w:right="0"/>
        <w:jc w:val="left"/>
      </w:pPr>
      <w:r>
        <w:rPr/>
        <w:t>③</w:t>
      </w:r>
      <w:r>
        <w:rPr>
          <w:spacing w:val="-17"/>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54"/>
        <w:ind w:right="0"/>
        <w:jc w:val="left"/>
      </w:pPr>
      <w:r>
        <w:rPr/>
        <w:t>日）开始持续计算的净资产份额之间的差额，调整资本公积，资本公积不足冲减的，调整留存收益。</w:t>
      </w:r>
    </w:p>
    <w:p>
      <w:pPr>
        <w:spacing w:line="240" w:lineRule="auto" w:before="10"/>
        <w:rPr>
          <w:rFonts w:ascii="宋体" w:hAnsi="宋体" w:cs="宋体" w:eastAsia="宋体" w:hint="default"/>
          <w:sz w:val="17"/>
          <w:szCs w:val="17"/>
        </w:rPr>
      </w:pPr>
    </w:p>
    <w:p>
      <w:pPr>
        <w:pStyle w:val="BodyText"/>
        <w:spacing w:line="477" w:lineRule="auto"/>
        <w:ind w:left="514" w:right="0"/>
        <w:jc w:val="left"/>
      </w:pPr>
      <w:r>
        <w:rPr/>
        <w:t>④</w:t>
      </w:r>
      <w:r>
        <w:rPr>
          <w:spacing w:val="-17"/>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477" w:lineRule="auto" w:before="54"/>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4</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477" w:lineRule="auto" w:before="21"/>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477" w:lineRule="auto" w:before="54"/>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477" w:lineRule="auto" w:before="54"/>
        <w:ind w:right="149"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6"/>
        <w:rPr>
          <w:rFonts w:ascii="宋体" w:hAnsi="宋体" w:cs="宋体" w:eastAsia="宋体" w:hint="default"/>
          <w:b/>
          <w:bCs/>
          <w:sz w:val="32"/>
          <w:szCs w:val="32"/>
        </w:rPr>
      </w:pPr>
    </w:p>
    <w:p>
      <w:pPr>
        <w:spacing w:line="477" w:lineRule="auto" w:before="0"/>
        <w:ind w:left="513" w:right="7603" w:firstLine="1"/>
        <w:jc w:val="left"/>
        <w:rPr>
          <w:rFonts w:ascii="宋体" w:hAnsi="宋体" w:cs="宋体" w:eastAsia="宋体" w:hint="default"/>
          <w:sz w:val="18"/>
          <w:szCs w:val="18"/>
        </w:rPr>
      </w:pPr>
      <w:r>
        <w:rPr>
          <w:rFonts w:ascii="宋体" w:hAnsi="宋体" w:cs="宋体" w:eastAsia="宋体" w:hint="default"/>
          <w:b/>
          <w:bCs/>
          <w:sz w:val="18"/>
          <w:szCs w:val="18"/>
        </w:rPr>
        <w:t>投资性房地产计量模式</w:t>
      </w:r>
      <w:r>
        <w:rPr>
          <w:rFonts w:ascii="宋体" w:hAnsi="宋体" w:cs="宋体" w:eastAsia="宋体" w:hint="default"/>
          <w:b/>
          <w:bCs/>
          <w:w w:val="99"/>
          <w:sz w:val="18"/>
          <w:szCs w:val="18"/>
        </w:rPr>
        <w:t> </w:t>
      </w:r>
      <w:r>
        <w:rPr>
          <w:rFonts w:ascii="宋体" w:hAnsi="宋体" w:cs="宋体" w:eastAsia="宋体" w:hint="default"/>
          <w:sz w:val="18"/>
          <w:szCs w:val="18"/>
        </w:rPr>
        <w:t>成本法计量 </w:t>
      </w:r>
      <w:r>
        <w:rPr>
          <w:rFonts w:ascii="宋体" w:hAnsi="宋体" w:cs="宋体" w:eastAsia="宋体" w:hint="default"/>
          <w:b/>
          <w:bCs/>
          <w:sz w:val="18"/>
          <w:szCs w:val="18"/>
        </w:rPr>
        <w:t>折旧或摊销方法</w:t>
      </w:r>
      <w:r>
        <w:rPr>
          <w:rFonts w:ascii="宋体" w:hAnsi="宋体" w:cs="宋体" w:eastAsia="宋体" w:hint="default"/>
          <w:sz w:val="18"/>
          <w:szCs w:val="18"/>
        </w:rPr>
      </w:r>
    </w:p>
    <w:p>
      <w:pPr>
        <w:pStyle w:val="BodyText"/>
        <w:spacing w:line="477" w:lineRule="auto" w:before="54"/>
        <w:ind w:right="151" w:firstLine="360"/>
        <w:jc w:val="both"/>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477" w:lineRule="auto" w:before="54"/>
        <w:ind w:right="151"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463" w:lineRule="auto" w:before="54"/>
        <w:ind w:left="514" w:right="0"/>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 </w:t>
      </w:r>
      <w:r>
        <w:rPr>
          <w:spacing w:val="-2"/>
        </w:rPr>
        <w:t>当投资性房地产被处置、或者永久退出使用且预计不能从其处置中取得经济利益时，终止确认该项投资性房地产。投资</w:t>
      </w:r>
    </w:p>
    <w:p>
      <w:pPr>
        <w:spacing w:after="0" w:line="463"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49"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15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0"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54"/>
        <w:ind w:left="513" w:right="0"/>
        <w:jc w:val="left"/>
      </w:pPr>
      <w:r>
        <w:rPr/>
        <w:t>在建工程的减值测试方法和减值准备计提方法详见附注四、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1"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p>
    <w:p>
      <w:pPr>
        <w:spacing w:after="0" w:line="477"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77" w:lineRule="auto" w:before="44"/>
        <w:ind w:right="0"/>
        <w:jc w:val="left"/>
      </w:pP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477" w:lineRule="auto" w:before="54"/>
        <w:ind w:right="15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477" w:lineRule="auto" w:before="54"/>
        <w:ind w:left="514"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477" w:lineRule="auto" w:before="54"/>
        <w:ind w:left="514" w:right="140"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40" w:lineRule="auto" w:before="21"/>
        <w:ind w:right="0"/>
        <w:jc w:val="left"/>
      </w:pPr>
      <w:r>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0"/>
        <w:jc w:val="left"/>
      </w:pPr>
      <w:r>
        <w:rPr/>
        <w:t>无形资产指企业拥有或控制的没有实物形态的可辨认非货币性资产，包括专有技术、土地使用权等。 </w:t>
      </w:r>
      <w:r>
        <w:rPr>
          <w:spacing w:val="-2"/>
        </w:rPr>
        <w:t>本公司无形资产按照成本进行初始计量。无形资产有关的支出，如果相关的经济利益很可能流入本公司且其成本能可靠</w:t>
      </w:r>
    </w:p>
    <w:p>
      <w:pPr>
        <w:pStyle w:val="BodyText"/>
        <w:spacing w:line="477" w:lineRule="auto" w:before="54"/>
        <w:ind w:left="513" w:right="0" w:hanging="360"/>
        <w:jc w:val="left"/>
      </w:pPr>
      <w:r>
        <w:rPr/>
        <w:t>地计量，则计入无形资产成本。除此以外的其他项目的支出，在发生时计入当期损益。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477" w:lineRule="auto" w:before="54"/>
        <w:ind w:left="153"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477" w:lineRule="auto" w:before="54"/>
        <w:ind w:left="153" w:right="150" w:firstLine="360"/>
        <w:jc w:val="both"/>
      </w:pPr>
      <w:r>
        <w:rPr>
          <w:spacing w:val="-2"/>
        </w:rPr>
        <w:t>使用寿命有限的无形资产自可供使用时起，对其原值在其预计使用寿命内采用直线法分期平均摊销。使用寿命不确定的</w:t>
      </w:r>
      <w:r>
        <w:rPr/>
        <w:t> 无形资产不予摊销。</w:t>
      </w:r>
    </w:p>
    <w:p>
      <w:pPr>
        <w:pStyle w:val="BodyText"/>
        <w:spacing w:line="477" w:lineRule="auto" w:before="54"/>
        <w:ind w:left="153" w:right="149"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54"/>
        <w:ind w:left="513" w:right="0"/>
        <w:jc w:val="left"/>
      </w:pPr>
      <w:r>
        <w:rPr/>
        <w:t>对使用寿命有限的无形资产，估计其使用寿命时通常考虑以下因素：</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①</w:t>
      </w:r>
      <w:r>
        <w:rPr>
          <w:spacing w:val="-19"/>
        </w:rPr>
        <w:t> </w:t>
      </w:r>
      <w:r>
        <w:rPr/>
        <w:t>运用该资产生产的产品通常的寿命周期、可获得的类似资产使用寿命的信息；</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②</w:t>
      </w:r>
      <w:r>
        <w:rPr>
          <w:spacing w:val="-19"/>
        </w:rPr>
        <w:t> </w:t>
      </w:r>
      <w:r>
        <w:rPr/>
        <w:t>技术、工艺等方面的现阶段情况及对未来发展趋势的估计；</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③</w:t>
      </w:r>
      <w:r>
        <w:rPr>
          <w:spacing w:val="-19"/>
        </w:rPr>
        <w:t> </w:t>
      </w:r>
      <w:r>
        <w:rPr/>
        <w:t>以该资产生产的产品或提供劳务的市场需求情况；</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④</w:t>
      </w:r>
      <w:r>
        <w:rPr>
          <w:spacing w:val="-19"/>
        </w:rPr>
        <w:t> </w:t>
      </w:r>
      <w:r>
        <w:rPr/>
        <w:t>现在或潜在的竞争者预期采取的行动；</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240" w:lineRule="auto" w:before="44"/>
        <w:ind w:left="514" w:right="0"/>
        <w:jc w:val="left"/>
      </w:pPr>
      <w:r>
        <w:rPr/>
        <w:t>⑤</w:t>
      </w:r>
      <w:r>
        <w:rPr>
          <w:spacing w:val="-19"/>
        </w:rPr>
        <w:t> </w:t>
      </w:r>
      <w:r>
        <w:rPr/>
        <w:t>为维持该资产带来经济利益能力的预期维护支出，以及公司预计支付有关支出的能力；</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⑥</w:t>
      </w:r>
      <w:r>
        <w:rPr>
          <w:spacing w:val="-19"/>
        </w:rPr>
        <w:t> </w:t>
      </w:r>
      <w:r>
        <w:rPr/>
        <w:t>对该资产控制期限的相关法律规定或类似限制，如特许使用期、租赁期等；</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⑦</w:t>
      </w:r>
      <w:r>
        <w:rPr>
          <w:spacing w:val="-19"/>
        </w:rPr>
        <w:t> </w:t>
      </w:r>
      <w:r>
        <w:rPr/>
        <w:t>与公司持有其他资产使用寿命的关联性等。</w:t>
      </w:r>
    </w:p>
    <w:p>
      <w:pPr>
        <w:spacing w:line="240" w:lineRule="auto" w:before="13"/>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480"/>
        <w:gridCol w:w="2906"/>
        <w:gridCol w:w="2411"/>
      </w:tblGrid>
      <w:tr>
        <w:trPr>
          <w:trHeight w:val="347" w:hRule="exact"/>
        </w:trPr>
        <w:tc>
          <w:tcPr>
            <w:tcW w:w="24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41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自主软件产品</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5年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7"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专利及软件著作权</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5-10年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8"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办公软件</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5年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7"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商标及其他</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5-10年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bl>
    <w:p>
      <w:pPr>
        <w:pStyle w:val="BodyText"/>
        <w:spacing w:line="477" w:lineRule="auto" w:before="88"/>
        <w:ind w:right="230" w:firstLine="360"/>
        <w:jc w:val="left"/>
      </w:pPr>
      <w:r>
        <w:rPr/>
        <w:t>公司在每个会计期间对使用寿命不确定的无形资产的使用寿命进行复核，如果有证据表明无形资产的使用寿命是有限 的，估计其使用寿命，按照使用寿命有限的无形资产处理。</w:t>
      </w:r>
    </w:p>
    <w:p>
      <w:pPr>
        <w:pStyle w:val="BodyText"/>
        <w:spacing w:line="240" w:lineRule="auto" w:before="54"/>
        <w:ind w:left="513" w:right="0"/>
        <w:jc w:val="left"/>
      </w:pPr>
      <w:r>
        <w:rPr/>
        <w:t>无形资产的减值测试方法和减值准备计提方法详见附注四、</w:t>
      </w:r>
      <w:r>
        <w:rPr>
          <w:rFonts w:ascii="Times New Roman" w:hAnsi="Times New Roman" w:cs="Times New Roman" w:eastAsia="Times New Roman" w:hint="default"/>
        </w:rPr>
        <w:t>18“</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771"/>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54"/>
        <w:ind w:left="513" w:right="0"/>
        <w:jc w:val="left"/>
      </w:pPr>
      <w:r>
        <w:rPr/>
        <w:t>①</w:t>
      </w:r>
      <w:r>
        <w:rPr>
          <w:spacing w:val="-19"/>
        </w:rPr>
        <w:t> </w:t>
      </w:r>
      <w:r>
        <w:rPr/>
        <w:t>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②</w:t>
      </w:r>
      <w:r>
        <w:rPr>
          <w:spacing w:val="-19"/>
        </w:rPr>
        <w:t> </w:t>
      </w:r>
      <w:r>
        <w:rPr/>
        <w:t>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159" w:firstLine="360"/>
        <w:jc w:val="left"/>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54"/>
        <w:ind w:left="514" w:right="0"/>
        <w:jc w:val="left"/>
      </w:pPr>
      <w:r>
        <w:rPr/>
        <w:t>④</w:t>
      </w:r>
      <w:r>
        <w:rPr>
          <w:spacing w:val="-19"/>
        </w:rPr>
        <w:t> </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514" w:right="2930"/>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49"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477" w:lineRule="auto" w:before="54"/>
        <w:ind w:left="153"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p>
    <w:p>
      <w:pPr>
        <w:spacing w:after="0" w:line="477"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77" w:lineRule="auto" w:before="44"/>
        <w:ind w:left="153" w:right="90"/>
        <w:jc w:val="left"/>
      </w:pP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477" w:lineRule="auto" w:before="54"/>
        <w:ind w:left="153" w:right="19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54"/>
        <w:ind w:left="513" w:right="9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9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90" w:firstLine="360"/>
        <w:jc w:val="left"/>
      </w:pPr>
      <w:r>
        <w:rPr>
          <w:spacing w:val="-2"/>
        </w:rPr>
        <w:t>长期待摊费用为已经发生但应由报告期和以后各期负担的分摊期限在一年以上的各项费用。本公司的长期待摊费用主要</w:t>
      </w:r>
      <w:r>
        <w:rPr/>
        <w:t> 包括开办费、经营性租赁固定资产的装修费和其他。长期待摊费用在预计受益期间按直线法摊销。</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80" w:firstLine="360"/>
        <w:jc w:val="left"/>
      </w:pPr>
      <w:r>
        <w:rPr/>
        <w:t>离职后福利计划包括设定提存计划和设定受益计划。其中，设定提存计划，是指向独 立的基金缴存固定费用后，企业 不再承担进一步支付义务的离职后福利计划；设定受益计划，是指除设定提存计划以外的离职后福利计划。</w:t>
      </w:r>
    </w:p>
    <w:p>
      <w:pPr>
        <w:pStyle w:val="BodyText"/>
        <w:spacing w:line="240" w:lineRule="auto" w:before="54"/>
        <w:ind w:left="514" w:right="90"/>
        <w:jc w:val="left"/>
      </w:pPr>
      <w:r>
        <w:rPr/>
        <w:t>本公司仅涉及设定提存计划。设定提存计划包括基本养老保险、失业保险等。</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在职工劳动合同到期之前解除与职工的劳动关系，或为鼓励职工自愿接受裁减而提出给予补偿的建议，在本公司不能单</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0"/>
        <w:jc w:val="left"/>
      </w:pP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9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9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3" w:right="191" w:firstLine="360"/>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477" w:lineRule="auto" w:before="43"/>
        <w:ind w:left="153" w:right="191"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477" w:lineRule="auto" w:before="54"/>
        <w:ind w:left="153" w:right="191"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74"/>
        <w:ind w:left="153" w:right="90"/>
        <w:jc w:val="left"/>
      </w:pPr>
      <w:r>
        <w:rPr/>
        <w:t>为以权益结算的股份支付和以现金结算的股份支付。</w:t>
      </w:r>
    </w:p>
    <w:p>
      <w:pPr>
        <w:spacing w:line="240" w:lineRule="auto" w:before="10"/>
        <w:rPr>
          <w:rFonts w:ascii="宋体" w:hAnsi="宋体" w:cs="宋体" w:eastAsia="宋体" w:hint="default"/>
          <w:sz w:val="17"/>
          <w:szCs w:val="17"/>
        </w:rPr>
      </w:pPr>
    </w:p>
    <w:p>
      <w:pPr>
        <w:pStyle w:val="BodyText"/>
        <w:spacing w:line="477" w:lineRule="auto"/>
        <w:ind w:left="514" w:right="90"/>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477" w:lineRule="auto" w:before="54"/>
        <w:ind w:right="9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477" w:lineRule="auto" w:before="21"/>
        <w:ind w:right="190"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477" w:lineRule="auto" w:before="54"/>
        <w:ind w:right="190"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240" w:lineRule="auto" w:before="54"/>
        <w:ind w:left="514" w:right="90"/>
        <w:jc w:val="left"/>
      </w:pPr>
      <w:r>
        <w:rPr/>
        <w:t>②</w:t>
      </w:r>
      <w:r>
        <w:rPr>
          <w:spacing w:val="-19"/>
        </w:rPr>
        <w:t> </w:t>
      </w:r>
      <w:r>
        <w:rPr/>
        <w:t>以现金结算的股份支付</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89" w:firstLine="360"/>
        <w:jc w:val="both"/>
      </w:pPr>
      <w:r>
        <w:rPr>
          <w:spacing w:val="-2"/>
        </w:rPr>
        <w:t>以现金结算的股份支付，按照本公司承担的以股份或其他权益工具为基础确定的负债的公允价值计量。如授予后立即可</w:t>
      </w:r>
      <w:r>
        <w:rPr/>
        <w:t> </w:t>
      </w: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54"/>
        <w:ind w:left="514" w:right="90"/>
        <w:jc w:val="left"/>
      </w:pPr>
      <w:r>
        <w:rPr/>
        <w:t>在相关负债结算前的每个资产负债表日以及结算日，对负债的公允价值重新计量，其变动计入当期损益。</w:t>
      </w:r>
    </w:p>
    <w:p>
      <w:pPr>
        <w:spacing w:line="240" w:lineRule="auto" w:before="10"/>
        <w:rPr>
          <w:rFonts w:ascii="宋体" w:hAnsi="宋体" w:cs="宋体" w:eastAsia="宋体" w:hint="default"/>
          <w:sz w:val="17"/>
          <w:szCs w:val="17"/>
        </w:rPr>
      </w:pPr>
    </w:p>
    <w:p>
      <w:pPr>
        <w:pStyle w:val="BodyText"/>
        <w:spacing w:line="451" w:lineRule="auto"/>
        <w:ind w:left="514" w:right="9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477" w:lineRule="auto" w:before="74"/>
        <w:ind w:right="19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477" w:lineRule="auto" w:before="54"/>
        <w:ind w:right="191"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因减少注册资本或奖励职工等原因收购本公司股份的，按实际支付的金额作为库存股处理，同时进行备查登记。如果将</w:t>
      </w:r>
      <w:r>
        <w:rPr/>
        <w:t> 回购的股份注销，则将按注销股票面值和注销股数计算的股票面值总额与实际回购所支付的金额之间的差额冲减资本公积， </w:t>
      </w:r>
      <w:r>
        <w:rPr>
          <w:spacing w:val="-2"/>
        </w:rPr>
        <w:t>资本公积不足冲减的，冲减留存收益；如果将回购的股份奖励给本公司职工属于以权益结算的股份支付，于职工行权购买本</w:t>
      </w:r>
      <w:r>
        <w:rPr>
          <w:spacing w:val="-66"/>
        </w:rPr>
        <w:t> </w:t>
      </w:r>
      <w:r>
        <w:rPr>
          <w:spacing w:val="-66"/>
        </w:rPr>
      </w:r>
      <w:r>
        <w:rPr>
          <w:spacing w:val="-2"/>
        </w:rPr>
        <w:t>公司股份收到价款时，转销交付职工的库存股成本和等待期内资本公积（其他资本公积）累计金额，同时，按照其差额调整</w:t>
      </w:r>
      <w:r>
        <w:rPr>
          <w:spacing w:val="-66"/>
        </w:rPr>
        <w:t> </w:t>
      </w:r>
      <w:r>
        <w:rPr>
          <w:spacing w:val="-66"/>
        </w:rPr>
      </w:r>
      <w:r>
        <w:rPr>
          <w:spacing w:val="-9"/>
        </w:rPr>
        <w:t>资本公积（股本溢价）。</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25</w:t>
      </w:r>
      <w:r>
        <w:rPr/>
        <w:t>、限制性股票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101" w:firstLine="360"/>
        <w:jc w:val="both"/>
      </w:pPr>
      <w:r>
        <w:rPr>
          <w:spacing w:val="-2"/>
        </w:rPr>
        <w:t>股权激励计划中，本公司授予被激励对象限制性股票，被激励对象先认购股票，如果后续未达到股权激励计划规定的解</w:t>
      </w:r>
      <w:r>
        <w:rPr/>
        <w:t> 锁条件，则本公司按照事先约定的价格回购股票。 向职工发行的限制性股票按有关规定履行了注册登记等增资手续的，在 </w:t>
      </w:r>
      <w:r>
        <w:rPr>
          <w:spacing w:val="-4"/>
        </w:rPr>
        <w:t>授予日，本公司根据收到的职工缴纳的认股款确认股本和资本公积（股本溢价）；同时就回购义务确认库存股和其他应付款。</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26</w:t>
      </w:r>
      <w:r>
        <w:rPr/>
        <w:t>、收入</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240" w:lineRule="auto" w:before="74"/>
        <w:ind w:left="153" w:right="0"/>
        <w:jc w:val="both"/>
      </w:pPr>
      <w:r>
        <w:rPr/>
        <w:t>实施有效控制，收入的金额能够可靠地计量，相关的经济利益很可能流入企业，相关的已发生或将发生的成本能够可靠地计</w:t>
      </w:r>
    </w:p>
    <w:p>
      <w:pPr>
        <w:spacing w:after="0" w:line="240"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514" w:right="3510" w:hanging="360"/>
        <w:jc w:val="left"/>
      </w:pPr>
      <w:r>
        <w:rPr/>
        <w:t>量时，确认商品销售收入的实现。 本公司商品销售主要有软件产品和系统集成收入，其收入的具体确认原则：</w:t>
      </w:r>
    </w:p>
    <w:p>
      <w:pPr>
        <w:pStyle w:val="BodyText"/>
        <w:spacing w:line="477" w:lineRule="auto" w:before="54"/>
        <w:ind w:right="191" w:firstLine="360"/>
        <w:jc w:val="both"/>
      </w:pPr>
      <w:r>
        <w:rPr>
          <w:spacing w:val="-2"/>
        </w:rPr>
        <w:t>①软件产品：是指本公司自主开发的，取得了软件产品登记认证，购买方个性化差异很小，基本具有行业通用性，因而</w:t>
      </w:r>
      <w:r>
        <w:rPr/>
        <w:t> 可以批量复制销售的应用软件。</w:t>
      </w:r>
    </w:p>
    <w:p>
      <w:pPr>
        <w:pStyle w:val="BodyText"/>
        <w:spacing w:line="477" w:lineRule="auto" w:before="54"/>
        <w:ind w:right="191" w:firstLine="360"/>
        <w:jc w:val="both"/>
      </w:pPr>
      <w:r>
        <w:rPr>
          <w:spacing w:val="-2"/>
        </w:rPr>
        <w:t>对于软件产品本公司在按照合同约定内容向购买方移交，并完成安装、调试工作，取得了购买方安装确认单据后确认收</w:t>
      </w:r>
      <w:r>
        <w:rPr/>
        <w:t> 入。</w:t>
      </w:r>
    </w:p>
    <w:p>
      <w:pPr>
        <w:pStyle w:val="BodyText"/>
        <w:spacing w:line="477" w:lineRule="auto" w:before="54"/>
        <w:ind w:right="108" w:firstLine="360"/>
        <w:jc w:val="both"/>
      </w:pPr>
      <w:r>
        <w:rPr/>
        <w:t>②系统集成：是指与本公司为客户提供的软件产品和软件开发相关的，应客户要求代客户购买硬件设备或第三方软件， 并提供相应的集成服务。</w:t>
      </w:r>
    </w:p>
    <w:p>
      <w:pPr>
        <w:pStyle w:val="BodyText"/>
        <w:spacing w:line="477" w:lineRule="auto" w:before="54"/>
        <w:ind w:right="191" w:firstLine="360"/>
        <w:jc w:val="both"/>
      </w:pPr>
      <w:r>
        <w:rPr>
          <w:spacing w:val="-2"/>
        </w:rPr>
        <w:t>系统集成在按照合同约定内容向购买方移交了所提供的硬件设备或第三方软件的所有权，并取得了购买方的验收单据后</w:t>
      </w:r>
      <w:r>
        <w:rPr/>
        <w:t> 确认收入。</w:t>
      </w:r>
    </w:p>
    <w:p>
      <w:pPr>
        <w:pStyle w:val="BodyText"/>
        <w:spacing w:line="451" w:lineRule="auto" w:before="54"/>
        <w:ind w:left="514" w:right="9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477" w:lineRule="auto" w:before="74"/>
        <w:ind w:left="514" w:right="90" w:hanging="360"/>
        <w:jc w:val="left"/>
      </w:pPr>
      <w:r>
        <w:rPr/>
        <w:t>工进度按已经提供的劳务占应提供劳务总量的比例确定。 提供劳务交易的结果能够可靠估计是指同时满足：①收入的金额能够可靠地计量；②相关的经济利益很可能流入企业；</w:t>
      </w:r>
    </w:p>
    <w:p>
      <w:pPr>
        <w:pStyle w:val="BodyText"/>
        <w:spacing w:line="477" w:lineRule="auto" w:before="54"/>
        <w:ind w:left="514" w:right="9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477" w:lineRule="auto" w:before="54"/>
        <w:ind w:left="514" w:right="2070" w:hanging="360"/>
        <w:jc w:val="left"/>
      </w:pPr>
      <w:r>
        <w:rPr/>
        <w:t>将已发生的劳务成本作为当期费用。已经发生的劳务成本如预计不能得到补偿的，则不确认收入。 本公司提供劳务主要有软件开发和服务类收入，其收入的具体确认原则：</w:t>
      </w:r>
    </w:p>
    <w:p>
      <w:pPr>
        <w:pStyle w:val="BodyText"/>
        <w:spacing w:line="477" w:lineRule="auto" w:before="54"/>
        <w:ind w:right="190" w:firstLine="360"/>
        <w:jc w:val="both"/>
      </w:pPr>
      <w:r>
        <w:rPr>
          <w:spacing w:val="-2"/>
        </w:rPr>
        <w:t>①软件开发：是指本公司在自主研发的各种底层开发平台或技术的基础上，按照客户的个性化需求进行定制性开发而形</w:t>
      </w:r>
      <w:r>
        <w:rPr/>
        <w:t> 成的应用软件。</w:t>
      </w:r>
    </w:p>
    <w:p>
      <w:pPr>
        <w:pStyle w:val="BodyText"/>
        <w:spacing w:line="477" w:lineRule="auto" w:before="54"/>
        <w:ind w:right="191" w:firstLine="360"/>
        <w:jc w:val="both"/>
      </w:pPr>
      <w:r>
        <w:rPr>
          <w:spacing w:val="-2"/>
        </w:rPr>
        <w:t>对于软件开发本公司在按照合同约定内容实施了开发工作，并为购买方完成了安装、调试工作，且至少具备以下条件之</w:t>
      </w:r>
      <w:r>
        <w:rPr/>
        <w:t> </w:t>
      </w:r>
      <w:r>
        <w:rPr>
          <w:spacing w:val="-2"/>
        </w:rPr>
        <w:t>一时确认收入：①已取得购买方的验收文件；②取得购买方对软件已正式投入使用的确认文件；③已符合合同约定的验收条</w:t>
      </w:r>
      <w:r>
        <w:rPr>
          <w:spacing w:val="-66"/>
        </w:rPr>
        <w:t> </w:t>
      </w:r>
      <w:r>
        <w:rPr>
          <w:spacing w:val="-66"/>
        </w:rPr>
      </w:r>
      <w:r>
        <w:rPr/>
        <w:t>件。</w:t>
      </w:r>
    </w:p>
    <w:p>
      <w:pPr>
        <w:pStyle w:val="BodyText"/>
        <w:spacing w:line="477" w:lineRule="auto" w:before="54"/>
        <w:ind w:left="514" w:right="90"/>
        <w:jc w:val="left"/>
      </w:pPr>
      <w:r>
        <w:rPr/>
        <w:t>②技术服务：是指本公司对已销售的软件产品、软件开发、系统集成等，为客户提供的后续技术支持或维护服务。 </w:t>
      </w:r>
      <w:r>
        <w:rPr>
          <w:spacing w:val="-2"/>
        </w:rPr>
        <w:t>对于按期提供劳务并计价收费的技术服务，本公司在按照合同约定内容提供了劳务后，分期确认收入；对于按次提供劳</w:t>
      </w:r>
    </w:p>
    <w:p>
      <w:pPr>
        <w:pStyle w:val="BodyText"/>
        <w:spacing w:line="240" w:lineRule="auto" w:before="54"/>
        <w:ind w:right="90"/>
        <w:jc w:val="left"/>
      </w:pPr>
      <w:r>
        <w:rPr/>
        <w:t>务并计价收费的技术服务，本公司在劳务已经提供，并取得购买方的服务确认单据后确认收入。</w:t>
      </w:r>
    </w:p>
    <w:p>
      <w:pPr>
        <w:spacing w:line="240" w:lineRule="auto" w:before="10"/>
        <w:rPr>
          <w:rFonts w:ascii="宋体" w:hAnsi="宋体" w:cs="宋体" w:eastAsia="宋体" w:hint="default"/>
          <w:sz w:val="17"/>
          <w:szCs w:val="17"/>
        </w:rPr>
      </w:pPr>
    </w:p>
    <w:p>
      <w:pPr>
        <w:pStyle w:val="BodyText"/>
        <w:spacing w:line="451" w:lineRule="auto"/>
        <w:ind w:left="514" w:right="4770"/>
        <w:jc w:val="left"/>
      </w:pPr>
      <w:r>
        <w:rPr/>
        <w:t>（</w:t>
      </w:r>
      <w:r>
        <w:rPr>
          <w:rFonts w:ascii="Times New Roman" w:hAnsi="Times New Roman" w:cs="Times New Roman" w:eastAsia="Times New Roman" w:hint="default"/>
        </w:rPr>
        <w:t>3</w:t>
      </w:r>
      <w:r>
        <w:rPr/>
        <w:t>）利息收入 按照他人使用本公司货币资金的时间和实际利率计算确定。</w:t>
      </w:r>
    </w:p>
    <w:p>
      <w:pPr>
        <w:spacing w:after="0" w:line="451"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2"/>
        </w:rPr>
        <w:t>政府补助是指本公司从政府无偿取得货币性资产和非货币性资产，不包括政府作为所有者投入的资本。政府补助分为与</w:t>
      </w:r>
      <w:r>
        <w:rPr/>
        <w:t> 资产相关的政府补助和与收益相关的政府补助。</w:t>
      </w:r>
    </w:p>
    <w:p>
      <w:pPr>
        <w:pStyle w:val="BodyText"/>
        <w:spacing w:line="477" w:lineRule="auto" w:before="54"/>
        <w:ind w:left="153" w:right="189"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477" w:lineRule="auto" w:before="54"/>
        <w:ind w:left="513" w:right="90"/>
        <w:jc w:val="left"/>
      </w:pPr>
      <w:r>
        <w:rPr/>
        <w:t>与资产相关的政府补助，确认为递延收益，并在相关资产的使用寿命内平均分配计入当期损益。 </w:t>
      </w:r>
      <w:r>
        <w:rPr>
          <w:spacing w:val="-2"/>
        </w:rPr>
        <w:t>已确认的政府补助需要返还时，存在相关递延收益余额的，冲减相关递延收益账面余额，超出部分计入当期损益；不存</w:t>
      </w:r>
    </w:p>
    <w:p>
      <w:pPr>
        <w:pStyle w:val="BodyText"/>
        <w:spacing w:line="240" w:lineRule="auto" w:before="54"/>
        <w:ind w:left="153" w:right="90"/>
        <w:jc w:val="left"/>
      </w:pPr>
      <w:r>
        <w:rPr/>
        <w:t>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1" w:firstLine="360"/>
        <w:jc w:val="both"/>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1"/>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477" w:lineRule="auto" w:before="74"/>
        <w:ind w:left="153" w:right="90"/>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451" w:lineRule="auto" w:before="54"/>
        <w:ind w:left="513" w:right="9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477" w:lineRule="auto" w:before="74"/>
        <w:ind w:left="153" w:right="90"/>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477" w:lineRule="auto" w:before="54"/>
        <w:ind w:left="153" w:right="189"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spacing w:after="0" w:line="477"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153" w:right="149"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477" w:lineRule="auto" w:before="54"/>
        <w:ind w:left="153" w:right="15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477" w:lineRule="auto" w:before="54"/>
        <w:ind w:left="153" w:right="151"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477" w:lineRule="auto" w:before="54"/>
        <w:ind w:left="153" w:right="150"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451" w:lineRule="auto" w:before="54"/>
        <w:ind w:left="514" w:right="5990"/>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ind w:right="248"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451" w:lineRule="auto" w:before="97"/>
        <w:ind w:left="51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477" w:lineRule="auto" w:before="74"/>
        <w:ind w:left="51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477" w:lineRule="auto" w:before="54"/>
        <w:ind w:right="15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0"/>
        <w:jc w:val="left"/>
      </w:pP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74"/>
        <w:ind w:left="153" w:right="0"/>
        <w:jc w:val="both"/>
      </w:pPr>
      <w:r>
        <w:rPr/>
        <w:t>租金于实际发生时计入当期损益。</w:t>
      </w:r>
    </w:p>
    <w:p>
      <w:pPr>
        <w:spacing w:line="240" w:lineRule="auto" w:before="10"/>
        <w:rPr>
          <w:rFonts w:ascii="宋体" w:hAnsi="宋体" w:cs="宋体" w:eastAsia="宋体" w:hint="default"/>
          <w:sz w:val="17"/>
          <w:szCs w:val="17"/>
        </w:rPr>
      </w:pPr>
    </w:p>
    <w:p>
      <w:pPr>
        <w:pStyle w:val="BodyText"/>
        <w:spacing w:line="451" w:lineRule="auto"/>
        <w:ind w:left="513" w:right="231"/>
        <w:jc w:val="left"/>
      </w:pP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spacing w:after="0" w:line="451"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77" w:lineRule="auto" w:before="44"/>
        <w:ind w:left="153" w:right="9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0"/>
        <w:jc w:val="left"/>
      </w:pP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477" w:lineRule="auto" w:before="74"/>
        <w:ind w:left="153" w:right="9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463" w:lineRule="auto" w:before="54"/>
        <w:ind w:left="513" w:right="90"/>
        <w:jc w:val="left"/>
      </w:pPr>
      <w:r>
        <w:rPr/>
        <w:t>未确认融资费用在租赁期内采用实际利率法计算确认当期的融资费用。或有租金于实际发生时计入当期损益。 </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477" w:lineRule="auto" w:before="65"/>
        <w:ind w:left="153" w:right="191"/>
        <w:jc w:val="both"/>
      </w:pPr>
      <w:r>
        <w:rPr>
          <w:spacing w:val="-2"/>
        </w:rPr>
        <w:t>余值；将最低租赁收款额、初始直接费用及未担保余值之和与其现值之和的差额确认为未实现融资收益。应收融资租赁款扣</w:t>
      </w:r>
      <w:r>
        <w:rPr>
          <w:spacing w:val="-66"/>
        </w:rPr>
        <w:t> </w:t>
      </w:r>
      <w:r>
        <w:rPr>
          <w:spacing w:val="-66"/>
        </w:rPr>
      </w:r>
      <w:r>
        <w:rPr>
          <w:spacing w:val="-2"/>
        </w:rPr>
        <w:t>除未实现融资收益后的余额分别长期债权和一年内到期的长期债权列示。未实现融资收益在租赁期内采用实际利率法计算确</w:t>
      </w:r>
      <w:r>
        <w:rPr>
          <w:spacing w:val="-64"/>
        </w:rPr>
        <w:t> </w:t>
      </w:r>
      <w:r>
        <w:rPr>
          <w:spacing w:val="-64"/>
        </w:rPr>
      </w:r>
      <w:r>
        <w:rPr/>
        <w:t>认当期的融资收入。或有租金于实际发生时计入当期损益。</w:t>
      </w:r>
    </w:p>
    <w:p>
      <w:pPr>
        <w:spacing w:line="240" w:lineRule="auto" w:before="3"/>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90"/>
        <w:jc w:val="left"/>
      </w:pPr>
      <w:r>
        <w:rPr/>
        <w:t>重大会计判断和估计 </w:t>
      </w:r>
      <w:r>
        <w:rPr>
          <w:spacing w:val="-2"/>
        </w:rPr>
        <w:t>本公司在运用会计政策过程中，由于经营活动内在的不确定性，本公司需要对无法准确计量的报表项目的账面价值进行</w:t>
      </w:r>
    </w:p>
    <w:p>
      <w:pPr>
        <w:pStyle w:val="BodyText"/>
        <w:spacing w:line="477" w:lineRule="auto" w:before="54"/>
        <w:ind w:left="153" w:right="91"/>
        <w:jc w:val="left"/>
      </w:pPr>
      <w:r>
        <w:rPr/>
        <w:t>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240" w:lineRule="auto" w:before="54"/>
        <w:ind w:left="513" w:right="0"/>
        <w:jc w:val="left"/>
      </w:pPr>
      <w:r>
        <w:rPr/>
        <w:t>本公司对前述判断、估计和假设在持续经营的基础上进行定期复核，会计估计的变更仅影响变更当期的，其影响数在变</w:t>
      </w:r>
    </w:p>
    <w:p>
      <w:pPr>
        <w:spacing w:line="240" w:lineRule="auto" w:before="10"/>
        <w:rPr>
          <w:rFonts w:ascii="宋体" w:hAnsi="宋体" w:cs="宋体" w:eastAsia="宋体" w:hint="default"/>
          <w:sz w:val="17"/>
          <w:szCs w:val="17"/>
        </w:rPr>
      </w:pPr>
    </w:p>
    <w:p>
      <w:pPr>
        <w:pStyle w:val="BodyText"/>
        <w:spacing w:line="398" w:lineRule="auto"/>
        <w:ind w:left="153" w:right="2071"/>
        <w:jc w:val="left"/>
      </w:pPr>
      <w:r>
        <w:rPr/>
        <w:t>更当期予以确认；既影响变更当期又影响未来期间的，其影响数在变更当期和未来期间予以确认。 于资产负债表日，本公司需对财务报表项目金额进行判断、估计和假设的重要领域如下：</w:t>
      </w:r>
    </w:p>
    <w:p>
      <w:pPr>
        <w:pStyle w:val="BodyText"/>
        <w:spacing w:line="451" w:lineRule="auto" w:before="35"/>
        <w:ind w:left="513" w:right="90"/>
        <w:jc w:val="left"/>
      </w:pPr>
      <w:r>
        <w:rPr/>
        <w:t>（</w:t>
      </w:r>
      <w:r>
        <w:rPr>
          <w:rFonts w:ascii="Times New Roman" w:hAnsi="Times New Roman" w:cs="Times New Roman" w:eastAsia="Times New Roman" w:hint="default"/>
        </w:rPr>
        <w:t>1</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477" w:lineRule="auto" w:before="43"/>
        <w:ind w:left="153" w:right="90"/>
        <w:jc w:val="left"/>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spacing w:after="0" w:line="477"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51" w:lineRule="auto" w:before="44"/>
        <w:ind w:left="513" w:right="90"/>
        <w:jc w:val="left"/>
      </w:pPr>
      <w:r>
        <w:rPr/>
        <w:t>（</w:t>
      </w:r>
      <w:r>
        <w:rPr>
          <w:rFonts w:ascii="Times New Roman" w:hAnsi="Times New Roman" w:cs="Times New Roman" w:eastAsia="Times New Roman" w:hint="default"/>
        </w:rPr>
        <w:t>2</w:t>
      </w:r>
      <w:r>
        <w:rPr/>
        <w:t>）坏账准备计提 </w:t>
      </w:r>
      <w:r>
        <w:rPr>
          <w:spacing w:val="-2"/>
        </w:rPr>
        <w:t>本公司根据应收款项的会计政策，采用备抵法核算坏账损失。应收账款减值是基于评估应收账款的可收回性。鉴定应收</w:t>
      </w:r>
    </w:p>
    <w:p>
      <w:pPr>
        <w:pStyle w:val="BodyText"/>
        <w:spacing w:line="477" w:lineRule="auto" w:before="74"/>
        <w:ind w:left="153" w:right="191"/>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451" w:lineRule="auto" w:before="54"/>
        <w:ind w:left="513" w:right="90"/>
        <w:jc w:val="left"/>
      </w:pPr>
      <w:r>
        <w:rPr/>
        <w:t>（</w:t>
      </w:r>
      <w:r>
        <w:rPr>
          <w:rFonts w:ascii="Times New Roman" w:hAnsi="Times New Roman" w:cs="Times New Roman" w:eastAsia="Times New Roman"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477" w:lineRule="auto" w:before="74"/>
        <w:ind w:left="153" w:right="190"/>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451" w:lineRule="auto" w:before="54"/>
        <w:ind w:left="513" w:right="90"/>
        <w:jc w:val="left"/>
      </w:pPr>
      <w:r>
        <w:rPr/>
        <w:t>（</w:t>
      </w:r>
      <w:r>
        <w:rPr>
          <w:rFonts w:ascii="Times New Roman" w:hAnsi="Times New Roman" w:cs="Times New Roman" w:eastAsia="Times New Roman" w:hint="default"/>
        </w:rPr>
        <w:t>4</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477" w:lineRule="auto" w:before="74"/>
        <w:ind w:left="153" w:right="191"/>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477" w:lineRule="auto" w:before="54"/>
        <w:ind w:left="153" w:right="271" w:firstLine="360"/>
        <w:jc w:val="left"/>
      </w:pPr>
      <w:r>
        <w:rPr/>
        <w:t>当资产或资产组的账面价值高于可收回金额，即公允价值减去处置费用后的净额和预计未来现金流量的现值中的较高 者，表明发生了减值。</w:t>
      </w:r>
    </w:p>
    <w:p>
      <w:pPr>
        <w:pStyle w:val="BodyText"/>
        <w:spacing w:line="477" w:lineRule="auto" w:before="54"/>
        <w:ind w:left="153" w:right="9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477" w:lineRule="auto" w:before="54"/>
        <w:ind w:left="153" w:right="9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477" w:lineRule="auto" w:before="54"/>
        <w:ind w:left="153" w:right="90"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451" w:lineRule="auto" w:before="54"/>
        <w:ind w:left="513" w:right="90"/>
        <w:jc w:val="left"/>
      </w:pPr>
      <w:r>
        <w:rPr/>
        <w:t>（</w:t>
      </w:r>
      <w:r>
        <w:rPr>
          <w:rFonts w:ascii="Times New Roman" w:hAnsi="Times New Roman" w:cs="Times New Roman" w:eastAsia="Times New Roman" w:hint="default"/>
        </w:rPr>
        <w:t>5</w:t>
      </w:r>
      <w:r>
        <w:rPr/>
        <w:t>）折旧和摊销 </w:t>
      </w:r>
      <w:r>
        <w:rPr>
          <w:spacing w:val="-2"/>
        </w:rPr>
        <w:t>本公司对投资性房地产、固定资产和无形资产在考虑其残值后，在使用寿命内按直线法计提折旧和摊销。本公司定期复</w:t>
      </w:r>
    </w:p>
    <w:p>
      <w:pPr>
        <w:pStyle w:val="BodyText"/>
        <w:spacing w:line="477" w:lineRule="auto" w:before="74"/>
        <w:ind w:left="153" w:right="190"/>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451" w:lineRule="auto" w:before="54"/>
        <w:ind w:left="513" w:right="91"/>
        <w:jc w:val="left"/>
      </w:pPr>
      <w:r>
        <w:rPr/>
        <w:t>（</w:t>
      </w:r>
      <w:r>
        <w:rPr>
          <w:rFonts w:ascii="Times New Roman" w:hAnsi="Times New Roman" w:cs="Times New Roman" w:eastAsia="Times New Roman" w:hint="default"/>
        </w:rPr>
        <w:t>6</w:t>
      </w:r>
      <w:r>
        <w:rPr/>
        <w:t>）开发支出 确定资本化的金额时，本公司管理层需要作出有关资产的预计未来现金流量、适用的折现率以及预计受益期间的假设。</w:t>
      </w:r>
    </w:p>
    <w:p>
      <w:pPr>
        <w:pStyle w:val="BodyText"/>
        <w:spacing w:line="240" w:lineRule="auto" w:before="74"/>
        <w:ind w:left="514" w:right="90"/>
        <w:jc w:val="left"/>
      </w:pPr>
      <w:r>
        <w:rPr/>
        <w:t>（</w:t>
      </w:r>
      <w:r>
        <w:rPr>
          <w:rFonts w:ascii="Times New Roman" w:hAnsi="Times New Roman" w:cs="Times New Roman" w:eastAsia="Times New Roman" w:hint="default"/>
        </w:rPr>
        <w:t>7</w:t>
      </w:r>
      <w:r>
        <w:rPr/>
        <w:t>）递延所得税资产</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153" w:right="150" w:firstLine="360"/>
        <w:jc w:val="both"/>
      </w:pPr>
      <w:r>
        <w:rPr>
          <w:spacing w:val="-2"/>
        </w:rPr>
        <w:t>在很有可能有足够的应纳税利润来抵扣亏损的限度内，本公司就所有未利用的税务亏损确认递延所得税资产。这需要本</w:t>
      </w:r>
      <w:r>
        <w:rPr/>
        <w:t> </w:t>
      </w: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451" w:lineRule="auto" w:before="54"/>
        <w:ind w:left="513" w:right="0"/>
        <w:jc w:val="left"/>
      </w:pPr>
      <w:r>
        <w:rPr/>
        <w:t>（</w:t>
      </w:r>
      <w:r>
        <w:rPr>
          <w:rFonts w:ascii="Times New Roman" w:hAnsi="Times New Roman" w:cs="Times New Roman" w:eastAsia="Times New Roman" w:hint="default"/>
        </w:rPr>
        <w:t>8</w:t>
      </w:r>
      <w:r>
        <w:rPr/>
        <w:t>）所得税 </w:t>
      </w:r>
      <w:r>
        <w:rPr>
          <w:spacing w:val="-2"/>
        </w:rPr>
        <w:t>本公司在正常的经营活动中，有部分交易其最终的税务处理和计算存在一定的不确定性。部分项目是否能够在税前列支</w:t>
      </w:r>
    </w:p>
    <w:p>
      <w:pPr>
        <w:pStyle w:val="BodyText"/>
        <w:spacing w:line="477" w:lineRule="auto" w:before="74"/>
        <w:ind w:left="153"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产品销售收入、服务收入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5"/>
        <w:rPr>
          <w:rFonts w:ascii="宋体" w:hAnsi="宋体" w:cs="宋体" w:eastAsia="宋体" w:hint="default"/>
          <w:b/>
          <w:bCs/>
          <w:sz w:val="27"/>
          <w:szCs w:val="27"/>
        </w:rPr>
      </w:pPr>
    </w:p>
    <w:p>
      <w:pPr>
        <w:pStyle w:val="BodyText"/>
        <w:spacing w:line="240" w:lineRule="auto" w:before="44"/>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深圳市银之杰金融设备有限公司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安尼数码（香港）有限公司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4221"/>
        <w:jc w:val="left"/>
      </w:pPr>
      <w:r>
        <w:rPr/>
        <w:t>（</w:t>
      </w:r>
      <w:r>
        <w:rPr>
          <w:rFonts w:ascii="Times New Roman" w:hAnsi="Times New Roman" w:cs="Times New Roman" w:eastAsia="Times New Roman" w:hint="default"/>
        </w:rPr>
        <w:t>1</w:t>
      </w:r>
      <w:r>
        <w:rPr/>
        <w:t>）增值税及享受的税收优惠政策 本公司及控股子公司为增值税一般纳税人，适用</w:t>
      </w:r>
      <w:r>
        <w:rPr>
          <w:rFonts w:ascii="Times New Roman" w:hAnsi="Times New Roman" w:cs="Times New Roman" w:eastAsia="Times New Roman" w:hint="default"/>
        </w:rPr>
        <w:t>17%</w:t>
      </w:r>
      <w:r>
        <w:rPr/>
        <w:t>的基本税率。</w:t>
      </w:r>
    </w:p>
    <w:p>
      <w:pPr>
        <w:pStyle w:val="BodyText"/>
        <w:spacing w:line="463" w:lineRule="auto" w:before="43"/>
        <w:ind w:left="153" w:right="218" w:firstLine="360"/>
        <w:jc w:val="both"/>
      </w:pPr>
      <w:r>
        <w:rPr/>
        <w:t>根据财政部、国家税务总局2011年10月13日发布的《财政部、国家税务总局关于软件产品增值税政策的通知》（财税 </w:t>
      </w:r>
      <w:r>
        <w:rPr>
          <w:rFonts w:ascii="Times New Roman" w:hAnsi="Times New Roman" w:cs="Times New Roman" w:eastAsia="Times New Roman" w:hint="default"/>
        </w:rPr>
        <w:t>[2011]100</w:t>
      </w:r>
      <w:r>
        <w:rPr/>
        <w:t>号文）的有关规定，自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日起对增值税一般纳税人销售其自行开发生产的软件产品，按</w:t>
      </w:r>
      <w:r>
        <w:rPr>
          <w:rFonts w:ascii="Times New Roman" w:hAnsi="Times New Roman" w:cs="Times New Roman" w:eastAsia="Times New Roman" w:hint="default"/>
        </w:rPr>
        <w:t>17</w:t>
      </w:r>
      <w:r>
        <w:rPr/>
        <w:t>％的法定税率 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451" w:lineRule="auto" w:before="33"/>
        <w:ind w:left="153" w:right="150" w:firstLine="360"/>
        <w:jc w:val="both"/>
      </w:pPr>
      <w:r>
        <w:rPr/>
        <w:t>根据财税</w:t>
      </w:r>
      <w:r>
        <w:rPr>
          <w:rFonts w:ascii="Times New Roman" w:hAnsi="Times New Roman" w:cs="Times New Roman" w:eastAsia="Times New Roman" w:hint="default"/>
        </w:rPr>
        <w:t>[2011]131</w:t>
      </w:r>
      <w:r>
        <w:rPr/>
        <w:t>号《财政部</w:t>
      </w:r>
      <w:r>
        <w:rPr>
          <w:spacing w:val="-24"/>
        </w:rPr>
        <w:t> </w:t>
      </w:r>
      <w:r>
        <w:rPr/>
        <w:t>国家税务总局关于应税服务适用增值税零税率和免税政策的通知》，试点地区的单位和</w:t>
      </w:r>
      <w:r>
        <w:rPr/>
        <w:t> 个人提供适用零税率的应税服务，按月向主管退税的税务机关申报办理增值税免抵退税或免税手续。</w:t>
      </w:r>
    </w:p>
    <w:p>
      <w:pPr>
        <w:pStyle w:val="BodyText"/>
        <w:spacing w:line="240" w:lineRule="auto" w:before="74"/>
        <w:ind w:left="513" w:right="0"/>
        <w:jc w:val="left"/>
      </w:pPr>
      <w:r>
        <w:rPr/>
        <w:t>（</w:t>
      </w:r>
      <w:r>
        <w:rPr>
          <w:rFonts w:ascii="Times New Roman" w:hAnsi="Times New Roman" w:cs="Times New Roman" w:eastAsia="Times New Roman" w:hint="default"/>
        </w:rPr>
        <w:t>2</w:t>
      </w:r>
      <w:r>
        <w:rPr/>
        <w:t>）企业所得税及享受的税收优惠政策</w:t>
      </w:r>
    </w:p>
    <w:p>
      <w:pPr>
        <w:spacing w:line="240" w:lineRule="auto" w:before="9"/>
        <w:rPr>
          <w:rFonts w:ascii="宋体" w:hAnsi="宋体" w:cs="宋体" w:eastAsia="宋体" w:hint="default"/>
          <w:sz w:val="16"/>
          <w:szCs w:val="16"/>
        </w:rPr>
      </w:pPr>
    </w:p>
    <w:p>
      <w:pPr>
        <w:pStyle w:val="BodyText"/>
        <w:spacing w:line="451" w:lineRule="auto"/>
        <w:ind w:left="153" w:right="122" w:firstLine="360"/>
        <w:jc w:val="both"/>
      </w:pPr>
      <w:r>
        <w:rPr/>
        <w:t>①本公司于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日通过高新技术企业重新认定，取得深圳市科技工贸和信息化委员会、深圳市财政委员会、 </w:t>
      </w:r>
      <w:r>
        <w:rPr>
          <w:spacing w:val="-2"/>
        </w:rPr>
        <w:t>深圳市国家税务局、深圳市地方税务局联合下发的《高新技术企业证书》，有效期三年。根据相关规定，公司自</w:t>
      </w:r>
      <w:r>
        <w:rPr>
          <w:rFonts w:ascii="Times New Roman" w:hAnsi="Times New Roman" w:cs="Times New Roman" w:eastAsia="Times New Roman" w:hint="default"/>
          <w:spacing w:val="-2"/>
        </w:rPr>
        <w:t>2014</w:t>
      </w:r>
      <w:r>
        <w:rPr>
          <w:spacing w:val="-2"/>
        </w:rPr>
        <w:t>年度起</w:t>
      </w:r>
      <w:r>
        <w:rPr>
          <w:spacing w:val="-65"/>
        </w:rPr>
        <w:t> </w:t>
      </w:r>
      <w:r>
        <w:rPr/>
        <w:t>连续三年内将继续享受高新技术企业的相关优惠政策，即按</w:t>
      </w:r>
      <w:r>
        <w:rPr>
          <w:rFonts w:ascii="Times New Roman" w:hAnsi="Times New Roman" w:cs="Times New Roman" w:eastAsia="Times New Roman" w:hint="default"/>
        </w:rPr>
        <w:t>15%</w:t>
      </w:r>
      <w:r>
        <w:rPr/>
        <w:t>的税率缴纳企业所得税。</w:t>
      </w:r>
    </w:p>
    <w:p>
      <w:pPr>
        <w:pStyle w:val="BodyText"/>
        <w:spacing w:line="451" w:lineRule="auto" w:before="43"/>
        <w:ind w:left="513" w:right="135"/>
        <w:jc w:val="left"/>
      </w:pPr>
      <w:r>
        <w:rPr/>
        <w:t>②本公司的控股子公司北京亿美软通科技有限公司成立于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月，法定企业所得税税率为</w:t>
      </w:r>
      <w:r>
        <w:rPr>
          <w:rFonts w:ascii="Times New Roman" w:hAnsi="Times New Roman" w:cs="Times New Roman" w:eastAsia="Times New Roman" w:hint="default"/>
        </w:rPr>
        <w:t>25%</w:t>
      </w:r>
      <w:r>
        <w:rPr/>
        <w:t>。 本公司的控股子公司北京亿美软通科技有限公司于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6"/>
        </w:rPr>
        <w:t> </w:t>
      </w:r>
      <w:r>
        <w:rPr/>
        <w:t>日通过高新技术企业重新认定，取得深圳市科技工</w:t>
      </w:r>
    </w:p>
    <w:p>
      <w:pPr>
        <w:pStyle w:val="BodyText"/>
        <w:spacing w:line="463" w:lineRule="auto" w:before="43"/>
        <w:ind w:left="153" w:right="147"/>
        <w:jc w:val="both"/>
      </w:pPr>
      <w:r>
        <w:rPr>
          <w:spacing w:val="-2"/>
        </w:rPr>
        <w:t>贸和信息化委员会、深圳市财政委员会、深圳市国家税务局、深圳市地方税务局联合下发的《高新技术企业证书》，有效期</w:t>
      </w:r>
      <w:r>
        <w:rPr>
          <w:spacing w:val="-66"/>
        </w:rPr>
        <w:t> </w:t>
      </w:r>
      <w:r>
        <w:rPr>
          <w:spacing w:val="-66"/>
        </w:rPr>
      </w:r>
      <w:r>
        <w:rPr>
          <w:spacing w:val="-1"/>
        </w:rPr>
        <w:t>三年。根据相关规定，公司自</w:t>
      </w:r>
      <w:r>
        <w:rPr>
          <w:rFonts w:ascii="Times New Roman" w:hAnsi="Times New Roman" w:cs="Times New Roman" w:eastAsia="Times New Roman" w:hint="default"/>
          <w:spacing w:val="-1"/>
        </w:rPr>
        <w:t>2014</w:t>
      </w:r>
      <w:r>
        <w:rPr>
          <w:spacing w:val="-1"/>
        </w:rPr>
        <w:t>年度起连续三年内将继续享受高新技术企业的相关优惠政策，即按</w:t>
      </w:r>
      <w:r>
        <w:rPr>
          <w:rFonts w:ascii="Times New Roman" w:hAnsi="Times New Roman" w:cs="Times New Roman" w:eastAsia="Times New Roman" w:hint="default"/>
          <w:spacing w:val="-1"/>
        </w:rPr>
        <w:t>15%</w:t>
      </w:r>
      <w:r>
        <w:rPr>
          <w:spacing w:val="-1"/>
        </w:rPr>
        <w:t>的税率缴纳企业所</w:t>
      </w:r>
      <w:r>
        <w:rPr>
          <w:spacing w:val="-84"/>
        </w:rPr>
        <w:t> </w:t>
      </w:r>
      <w:r>
        <w:rPr/>
        <w:t>得税。</w:t>
      </w:r>
    </w:p>
    <w:p>
      <w:pPr>
        <w:pStyle w:val="BodyText"/>
        <w:spacing w:line="451" w:lineRule="auto" w:before="65"/>
        <w:ind w:left="514" w:right="137"/>
        <w:jc w:val="left"/>
      </w:pPr>
      <w:r>
        <w:rPr/>
        <w:t>③本公司的控股子公司深圳市银之杰技术开发有限公司成立于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月，法定企业所得税税率为</w:t>
      </w:r>
      <w:r>
        <w:rPr>
          <w:rFonts w:ascii="Times New Roman" w:hAnsi="Times New Roman" w:cs="Times New Roman" w:eastAsia="Times New Roman" w:hint="default"/>
        </w:rPr>
        <w:t>25%</w:t>
      </w:r>
      <w:r>
        <w:rPr/>
        <w:t>。 </w:t>
      </w:r>
      <w:r>
        <w:rPr>
          <w:spacing w:val="-1"/>
        </w:rPr>
        <w:t>根据《财政部、国家税务总局关于企业所得税若干优惠政策的通知》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[2008]1</w:t>
      </w:r>
      <w:r>
        <w:rPr>
          <w:spacing w:val="-1"/>
        </w:rPr>
        <w:t>号</w:t>
      </w:r>
      <w:r>
        <w:rPr>
          <w:rFonts w:ascii="Times New Roman" w:hAnsi="Times New Roman" w:cs="Times New Roman" w:eastAsia="Times New Roman" w:hint="default"/>
          <w:spacing w:val="-1"/>
        </w:rPr>
        <w:t>)</w:t>
      </w:r>
      <w:r>
        <w:rPr>
          <w:spacing w:val="-1"/>
        </w:rPr>
        <w:t>规定，本公司的控股子公司深圳市</w:t>
      </w:r>
    </w:p>
    <w:p>
      <w:pPr>
        <w:pStyle w:val="BodyText"/>
        <w:spacing w:line="451" w:lineRule="auto" w:before="43"/>
        <w:ind w:right="151"/>
        <w:jc w:val="both"/>
      </w:pPr>
      <w:r>
        <w:rPr>
          <w:spacing w:val="-1"/>
        </w:rPr>
        <w:t>银之杰技术开发有限公司于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月经深圳市福田区国家税务局深国税福减免备案</w:t>
      </w:r>
      <w:r>
        <w:rPr>
          <w:rFonts w:ascii="Times New Roman" w:hAnsi="Times New Roman" w:cs="Times New Roman" w:eastAsia="Times New Roman" w:hint="default"/>
          <w:spacing w:val="-1"/>
        </w:rPr>
        <w:t>[2012]425</w:t>
      </w:r>
      <w:r>
        <w:rPr>
          <w:spacing w:val="-1"/>
        </w:rPr>
        <w:t>号文件备案登记，同意该公司</w:t>
      </w:r>
      <w:r>
        <w:rPr>
          <w:spacing w:val="-52"/>
        </w:rPr>
        <w:t> </w:t>
      </w:r>
      <w:r>
        <w:rPr>
          <w:spacing w:val="-52"/>
        </w:rPr>
      </w:r>
      <w:r>
        <w:rPr/>
        <w:t>从开始获利年度起，两年免征企业所得税，三年减半征收企业所得税。</w:t>
      </w:r>
    </w:p>
    <w:p>
      <w:pPr>
        <w:pStyle w:val="BodyText"/>
        <w:spacing w:line="240" w:lineRule="auto" w:before="74"/>
        <w:ind w:left="514" w:right="0"/>
        <w:jc w:val="left"/>
      </w:pPr>
      <w:r>
        <w:rPr>
          <w:rFonts w:ascii="Times New Roman" w:hAnsi="Times New Roman" w:cs="Times New Roman" w:eastAsia="Times New Roman" w:hint="default"/>
        </w:rPr>
        <w:t>2015</w:t>
      </w:r>
      <w:r>
        <w:rPr/>
        <w:t>年度为本公司的控股子公司深圳市银之杰技术开发有限公司的第三获利年度，当年度减半征收企业所得税。</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35" w:right="8689"/>
        <w:jc w:val="center"/>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200,118.48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82,205.90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114,211,189.13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260,865,738.76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11,241,435.53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84,096,621.92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125,652,743.14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345,044,566.58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7,229,438.78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141,301.99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303,910,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821.53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23,881,6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280,029,1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94.47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189,745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,264.12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15,208,51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174,536,75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3.13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303,910,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821.53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23,881,6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280,029,1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94.47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189,745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,264.12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15,208,51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174,536,75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600" w:bottom="2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216,701,065.18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10,835,053.27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60,958,938.78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6,095,893.88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20,582,429.57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4,116,485.91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5,668,388.00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2,834,194.00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303,910,821.53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23,881,627.06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40" w:lineRule="auto" w:before="2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本期计提坏账准备金额</w:t>
      </w:r>
      <w:r>
        <w:rPr>
          <w:rFonts w:ascii="Times New Roman" w:hAnsi="Times New Roman" w:cs="Times New Roman" w:eastAsia="Times New Roman" w:hint="default"/>
        </w:rPr>
        <w:t>8,673,116.07</w:t>
      </w:r>
      <w:r>
        <w:rPr/>
        <w:t>元；本期收回或转回坏账准备金额</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0" w:firstLine="360"/>
        <w:jc w:val="left"/>
      </w:pPr>
      <w:r>
        <w:rPr>
          <w:spacing w:val="-1"/>
        </w:rPr>
        <w:t>本公司本年按欠款方归集的年末余额前五名应收账款汇总金额为人民币</w:t>
      </w:r>
      <w:r>
        <w:rPr>
          <w:rFonts w:ascii="Times New Roman" w:hAnsi="Times New Roman" w:cs="Times New Roman" w:eastAsia="Times New Roman" w:hint="default"/>
          <w:spacing w:val="-1"/>
        </w:rPr>
        <w:t>39,484,516.27</w:t>
      </w:r>
      <w:r>
        <w:rPr>
          <w:spacing w:val="-1"/>
        </w:rPr>
        <w:t>元，占应收账款年末余额合计数的</w:t>
      </w:r>
      <w:r>
        <w:rPr/>
        <w:t> 比例为</w:t>
      </w:r>
      <w:r>
        <w:rPr>
          <w:rFonts w:ascii="Times New Roman" w:hAnsi="Times New Roman" w:cs="Times New Roman" w:eastAsia="Times New Roman" w:hint="default"/>
        </w:rPr>
        <w:t>12.99%</w:t>
      </w:r>
      <w:r>
        <w:rPr/>
        <w:t>，相应计提的坏账准备年末余额汇总金额为人民币</w:t>
      </w:r>
      <w:r>
        <w:rPr>
          <w:rFonts w:ascii="Times New Roman" w:hAnsi="Times New Roman" w:cs="Times New Roman" w:eastAsia="Times New Roman" w:hint="default"/>
        </w:rPr>
        <w:t>2,190,425.82</w:t>
      </w:r>
      <w:r>
        <w:rPr/>
        <w:t>元。</w:t>
      </w:r>
    </w:p>
    <w:p>
      <w:pPr>
        <w:spacing w:line="240" w:lineRule="auto" w:before="6"/>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本年无因金融资产转移而终止确认的应收账款。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8" w:right="0"/>
              <w:jc w:val="left"/>
              <w:rPr>
                <w:rFonts w:ascii="Times New Roman" w:hAnsi="Times New Roman" w:cs="Times New Roman" w:eastAsia="Times New Roman" w:hint="default"/>
                <w:sz w:val="18"/>
                <w:szCs w:val="18"/>
              </w:rPr>
            </w:pPr>
            <w:r>
              <w:rPr>
                <w:rFonts w:ascii="Times New Roman"/>
                <w:sz w:val="18"/>
              </w:rPr>
              <w:t>69,018,269.35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44,329,533.66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1,551,747.82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1,582,310.27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133,133.45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75,695.53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70,778,846.15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45,987,536.86</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153" w:right="0" w:firstLine="360"/>
        <w:jc w:val="left"/>
      </w:pPr>
      <w:r>
        <w:rPr>
          <w:spacing w:val="-1"/>
        </w:rPr>
        <w:t>本公司按预付对象归集的年末余额前五名预付账款汇总金额为人民币</w:t>
      </w:r>
      <w:r>
        <w:rPr>
          <w:rFonts w:ascii="Times New Roman" w:hAnsi="Times New Roman" w:cs="Times New Roman" w:eastAsia="Times New Roman" w:hint="default"/>
          <w:spacing w:val="-1"/>
        </w:rPr>
        <w:t>62,662,370.02</w:t>
      </w:r>
      <w:r>
        <w:rPr>
          <w:spacing w:val="-1"/>
        </w:rPr>
        <w:t>元，占预付账款年末余额合计数的比</w:t>
      </w:r>
      <w:r>
        <w:rPr/>
        <w:t> 例为</w:t>
      </w:r>
      <w:r>
        <w:rPr>
          <w:rFonts w:ascii="Times New Roman" w:hAnsi="Times New Roman" w:cs="Times New Roman" w:eastAsia="Times New Roman" w:hint="default"/>
        </w:rPr>
        <w:t>88.53%</w:t>
      </w:r>
      <w:r>
        <w:rPr/>
        <w:t>。</w:t>
      </w:r>
    </w:p>
    <w:p>
      <w:pPr>
        <w:spacing w:line="240" w:lineRule="auto" w:before="6"/>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1,417,892.67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1,417,892.67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13,544,9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76.28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1,227,70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12,317,27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26,199,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668.70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2,038,879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24,160,789.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13,544,9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76.28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1,227,70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12,317,27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26,199,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668.70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2,038,879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24,160,789.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bl>
    <w:p>
      <w:pPr>
        <w:pStyle w:val="BodyText"/>
        <w:spacing w:line="240" w:lineRule="auto" w:before="51"/>
        <w:ind w:right="0"/>
        <w:jc w:val="left"/>
      </w:pPr>
      <w:r>
        <w:rPr/>
        <w:t>期末单项金额重大并单项计提坏账准备的其他应收款：</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600" w:bottom="2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7,155,820.44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357,791.02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1,919,005.39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191,900.54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283,045.00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56,609.00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1,242,805.00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621,402.50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10,600,675.83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1,227,703.06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11.58%</w:t>
            </w:r>
          </w:p>
        </w:tc>
      </w:tr>
    </w:tbl>
    <w:p>
      <w:pPr>
        <w:pStyle w:val="BodyText"/>
        <w:spacing w:line="357" w:lineRule="auto" w:before="51"/>
        <w:ind w:left="153" w:right="5271"/>
        <w:jc w:val="left"/>
      </w:pPr>
      <w:r>
        <w:rPr/>
        <w:t>确定该组合依据的说明： 组合中，采用余额百分比法计提坏账准备的其他应收款：</w:t>
      </w:r>
    </w:p>
    <w:p>
      <w:pPr>
        <w:pStyle w:val="BodyText"/>
        <w:spacing w:line="338" w:lineRule="auto" w:before="29"/>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本期计提坏账准备金额</w:t>
      </w:r>
      <w:r>
        <w:rPr>
          <w:rFonts w:ascii="Times New Roman" w:hAnsi="Times New Roman" w:cs="Times New Roman" w:eastAsia="Times New Roman" w:hint="default"/>
        </w:rPr>
        <w:t>0.00</w:t>
      </w:r>
      <w:r>
        <w:rPr/>
        <w:t>元；本期收回或转回坏账准备金额</w:t>
      </w:r>
      <w:r>
        <w:rPr>
          <w:rFonts w:ascii="Times New Roman" w:hAnsi="Times New Roman" w:cs="Times New Roman" w:eastAsia="Times New Roman" w:hint="default"/>
        </w:rPr>
        <w:t>811,176.28</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报告期内无实际核销的其他应收款情况。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1,530,153.76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6,318,082.29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6,503,651.21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3,085,769.97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2,682,750.47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2,610,970.26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713,267.02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13,544,976.28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26,199,668.70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深圳市国家税务局 直属分局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1,579,670.60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北京君天首业商贸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1,043,445.00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两年以内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104,344.50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易安财产保险股份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663,837.09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北京卓成宏益科技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21,682.50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深圳市福田区国家 税务局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388,888.88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4,109,491.57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126,027.00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9,255,617.29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9,255,617.29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8,233,071.38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8,233,071.38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1,259,269.48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1,259,269.48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631,125.48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631,125.48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30,400,519.87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4" w:right="0"/>
              <w:jc w:val="left"/>
              <w:rPr>
                <w:rFonts w:ascii="Times New Roman" w:hAnsi="Times New Roman" w:cs="Times New Roman" w:eastAsia="Times New Roman" w:hint="default"/>
                <w:sz w:val="18"/>
                <w:szCs w:val="18"/>
              </w:rPr>
            </w:pPr>
            <w:r>
              <w:rPr>
                <w:rFonts w:ascii="Times New Roman"/>
                <w:sz w:val="18"/>
              </w:rPr>
              <w:t>89,922.49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30,310,597.38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24,225,430.54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24,225,430.54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320,125.14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320,125.14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455,923.60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455,923.60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13,284.37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41,235,531.78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89,922.49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41,145,609.29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33,558,835.37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33,558,835.37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89,922.49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89,922.49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89,922.49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89,922.49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1,716,063.74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434,899.73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22,424,150.45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6,765,321.97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9,936,637.65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银行理财产品</w:t>
            </w:r>
            <w:r>
              <w:rPr>
                <w:rFonts w:ascii="Times New Roman" w:hAnsi="Times New Roman" w:cs="Times New Roman" w:eastAsia="Times New Roman" w:hint="default"/>
                <w:sz w:val="18"/>
                <w:szCs w:val="18"/>
              </w:rPr>
              <w:t>*1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148,076,851.84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7,200,221.70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14"/>
          <w:szCs w:val="14"/>
        </w:rPr>
      </w:pPr>
    </w:p>
    <w:p>
      <w:pPr>
        <w:pStyle w:val="BodyText"/>
        <w:spacing w:line="240" w:lineRule="auto"/>
        <w:ind w:left="514" w:right="0"/>
        <w:jc w:val="left"/>
      </w:pPr>
      <w:r>
        <w:rPr>
          <w:rFonts w:ascii="Times New Roman" w:hAnsi="Times New Roman" w:cs="Times New Roman" w:eastAsia="Times New Roman" w:hint="default"/>
        </w:rPr>
        <w:t>*1</w:t>
      </w:r>
      <w:r>
        <w:rPr/>
        <w:t>、银行理财产品</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858"/>
        <w:gridCol w:w="3120"/>
        <w:gridCol w:w="2123"/>
        <w:gridCol w:w="2554"/>
      </w:tblGrid>
      <w:tr>
        <w:trPr>
          <w:trHeight w:val="341" w:hRule="exact"/>
        </w:trPr>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563"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开户行</w:t>
            </w:r>
          </w:p>
        </w:tc>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天天盈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平安银行北京朝阳门支行</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94,000,000.00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稳健系列</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北京银行海淀园支行</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9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114,000,000.00</w:t>
            </w:r>
          </w:p>
        </w:tc>
        <w:tc>
          <w:tcPr>
            <w:tcW w:w="25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992"/>
        <w:gridCol w:w="566"/>
        <w:gridCol w:w="851"/>
        <w:gridCol w:w="851"/>
        <w:gridCol w:w="708"/>
        <w:gridCol w:w="852"/>
        <w:gridCol w:w="850"/>
        <w:gridCol w:w="463"/>
        <w:gridCol w:w="798"/>
        <w:gridCol w:w="798"/>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994"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深圳票联金 融服务有限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6,038,889.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-2,042,165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8,896,723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北京华道征</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20,059,18</w:t>
            </w:r>
          </w:p>
        </w:tc>
        <w:tc>
          <w:tcPr>
            <w:tcW w:w="992"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-2,810,536</w:t>
            </w: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63"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17,248,65</w:t>
            </w:r>
          </w:p>
        </w:tc>
        <w:tc>
          <w:tcPr>
            <w:tcW w:w="798" w:type="dxa"/>
            <w:vMerge w:val="restart"/>
            <w:tcBorders>
              <w:top w:val="single" w:sz="4" w:space="0" w:color="000000"/>
              <w:left w:val="single" w:sz="4" w:space="0" w:color="000000"/>
              <w:right w:val="single" w:sz="4" w:space="0" w:color="000000"/>
            </w:tcBorders>
          </w:tcPr>
          <w:p>
            <w:pPr/>
          </w:p>
        </w:tc>
      </w:tr>
      <w:tr>
        <w:trPr>
          <w:trHeight w:val="351" w:hRule="exact"/>
        </w:trPr>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信有限公司</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8.62</w:t>
            </w: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.23</w:t>
            </w: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2.39</w:t>
            </w: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福建片仔癀</w:t>
            </w:r>
          </w:p>
        </w:tc>
        <w:tc>
          <w:tcPr>
            <w:tcW w:w="850"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63"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银之杰健康</w:t>
            </w: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8,600,000.0</w:t>
            </w:r>
          </w:p>
        </w:tc>
        <w:tc>
          <w:tcPr>
            <w:tcW w:w="566"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-1,357,439</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7,242,560</w:t>
            </w:r>
          </w:p>
        </w:tc>
        <w:tc>
          <w:tcPr>
            <w:tcW w:w="798" w:type="dxa"/>
            <w:vMerge/>
            <w:tcBorders>
              <w:left w:val="single" w:sz="4" w:space="0" w:color="000000"/>
              <w:right w:val="single" w:sz="4" w:space="0" w:color="000000"/>
            </w:tcBorders>
          </w:tcPr>
          <w:p>
            <w:pPr/>
          </w:p>
        </w:tc>
      </w:tr>
      <w:tr>
        <w:trPr>
          <w:trHeight w:val="313"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566"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.16</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.84</w:t>
            </w:r>
          </w:p>
        </w:tc>
        <w:tc>
          <w:tcPr>
            <w:tcW w:w="798" w:type="dxa"/>
            <w:vMerge/>
            <w:tcBorders>
              <w:left w:val="single" w:sz="4" w:space="0" w:color="000000"/>
              <w:right w:val="single" w:sz="4" w:space="0" w:color="000000"/>
            </w:tcBorders>
          </w:tcPr>
          <w:p>
            <w:pPr/>
          </w:p>
        </w:tc>
      </w:tr>
      <w:tr>
        <w:trPr>
          <w:trHeight w:val="351" w:hRule="exact"/>
        </w:trPr>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0"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易安财产保 险股份有限 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26,098,07</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8.05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-6,210,141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183,387,9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26,098,07</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8.05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-6,210,141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183,387,9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36.83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48,700,488.23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48,700,488.23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48,700,488.23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6,995,238.56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6,995,238.56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8,153,083.04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8,153,083.04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40,547,405.19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40,547,405.19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41,705,249.67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41,705,249.67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495" w:right="8689"/>
        <w:jc w:val="center"/>
      </w:pPr>
      <w:r>
        <w:rPr/>
        <w:t>不适用。</w:t>
      </w:r>
    </w:p>
    <w:p>
      <w:pPr>
        <w:spacing w:after="0" w:line="240" w:lineRule="auto"/>
        <w:jc w:val="cente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4"/>
        <w:gridCol w:w="1368"/>
        <w:gridCol w:w="1367"/>
        <w:gridCol w:w="1367"/>
        <w:gridCol w:w="1367"/>
        <w:gridCol w:w="1367"/>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4,875,426.24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5,018,834.22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4,890,166.50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5,612,623.23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20,397,050.19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2,179,455.90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393,743.60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743,545.34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1,270,938.10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5,725,682.94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393,743.60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743,545.34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1,270,938.10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3,546,227.04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）在建工程转入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2,179,455.90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2,179,455.90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174,935.93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363,738.56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538,674.49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174,935.93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363,738.56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538,674.49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2,179,455.90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5,269,169.84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6,156,834.22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5,458,775.91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6,519,822.77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25,584,058.64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2,132,845.02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4,020,368.71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3,014,777.78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2,867,159.73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12,035,151.24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18,657.07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945,919.47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395,779.61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721,233.84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1,383,199.23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3,464,789.22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18,657.07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945,919.47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395,779.61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721,233.84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1,383,199.23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3,464,789.22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146,843.36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343,492.13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490,335.49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146,843.36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343,492.13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490,335.49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18,657.07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3,078,764.49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4,416,148.32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3,589,168.26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3,906,866.83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15,009,604.97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2,160,798.83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2,190,405.35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1,740,685.90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1,869,607.65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2,612,955.94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10,574,453.67</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2,742,581.22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998,465.51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1,875,388.72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2,745,463.50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8,361,898.95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35" w:right="8689"/>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35" w:right="8689"/>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35" w:right="8689"/>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安居房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735,926.00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735,926.00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735,926.00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735,926.00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35" w:right="8689"/>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35" w:right="8689"/>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418"/>
        <w:gridCol w:w="1842"/>
        <w:gridCol w:w="1276"/>
        <w:gridCol w:w="1559"/>
        <w:gridCol w:w="1560"/>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专利及软件著作权</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43,057,881.82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3" w:right="0"/>
              <w:jc w:val="left"/>
              <w:rPr>
                <w:rFonts w:ascii="Times New Roman" w:hAnsi="Times New Roman" w:cs="Times New Roman" w:eastAsia="Times New Roman" w:hint="default"/>
                <w:sz w:val="18"/>
                <w:szCs w:val="18"/>
              </w:rPr>
            </w:pPr>
            <w:r>
              <w:rPr>
                <w:rFonts w:ascii="Times New Roman"/>
                <w:sz w:val="18"/>
              </w:rPr>
              <w:t>46,441,068.09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958,844.98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3,314,002.84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93,771,797.73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19,741,018.71</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2,912.62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90,877.78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19,834,809.11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43"/>
        <w:gridCol w:w="1418"/>
        <w:gridCol w:w="1842"/>
        <w:gridCol w:w="1276"/>
        <w:gridCol w:w="1559"/>
        <w:gridCol w:w="1560"/>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2,912.62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90,877.78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93,790.40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19,741,018.71</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19,741,018.71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61,362,419.50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46,441,068.09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961,757.60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3,404,880.62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112,170,125.81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10,579,846.16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4,147,872.47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85,280.63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334,374.42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15,147,373.68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10,491,589.97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6,518,952.00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120,851.05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735,276.56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17,866,669.58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10,491,589.97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6,518,952.00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120,851.05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735,276.56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17,866,669.58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1,436,481.03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19,634,955.10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10,666,824.47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206,131.68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1,069,650.98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31,577,562.23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41,727,464.40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35,774,243.62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755,625.92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2,335,229.64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80,592,563.58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32,478,035.66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42,293,195.62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873,564.35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2,979,628.42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78,624,424.05</w:t>
            </w:r>
          </w:p>
        </w:tc>
      </w:tr>
    </w:tbl>
    <w:p>
      <w:pPr>
        <w:pStyle w:val="BodyText"/>
        <w:spacing w:line="240" w:lineRule="auto" w:before="88"/>
        <w:ind w:left="514" w:right="0"/>
        <w:jc w:val="left"/>
      </w:pPr>
      <w:r>
        <w:rPr/>
        <w:t>本期末通过公司内部研发形成的无形资产占无形资产余额的比例</w:t>
      </w:r>
      <w:r>
        <w:rPr>
          <w:rFonts w:ascii="Times New Roman" w:hAnsi="Times New Roman" w:cs="Times New Roman" w:eastAsia="Times New Roman" w:hint="default"/>
        </w:rPr>
        <w:t>51.78%</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276"/>
        <w:gridCol w:w="1277"/>
        <w:gridCol w:w="708"/>
        <w:gridCol w:w="1560"/>
        <w:gridCol w:w="1416"/>
        <w:gridCol w:w="1418"/>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41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远程视频签约系统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237,573.69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1,537,231.17</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1,774,804.86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43"/>
        <w:gridCol w:w="1276"/>
        <w:gridCol w:w="1277"/>
        <w:gridCol w:w="708"/>
        <w:gridCol w:w="1560"/>
        <w:gridCol w:w="1416"/>
        <w:gridCol w:w="1418"/>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临柜智能印控机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1,646,644.86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2,474,727.29</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2,775,991.46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1,345,380.69</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8"/>
              <w:jc w:val="left"/>
              <w:rPr>
                <w:rFonts w:ascii="Times New Roman" w:hAnsi="Times New Roman" w:cs="Times New Roman" w:eastAsia="Times New Roman" w:hint="default"/>
                <w:sz w:val="18"/>
                <w:szCs w:val="18"/>
              </w:rPr>
            </w:pPr>
            <w:r>
              <w:rPr>
                <w:rFonts w:ascii="宋体" w:hAnsi="宋体" w:cs="宋体" w:eastAsia="宋体" w:hint="default"/>
                <w:sz w:val="18"/>
                <w:szCs w:val="18"/>
              </w:rPr>
              <w:t>非结构化内容管理平 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178,961.19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1,466,261.72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1,645,222.91</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集成控件电子验印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395,564.36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2,110,610.01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2,506,174.37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集中作业电子验印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351,081.10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1,995,090.77</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2,346,171.87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受理机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4,178,181.45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4,178,181.45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8"/>
              <w:jc w:val="left"/>
              <w:rPr>
                <w:rFonts w:ascii="Times New Roman" w:hAnsi="Times New Roman" w:cs="Times New Roman" w:eastAsia="Times New Roman" w:hint="default"/>
                <w:sz w:val="18"/>
                <w:szCs w:val="18"/>
              </w:rPr>
            </w:pPr>
            <w:r>
              <w:rPr>
                <w:rFonts w:ascii="宋体" w:hAnsi="宋体" w:cs="宋体" w:eastAsia="宋体" w:hint="default"/>
                <w:sz w:val="18"/>
                <w:szCs w:val="18"/>
              </w:rPr>
              <w:t>流程银行集中作业平 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250,898.56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1,503,513.39</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1,754,411.95</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六枚章智能印控机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2,323,927.78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3,139,498.58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3,953,838.97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1,509,587.39</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电子档案管理系统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1,664,145.55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35,441.86</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1,699,587.41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微视窗自助终端</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MH1500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182,915.00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1,326,935.89</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1,509,850.89</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微信银行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117,138.98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686,273.49</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803,412.47</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印章管理系统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353,692.59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2,257,781.18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1,509,957.55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1,101,516.22</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远程柜员机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V1040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2,592,909.50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1,240,276.43</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3,833,185.93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票据综合受理机</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M5030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1,790,275.94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1,790,275.94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14,473,634.61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21,563,917.72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19,741,018.71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9,669,382.52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6,627,151.10</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北京亿美软通科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151,738,925.12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151,738,925.12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深圳市科安数字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937,435.23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2,407,435.23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152,676,360.35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154,146,360.35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本公司期末对商誉进行了减值测试，未发现包含商誉的资产组或资产组组合的可收回金额低于其账面价值的情况，故未</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计提商誉减值准备。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3,346,209.69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1,276,329.79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1,161,327.80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3,461,211.68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企业邮箱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84,757.88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41,301.32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44,846.18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研发产品</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1,484,358.89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296,871.72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1,187,487.17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3,430,967.57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2,762,078.30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1,499,500.84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4,693,545.03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25,167,830.46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3,803,651.00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17,247,390.33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2,599,208.97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4,039,534.41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934,434.22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3,852,171.25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533,447.61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86,403,537.83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13,369,026.52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8,342,618.15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1,306,477.68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115,610,902.70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18,107,111.74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29,442,179.73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4,439,134.26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34,041,136.23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5,106,170.44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39,487,717.95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5,923,157.70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34,041,136.23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5,106,170.44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39,487,717.95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5,923,157.70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9"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18,107,111.74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4,439,134.26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5,106,170.44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5,923,157.70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俱乐部会员证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1,379,960.00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1,824,960.00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14"/>
          <w:szCs w:val="14"/>
        </w:rPr>
      </w:pPr>
    </w:p>
    <w:p>
      <w:pPr>
        <w:pStyle w:val="BodyText"/>
        <w:spacing w:line="477" w:lineRule="auto"/>
        <w:ind w:right="0" w:firstLine="360"/>
        <w:jc w:val="left"/>
      </w:pPr>
      <w:r>
        <w:rPr>
          <w:spacing w:val="-2"/>
        </w:rPr>
        <w:t>俱乐部会员证为公司全资子公司亿美软通购买的北京翡翠湖国标康体俱乐部会员证，该会员证可增值转让，因此划分为</w:t>
      </w:r>
      <w:r>
        <w:rPr/>
        <w:t> 其他长期资产。</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6" w:lineRule="auto" w:before="51"/>
        <w:ind w:left="513" w:right="0" w:hanging="360"/>
        <w:jc w:val="left"/>
      </w:pPr>
      <w:r>
        <w:rPr/>
        <w:t>短期借款分类的说明： </w:t>
      </w:r>
      <w:r>
        <w:rPr>
          <w:spacing w:val="-1"/>
        </w:rPr>
        <w:t>保证借款期末余额中人民币</w:t>
      </w:r>
      <w:r>
        <w:rPr>
          <w:rFonts w:ascii="Times New Roman" w:hAnsi="Times New Roman" w:cs="Times New Roman" w:eastAsia="Times New Roman" w:hint="default"/>
          <w:spacing w:val="-1"/>
        </w:rPr>
        <w:t>10,000,000.00</w:t>
      </w:r>
      <w:r>
        <w:rPr>
          <w:spacing w:val="-1"/>
        </w:rPr>
        <w:t>元系本公司取得的借款，由本公司共同控制人之一、董事长陈向军提供连带责</w:t>
      </w:r>
    </w:p>
    <w:p>
      <w:pPr>
        <w:pStyle w:val="BodyText"/>
        <w:spacing w:line="240" w:lineRule="auto" w:before="55"/>
        <w:ind w:left="153" w:right="0"/>
        <w:jc w:val="left"/>
      </w:pPr>
      <w:r>
        <w:rPr/>
        <w:t>任保证。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66,849,588.97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36,225,526.95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733,219.13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844,044.70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739,542.70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68,331,350.80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37,078,571.65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期末无账龄超过</w:t>
      </w:r>
      <w:r>
        <w:rPr>
          <w:rFonts w:ascii="Times New Roman" w:hAnsi="Times New Roman" w:cs="Times New Roman" w:eastAsia="Times New Roman" w:hint="default"/>
        </w:rPr>
        <w:t>1</w:t>
      </w:r>
      <w:r>
        <w:rPr/>
        <w:t>年的重要预收款项。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72,219,542.82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45,898,523.34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35,354,145.60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17,053,389.06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6,453.00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107,573,688.42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62,958,365.40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期末无账龄超过</w:t>
      </w:r>
      <w:r>
        <w:rPr>
          <w:rFonts w:ascii="Times New Roman" w:hAnsi="Times New Roman" w:cs="Times New Roman" w:eastAsia="Times New Roman" w:hint="default"/>
        </w:rPr>
        <w:t>1</w:t>
      </w:r>
      <w:r>
        <w:rPr/>
        <w:t>年的重要预收款项。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1,462,474.74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94,371,719.72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88,891,889.13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6,942,305.33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370,893.79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8,334,781.63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8,299,377.55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406,297.87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1,833,368.53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102,706,501.35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97,191,266.68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7,348,603.20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1,358,310.85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81,501,050.74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76,392,070.58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6,467,291.01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3,159,517.81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3,159,517.81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97,897.35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3,800,559.03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3,706,955.60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191,500.78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85,206.03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3,296,357.36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3,212,085.38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169,478.01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6,665.33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213,348.34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209,045.67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10,968.00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290,853.33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285,824.55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11,054.77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5,314,675.15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5,037,428.15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281,430.00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462,279.10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462,279.10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、商业保险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133,637.89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133,637.89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1,462,474.74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94,371,719.72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88,891,889.13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6,942,305.33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362,293.21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7,694,126.08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7,670,130.83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386,288.46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459,871.42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448,462.59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20,009.41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、残疾人就业保障金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180,784.13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180,784.13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370,893.79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8,334,781.63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8,299,377.55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406,297.87</w:t>
            </w:r>
          </w:p>
        </w:tc>
      </w:tr>
    </w:tbl>
    <w:p>
      <w:pPr>
        <w:pStyle w:val="BodyText"/>
        <w:spacing w:line="240" w:lineRule="auto" w:before="51"/>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63" w:lineRule="auto" w:before="44"/>
        <w:ind w:right="148" w:firstLine="360"/>
        <w:jc w:val="both"/>
      </w:pPr>
      <w:r>
        <w:rPr>
          <w:spacing w:val="-3"/>
        </w:rPr>
        <w:t>本公司按规定参加由政府机构设立的养老保险、失业保险计划，根据该等计划，本公司分别按员工基本工资的</w:t>
      </w:r>
      <w:r>
        <w:rPr>
          <w:rFonts w:ascii="Times New Roman" w:hAnsi="Times New Roman" w:cs="Times New Roman" w:eastAsia="Times New Roman" w:hint="default"/>
          <w:spacing w:val="-3"/>
        </w:rPr>
        <w:t>20%</w:t>
      </w:r>
      <w:r>
        <w:rPr>
          <w:spacing w:val="-3"/>
        </w:rPr>
        <w:t>、</w:t>
      </w:r>
      <w:r>
        <w:rPr>
          <w:rFonts w:ascii="Times New Roman" w:hAnsi="Times New Roman" w:cs="Times New Roman" w:eastAsia="Times New Roman" w:hint="default"/>
          <w:spacing w:val="-3"/>
        </w:rPr>
        <w:t>2%</w:t>
      </w:r>
      <w:r>
        <w:rPr>
          <w:rFonts w:ascii="Times New Roman" w:hAnsi="Times New Roman" w:cs="Times New Roman" w:eastAsia="Times New Roman" w:hint="default"/>
        </w:rPr>
        <w:t> </w:t>
      </w:r>
      <w:r>
        <w:rPr>
          <w:spacing w:val="-2"/>
        </w:rPr>
        <w:t>每月向该等计划缴存费用。除上述每月缴存费用外，本公司不再承担进一步支付义务。相应的支出于发生时计入当期损益或</w:t>
      </w:r>
      <w:r>
        <w:rPr>
          <w:spacing w:val="-66"/>
        </w:rPr>
        <w:t> </w:t>
      </w:r>
      <w:r>
        <w:rPr>
          <w:spacing w:val="-66"/>
        </w:rPr>
      </w:r>
      <w:r>
        <w:rPr/>
        <w:t>相关资产的成本。</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10,328,760.44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2,384,258.22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14,502.05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28,450,233.37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9,305,069.87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344,543.35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243,368.83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502,618.94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483,745.13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359,013.51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345,899.28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39,999,671.66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12,762,341.33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20,500.00</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2,898,660.00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员工报销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916,099.60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262,625.91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878,044.40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913,247.36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1,943,400.00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61,586.79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629,828.76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13,799,130.79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6,647,762.03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期末无账龄超过</w:t>
      </w:r>
      <w:r>
        <w:rPr>
          <w:rFonts w:ascii="Times New Roman" w:hAnsi="Times New Roman" w:cs="Times New Roman" w:eastAsia="Times New Roman" w:hint="default"/>
        </w:rPr>
        <w:t>1</w:t>
      </w:r>
      <w:r>
        <w:rPr/>
        <w:t>年的重要其他应付款。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1,443,529.90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1,430,961.85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企业人才安居房</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1,443,529.90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1,430,961.85</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企业人才安居房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1,443,529.90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12,568.05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1,430,961.85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1,443,529.90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12,568.05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1,430,961.85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14"/>
          <w:szCs w:val="14"/>
        </w:rPr>
      </w:pPr>
    </w:p>
    <w:p>
      <w:pPr>
        <w:pStyle w:val="BodyText"/>
        <w:spacing w:line="463" w:lineRule="auto"/>
        <w:ind w:right="151" w:firstLine="360"/>
        <w:jc w:val="both"/>
      </w:pPr>
      <w:r>
        <w:rPr>
          <w:spacing w:val="-2"/>
        </w:rPr>
        <w:t>本公司根据《深圳市保障性住房条例》、《深圳市人才安居暂行办法》、《福田区企业人才住房配售管理办法》、《福</w:t>
      </w:r>
      <w:r>
        <w:rPr/>
        <w:t> </w:t>
      </w:r>
      <w:r>
        <w:rPr>
          <w:spacing w:val="-2"/>
        </w:rPr>
        <w:t>田</w:t>
      </w:r>
      <w:r>
        <w:rPr>
          <w:rFonts w:ascii="Times New Roman" w:hAnsi="Times New Roman" w:cs="Times New Roman" w:eastAsia="Times New Roman" w:hint="default"/>
          <w:spacing w:val="-2"/>
        </w:rPr>
        <w:t>2013</w:t>
      </w:r>
      <w:r>
        <w:rPr>
          <w:spacing w:val="-2"/>
        </w:rPr>
        <w:t>年度企业人才住房配售方案》等规定，向深圳市福田区政府申请并取得企业人才住房，公司将取得企业人才住房购买</w:t>
      </w:r>
      <w:r>
        <w:rPr>
          <w:spacing w:val="-62"/>
        </w:rPr>
        <w:t> </w:t>
      </w:r>
      <w:r>
        <w:rPr>
          <w:spacing w:val="-62"/>
        </w:rPr>
      </w:r>
      <w:r>
        <w:rPr/>
        <w:t>价与公允价值之间的差异确认为政府补助。</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262,722,219.00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360,000.00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262,722,219.00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263,082,219.00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525,804,438.00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left="153" w:right="148" w:firstLine="505"/>
        <w:jc w:val="both"/>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日召开的</w:t>
      </w:r>
      <w:r>
        <w:rPr>
          <w:rFonts w:ascii="Times New Roman" w:hAnsi="Times New Roman" w:cs="Times New Roman" w:eastAsia="Times New Roman" w:hint="default"/>
        </w:rPr>
        <w:t>2014</w:t>
      </w:r>
      <w:r>
        <w:rPr/>
        <w:t>年年度股东大会决议和修改后的章程规定，以股本溢价形成的资本公积向全体股 </w:t>
      </w:r>
      <w:r>
        <w:rPr>
          <w:spacing w:val="-1"/>
        </w:rPr>
        <w:t>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股，共计转增股份</w:t>
      </w:r>
      <w:r>
        <w:rPr>
          <w:rFonts w:ascii="Times New Roman" w:hAnsi="Times New Roman" w:cs="Times New Roman" w:eastAsia="Times New Roman" w:hint="default"/>
          <w:spacing w:val="-1"/>
        </w:rPr>
        <w:t>262,722,219.00</w:t>
      </w:r>
      <w:r>
        <w:rPr>
          <w:spacing w:val="-1"/>
        </w:rPr>
        <w:t>股；根据公司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日第三届董事会第十四次会议审议通过《关于调</w:t>
      </w:r>
      <w:r>
        <w:rPr>
          <w:spacing w:val="-63"/>
        </w:rPr>
        <w:t> </w:t>
      </w:r>
      <w:r>
        <w:rPr>
          <w:spacing w:val="-63"/>
        </w:rPr>
      </w:r>
      <w:r>
        <w:rPr/>
        <w:t>整股票期权数量和行权价格的议案》、《关于股票期权与限制性股票激励计划第二个行权</w:t>
      </w:r>
      <w:r>
        <w:rPr>
          <w:rFonts w:ascii="Times New Roman" w:hAnsi="Times New Roman" w:cs="Times New Roman" w:eastAsia="Times New Roman" w:hint="default"/>
        </w:rPr>
        <w:t>/</w:t>
      </w:r>
      <w:r>
        <w:rPr/>
        <w:t>解锁期可行权</w:t>
      </w:r>
      <w:r>
        <w:rPr>
          <w:rFonts w:ascii="Times New Roman" w:hAnsi="Times New Roman" w:cs="Times New Roman" w:eastAsia="Times New Roman" w:hint="default"/>
        </w:rPr>
        <w:t>/</w:t>
      </w:r>
      <w:r>
        <w:rPr/>
        <w:t>解锁的议案》，本 </w:t>
      </w:r>
      <w:r>
        <w:rPr>
          <w:spacing w:val="-2"/>
        </w:rPr>
        <w:t>期股票期权激励对象行权</w:t>
      </w:r>
      <w:r>
        <w:rPr>
          <w:rFonts w:ascii="Times New Roman" w:hAnsi="Times New Roman" w:cs="Times New Roman" w:eastAsia="Times New Roman" w:hint="default"/>
          <w:spacing w:val="-2"/>
        </w:rPr>
        <w:t>36</w:t>
      </w:r>
      <w:r>
        <w:rPr>
          <w:spacing w:val="-2"/>
        </w:rPr>
        <w:t>万股。上述股本业经瑞华会计师事务所（特殊普通合伙）</w:t>
      </w:r>
      <w:r>
        <w:rPr>
          <w:rFonts w:ascii="Times New Roman" w:hAnsi="Times New Roman" w:cs="Times New Roman" w:eastAsia="Times New Roman" w:hint="default"/>
          <w:spacing w:val="-2"/>
        </w:rPr>
        <w:t>“</w:t>
      </w:r>
      <w:r>
        <w:rPr>
          <w:spacing w:val="-2"/>
        </w:rPr>
        <w:t>瑞华验字</w:t>
      </w:r>
      <w:r>
        <w:rPr>
          <w:rFonts w:ascii="Times New Roman" w:hAnsi="Times New Roman" w:cs="Times New Roman" w:eastAsia="Times New Roman" w:hint="default"/>
          <w:spacing w:val="-2"/>
        </w:rPr>
        <w:t>[2015]48020004</w:t>
      </w:r>
      <w:r>
        <w:rPr>
          <w:spacing w:val="-2"/>
        </w:rPr>
        <w:t>号</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瑞华验</w:t>
      </w:r>
    </w:p>
    <w:p>
      <w:pPr>
        <w:spacing w:after="0" w:line="451"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240" w:lineRule="auto" w:before="44"/>
        <w:ind w:left="153" w:right="0"/>
        <w:jc w:val="left"/>
      </w:pPr>
      <w:r>
        <w:rPr/>
        <w:t>字</w:t>
      </w:r>
      <w:r>
        <w:rPr>
          <w:rFonts w:ascii="Times New Roman" w:hAnsi="Times New Roman" w:cs="Times New Roman" w:eastAsia="Times New Roman" w:hint="default"/>
        </w:rPr>
        <w:t>[2015]48020005</w:t>
      </w:r>
      <w:r>
        <w:rPr/>
        <w:t>号</w:t>
      </w:r>
      <w:r>
        <w:rPr>
          <w:rFonts w:ascii="Times New Roman" w:hAnsi="Times New Roman" w:cs="Times New Roman" w:eastAsia="Times New Roman" w:hint="default"/>
        </w:rPr>
        <w:t>”</w:t>
      </w:r>
      <w:r>
        <w:rPr/>
        <w:t>验资报告验证。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465,369,998.01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2,496,878.95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261,619,319.00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206,247,557.96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1,841,678.95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1,023,154.97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1,841,678.95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1,023,154.97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467,211,676.96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3,520,033.92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263,460,997.95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207,270,712.93</w:t>
            </w:r>
          </w:p>
        </w:tc>
      </w:tr>
    </w:tbl>
    <w:p>
      <w:pPr>
        <w:pStyle w:val="BodyText"/>
        <w:spacing w:line="436" w:lineRule="auto" w:before="51"/>
        <w:ind w:left="513" w:right="0" w:hanging="360"/>
        <w:jc w:val="left"/>
      </w:pPr>
      <w:r>
        <w:rPr/>
        <w:t>其他说明，包括本期增减变动情况、变动原因说明： </w:t>
      </w:r>
      <w:r>
        <w:rPr>
          <w:spacing w:val="-2"/>
        </w:rPr>
        <w:t>资本公积股本溢价本年增加系股权激励对象行权溢价、限制性股票解锁溢价，本年减少系资本公积转增股本；其他资本</w:t>
      </w:r>
    </w:p>
    <w:p>
      <w:pPr>
        <w:pStyle w:val="BodyText"/>
        <w:spacing w:line="477" w:lineRule="auto" w:before="85"/>
        <w:ind w:left="153" w:right="0"/>
        <w:jc w:val="left"/>
      </w:pPr>
      <w:r>
        <w:rPr>
          <w:spacing w:val="-2"/>
        </w:rPr>
        <w:t>公积本年增加系确认的股票期权、限制性股票激励费用，本年减少系将限制性股票激励解锁、股权激励对象行权对应成本转</w:t>
      </w:r>
      <w:r>
        <w:rPr>
          <w:spacing w:val="-66"/>
        </w:rPr>
        <w:t> </w:t>
      </w:r>
      <w:r>
        <w:rPr>
          <w:spacing w:val="-66"/>
        </w:rPr>
      </w:r>
      <w:r>
        <w:rPr/>
        <w:t>入股本溢价。</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28</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附有回购义务的股权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1,898,300.00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1,898,300.00</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17,844,077.81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2,750,474.16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20,594,551.97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17,844,077.81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2,750,474.16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20,594,551.97</w:t>
            </w:r>
          </w:p>
        </w:tc>
      </w:tr>
    </w:tbl>
    <w:p>
      <w:pPr>
        <w:pStyle w:val="BodyText"/>
        <w:spacing w:line="436" w:lineRule="auto" w:before="51"/>
        <w:ind w:left="513" w:right="0" w:hanging="360"/>
        <w:jc w:val="left"/>
      </w:pPr>
      <w:r>
        <w:rPr/>
        <w:t>盈余公积说明，包括本期增减变动情况、变动原因说明： </w:t>
      </w:r>
      <w:r>
        <w:rPr>
          <w:spacing w:val="-1"/>
        </w:rPr>
        <w:t>根据公司法、章程的规定，本公司按净利润的</w:t>
      </w:r>
      <w:r>
        <w:rPr>
          <w:rFonts w:ascii="Times New Roman" w:hAnsi="Times New Roman" w:cs="Times New Roman" w:eastAsia="Times New Roman" w:hint="default"/>
          <w:spacing w:val="-1"/>
        </w:rPr>
        <w:t>10%</w:t>
      </w:r>
      <w:r>
        <w:rPr>
          <w:spacing w:val="-1"/>
        </w:rPr>
        <w:t>提取法定盈余公积金。法定盈余公积累计额为本公司注册资本</w:t>
      </w:r>
      <w:r>
        <w:rPr>
          <w:rFonts w:ascii="Times New Roman" w:hAnsi="Times New Roman" w:cs="Times New Roman" w:eastAsia="Times New Roman" w:hint="default"/>
          <w:spacing w:val="-1"/>
        </w:rPr>
        <w:t>50%</w:t>
      </w:r>
      <w:r>
        <w:rPr>
          <w:spacing w:val="-1"/>
        </w:rPr>
        <w:t>以</w:t>
      </w:r>
    </w:p>
    <w:p>
      <w:pPr>
        <w:pStyle w:val="BodyText"/>
        <w:spacing w:line="240" w:lineRule="auto" w:before="55"/>
        <w:ind w:right="0"/>
        <w:jc w:val="left"/>
      </w:pPr>
      <w:r>
        <w:rPr/>
        <w:t>上的，可不再提取。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676"/>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710"/>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6" w:right="0"/>
              <w:jc w:val="left"/>
              <w:rPr>
                <w:rFonts w:ascii="Times New Roman" w:hAnsi="Times New Roman" w:cs="Times New Roman" w:eastAsia="Times New Roman" w:hint="default"/>
                <w:sz w:val="18"/>
                <w:szCs w:val="18"/>
              </w:rPr>
            </w:pPr>
            <w:r>
              <w:rPr>
                <w:rFonts w:ascii="Times New Roman"/>
                <w:sz w:val="18"/>
              </w:rPr>
              <w:t>85,559,647.91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0" w:right="0"/>
              <w:jc w:val="left"/>
              <w:rPr>
                <w:rFonts w:ascii="Times New Roman" w:hAnsi="Times New Roman" w:cs="Times New Roman" w:eastAsia="Times New Roman" w:hint="default"/>
                <w:sz w:val="18"/>
                <w:szCs w:val="18"/>
              </w:rPr>
            </w:pPr>
            <w:r>
              <w:rPr>
                <w:rFonts w:ascii="Times New Roman"/>
                <w:sz w:val="18"/>
              </w:rPr>
              <w:t>65,145,548.56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85,559,647.91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65,145,548.56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72,960,653.41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27,686,672.11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2,750,474.16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1,206,072.76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7,881,666.57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6,066,500.00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147,888,160.59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85,559,647.91</w:t>
            </w:r>
          </w:p>
        </w:tc>
      </w:tr>
    </w:tbl>
    <w:p>
      <w:pPr>
        <w:pStyle w:val="BodyText"/>
        <w:spacing w:line="240" w:lineRule="auto" w:before="51"/>
        <w:ind w:right="0"/>
        <w:jc w:val="left"/>
      </w:pPr>
      <w:r>
        <w:rPr/>
        <w:t>调整期初未分配利润明细：</w:t>
      </w:r>
    </w:p>
    <w:p>
      <w:pPr>
        <w:spacing w:line="240" w:lineRule="auto" w:before="11"/>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5)</w:t>
      </w:r>
      <w:r>
        <w:rPr/>
        <w:t>、其他调整合计影响期初未分配利润元</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615,805,339.73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346,841,006.03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188,201,061.61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94,162,159.92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3,858,375.80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3,922,979.36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619,663,715.53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347,998,850.51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192,124,040.97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95,320,004.40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731,930.84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249,085.24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1,026,197.09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526,381.21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732,997.84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375,986.54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5,474.28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2,491,125.77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1,156,927.27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4,032,686.26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5,953,976.66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4,942,025.24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4,352,917.29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20,930,882.46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7,378,831.69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248,024.10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245,199.70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16,519,656.79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1,697,857.00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2,713,290.58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2,078,184.61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平台服务费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19,135,039.30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2,045,864.24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4,097,037.11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317,132.85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72,618,641.84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24,069,964.04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12,978,788.49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5,758,046.53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9,263,676.38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3,342,561.65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2,116,820.22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1,409,967.19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38,168,992.79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14,838,088.78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11,902,437.78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6,556,095.73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495,264.68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601,417.09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18,548,602.69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9,779,137.17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3,091,103.71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1,981,989.98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2,430,832.60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724,014.63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新产品试制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2,044,982.52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1,045,028.74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4,899,629.85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2,396,386.99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105,941,131.71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48,432,734.48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300,834.13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8,024,400.50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7,043,082.29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447,225.28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169,535.79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-70,197.96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355,294.70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-7,346,539.05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-6,518,251.80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7,861,939.79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2,001,342.18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89,922.49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7,951,862.28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2,001,342.18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-6,210,141.22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-1,249,912.60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-6,210,141.22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-1,249,748.22</w:t>
            </w:r>
          </w:p>
        </w:tc>
      </w:tr>
    </w:tbl>
    <w:p>
      <w:pPr>
        <w:pStyle w:val="BodyText"/>
        <w:spacing w:line="240" w:lineRule="auto" w:before="51"/>
        <w:ind w:right="0"/>
        <w:jc w:val="left"/>
      </w:pPr>
      <w:r>
        <w:rPr/>
        <w:t>其他说明：</w:t>
      </w:r>
    </w:p>
    <w:p>
      <w:pPr>
        <w:pStyle w:val="BodyText"/>
        <w:spacing w:line="240" w:lineRule="auto" w:before="117"/>
        <w:ind w:left="514" w:right="0"/>
        <w:jc w:val="left"/>
      </w:pPr>
      <w:r>
        <w:rPr/>
        <w:t>按权益法核算的长期股权投资收益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0"/>
        <w:gridCol w:w="3262"/>
        <w:gridCol w:w="3118"/>
      </w:tblGrid>
      <w:tr>
        <w:trPr>
          <w:trHeight w:val="401"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-2,042,165.83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-1,309,101.22</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-2,810,536.23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59,188.62</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福建片仔癀银之杰健康管理有限公司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-1,357,439.16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-6,210,141.22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-1,249,912.60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17,019.46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17,019.46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2,758,768.67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4,400,129.34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2,786,521.13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4,403,139.34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850"/>
        <w:gridCol w:w="852"/>
        <w:gridCol w:w="1063"/>
        <w:gridCol w:w="1063"/>
        <w:gridCol w:w="1063"/>
        <w:gridCol w:w="1062"/>
        <w:gridCol w:w="106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科技研究经费补贴</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372,700.00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2,665,900.62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4,027,429.34</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人才安居房</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12,568.05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2,758,768.67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4,400,129.34</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514" w:right="0"/>
        <w:jc w:val="left"/>
      </w:pPr>
      <w:r>
        <w:rPr/>
        <w:t>科技研究经费补贴系发展专项资金及专利著登记补贴等；税收返还系增值税即征即退。</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26,848.46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26,848.46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107,217.31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2,246,453.77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11,703.70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40</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20,588,695.85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4,625,543.34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-14,484,964.74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-2,030,324.29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6,103,731.11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2,595,219.05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84,338,568.61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12,650,785.29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-397,534.39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349,280.65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836,124.49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130,638.91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140,074.03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-7,606,480.37</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6,103,731.11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41</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372,700.00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4,227,880.00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3,923,489.36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4,775,544.10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6,421,300.08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37,634,814.58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8,338,360.24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46,718,538.68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19,055,849.68</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943,520.68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163,085.79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36,176,227.53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19,753,438.18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除工资、税金外付现管理费用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43,631,082.97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19,588,690.55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除工资、采购成本劳务外付现营业成本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9,837,419.56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9,291,513.27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26,483,430.33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745,314.37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928,954.00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101,184.08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118,000,635.07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49,643,226.24</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非公开发行保证金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企业并购取得的现金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56,147,967.49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56,147,967.49</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2,898,660.00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5,810,354.23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166,898,660.00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5,810,354.23</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退还股权激励投资款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2,391,900.00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支付股利分配各项费用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273,254.82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126,875.92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支付非公开发行股份服务费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90.140594pt;margin-top:436.799988pt;width:185.55pt;height:19.650pt;mso-position-horizontal-relative:page;mso-position-vertical-relative:page;z-index:-756976"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40594pt;margin-top:456.899994pt;width:185.55pt;height:19.650pt;mso-position-horizontal-relative:page;mso-position-vertical-relative:page;z-index:-756952"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1,671,254.82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2,518,775.92</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78,234,837.50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28,207,788.77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7,951,862.28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2,001,342.18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4,622,633.70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3,405,288.73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17,866,669.58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9,157,543.11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1,499,500.84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623,759.69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17,811.82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8,993.70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-3,880,810.82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-33,949.20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6,210,141.22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1,249,748.22</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-13,954,374.29</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-2,060,981.52</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-816,987.26</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-136,164.54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-7,300,377.11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-11,161,777.87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-155,455,799.58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-24,721,204.04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100,344,269.09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23,571,170.84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-2,096,157.87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1,757,985.31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33,243,219.10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31,869,543.38</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125,652,743.14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345,044,566.58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345,044,566.58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263,732,521.77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-219,391,823.44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81,312,044.81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125,652,743.14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345,044,566.58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200,118.48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82,205.90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114,211,189.13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260,865,738.76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11,241,435.53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84,096,621.92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125,652,743.14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345,044,566.58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4391" w:hanging="36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44</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481,038.95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3,123,674.53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197,385.69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1,400,490.95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235,353.74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2,263,138.03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加币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26,058.67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121,991.06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48,243.40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228,075.50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6,164.54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0.3735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2,302.15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应收款项</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640,718.36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4,160,568.74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34,757.00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225,698.06</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 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报告期内，本公司未发生非同一控制下企业合并。</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报告期内，本公司未发生同一控制下企业合并。</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深圳市银之杰金 融设备有限公司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金融信息化行业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深圳市银之杰技 术开发有限公司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金融信息化行业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北京亿美软通科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移动信息服务行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深圳市科安数字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7"/>
              <w:jc w:val="left"/>
              <w:rPr>
                <w:rFonts w:ascii="宋体" w:hAnsi="宋体" w:cs="宋体" w:eastAsia="宋体" w:hint="default"/>
                <w:sz w:val="18"/>
                <w:szCs w:val="18"/>
              </w:rPr>
            </w:pPr>
            <w:r>
              <w:rPr>
                <w:rFonts w:ascii="宋体" w:hAnsi="宋体" w:cs="宋体" w:eastAsia="宋体" w:hint="default"/>
                <w:sz w:val="18"/>
                <w:szCs w:val="18"/>
              </w:rPr>
              <w:t>安尼数码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shape style="position:absolute;margin-left:92.340302pt;margin-top:-48.266045pt;width:101.05pt;height:35.25pt;mso-position-horizontal-relative:page;mso-position-vertical-relative:paragraph;z-index:-756928" type="#_x0000_t202" filled="false" stroked="false">
            <v:textbox inset="0,0,0,0">
              <w:txbxContent>
                <w:p>
                  <w:pPr>
                    <w:pStyle w:val="BodyText"/>
                    <w:spacing w:line="240" w:lineRule="auto" w:before="51"/>
                    <w:ind w:left="0" w:right="0"/>
                    <w:jc w:val="left"/>
                  </w:pPr>
                  <w:r>
                    <w:rPr/>
                    <w:t>（香港）</w:t>
                  </w:r>
                </w:p>
              </w:txbxContent>
            </v:textbox>
            <w10:wrap type="none"/>
          </v:shape>
        </w:pict>
      </w:r>
      <w:r>
        <w:rPr/>
        <w:pict>
          <v:group style="position:absolute;margin-left:125.519997pt;margin-top:-48.266045pt;width:67.9pt;height:35.25pt;mso-position-horizontal-relative:page;mso-position-vertical-relative:paragraph;z-index:-756904" coordorigin="2510,-965" coordsize="1358,705">
            <v:group style="position:absolute;left:2510;top:-965;width:1358;height:705" coordorigin="2510,-965" coordsize="1358,705">
              <v:shape style="position:absolute;left:2510;top:-965;width:1358;height:705" coordorigin="2510,-965" coordsize="1358,705" path="m2510,-261l3868,-261,3868,-965,2510,-965,2510,-261xe" filled="true" fillcolor="#ffffff" stroked="false">
                <v:path arrowok="t"/>
                <v:fill type="solid"/>
              </v:shape>
            </v:group>
            <v:group style="position:absolute;left:2533;top:-809;width:1311;height:393" coordorigin="2533,-809" coordsize="1311,393">
              <v:shape style="position:absolute;left:2533;top:-809;width:1311;height:393" coordorigin="2533,-809" coordsize="1311,393" path="m2533,-417l3844,-417,3844,-809,2533,-809,2533,-417xe" filled="true" fillcolor="#ffffff" stroked="false">
                <v:path arrowok="t"/>
                <v:fill type="solid"/>
              </v:shape>
            </v:group>
            <w10:wrap type="none"/>
          </v:group>
        </w:pict>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703"/>
        <w:gridCol w:w="1914"/>
        <w:gridCol w:w="1913"/>
        <w:gridCol w:w="1913"/>
      </w:tblGrid>
      <w:tr>
        <w:trPr>
          <w:trHeight w:val="763"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
              <w:jc w:val="center"/>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5" w:right="0"/>
              <w:jc w:val="lef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5,274,184.09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10,207,764.95</w:t>
            </w:r>
          </w:p>
        </w:tc>
      </w:tr>
    </w:tbl>
    <w:p>
      <w:pPr>
        <w:pStyle w:val="BodyText"/>
        <w:spacing w:line="436" w:lineRule="auto" w:before="51"/>
        <w:ind w:left="513" w:right="5451" w:hanging="360"/>
        <w:jc w:val="left"/>
      </w:pPr>
      <w:r>
        <w:rPr/>
        <w:t>子公司少数股东的持股比例不同于表决权比例的说明： 不适用。</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科安数</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42,801,8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4,296,40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47,098,2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26,266,0</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26,266,0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13,563,3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439,726.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14,003,1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6,934,57</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6,934,57</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字有限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52.39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8.97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61.36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88.02</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88.02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80.96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78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07.74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5.39</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5.39</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深圳市科安 数字有限公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114,748,648.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10,763,640.9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10,763,640.9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-895,679.01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23,301,002.7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2,616,290.00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2,616,290.00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-2,761,256.02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深圳票联金融服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金融设备、软件 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北京华道征信有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个人征信服务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福建片仔癀银之 杰健康管理有限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健康管理服务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43.00%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易安财产保险股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金融保险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36" w:lineRule="auto" w:before="51"/>
        <w:ind w:left="513" w:right="4911" w:hanging="360"/>
        <w:jc w:val="left"/>
      </w:pPr>
      <w:r>
        <w:rPr/>
        <w:t>在合营企业或联营企业的持股比例不同于表决权比例的说明： 不适用。</w:t>
      </w:r>
    </w:p>
    <w:p>
      <w:pPr>
        <w:pStyle w:val="BodyText"/>
        <w:spacing w:line="412" w:lineRule="auto" w:before="47"/>
        <w:ind w:left="514" w:right="2031" w:hanging="360"/>
        <w:jc w:val="left"/>
      </w:pPr>
      <w:r>
        <w:rPr/>
        <w:t>持有</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不适用。</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8" w:right="47" w:hanging="180"/>
              <w:jc w:val="left"/>
              <w:rPr>
                <w:rFonts w:ascii="宋体" w:hAnsi="宋体" w:cs="宋体" w:eastAsia="宋体" w:hint="default"/>
                <w:sz w:val="18"/>
                <w:szCs w:val="18"/>
              </w:rPr>
            </w:pPr>
            <w:r>
              <w:rPr>
                <w:rFonts w:ascii="宋体" w:hAnsi="宋体" w:cs="宋体" w:eastAsia="宋体" w:hint="default"/>
                <w:sz w:val="18"/>
                <w:szCs w:val="18"/>
              </w:rPr>
              <w:t>深圳票联金融服 务有限公司</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9" w:right="47" w:hanging="360"/>
              <w:jc w:val="left"/>
              <w:rPr>
                <w:rFonts w:ascii="宋体" w:hAnsi="宋体" w:cs="宋体" w:eastAsia="宋体" w:hint="default"/>
                <w:sz w:val="18"/>
                <w:szCs w:val="18"/>
              </w:rPr>
            </w:pPr>
            <w:r>
              <w:rPr>
                <w:rFonts w:ascii="宋体" w:hAnsi="宋体" w:cs="宋体" w:eastAsia="宋体" w:hint="default"/>
                <w:sz w:val="18"/>
                <w:szCs w:val="18"/>
              </w:rPr>
              <w:t>北京华道征信有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福建片仔癀银之 杰健康管理有限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深圳票联金融服 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7" w:right="47" w:hanging="360"/>
              <w:jc w:val="left"/>
              <w:rPr>
                <w:rFonts w:ascii="宋体" w:hAnsi="宋体" w:cs="宋体" w:eastAsia="宋体" w:hint="default"/>
                <w:sz w:val="18"/>
                <w:szCs w:val="18"/>
              </w:rPr>
            </w:pPr>
            <w:r>
              <w:rPr>
                <w:rFonts w:ascii="宋体" w:hAnsi="宋体" w:cs="宋体" w:eastAsia="宋体" w:hint="default"/>
                <w:sz w:val="18"/>
                <w:szCs w:val="18"/>
              </w:rPr>
              <w:t>北京华道征信有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福建片仔癀银之 杰健康管理有限 公司</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15,242,166.29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40,678,842.22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16,622,499.27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11,012,708.64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50,255,418.31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10,058,064.78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2,667,036.67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1,574,774.31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1,787,018.32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26,747.63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25,300,231.07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43,345,878.89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18,197,273.58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12,799,726.96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50,282,165.94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7,143,652.29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674,615.01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1,354,108.83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475,462.82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134,194.39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7,143,652.29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674,615.01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1,354,108.83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475,462.82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134,194.39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6,342,231.96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1,497,916.51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1,317,609.45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108,679.20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436,893.20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-4,167,685.36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-7,477,146.57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-3,156,835.25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-2,671,635.14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147,971.55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-4,167,685.36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-7,477,146.57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-3,156,835.25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-2,671,635.14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147,971.55</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436" w:lineRule="auto"/>
        <w:ind w:left="513" w:right="5631" w:hanging="360"/>
        <w:jc w:val="left"/>
      </w:pPr>
      <w:r>
        <w:rPr/>
        <w:t>未纳入合并财务报表范围的结构化主体的相关说明： 不适用。</w:t>
      </w:r>
    </w:p>
    <w:p>
      <w:pPr>
        <w:spacing w:after="0" w:line="436"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49" w:firstLine="360"/>
        <w:jc w:val="both"/>
      </w:pPr>
      <w:r>
        <w:rPr>
          <w:spacing w:val="-2"/>
        </w:rPr>
        <w:t>本公司的主要金融工具包括股权投资、债权投资、应收账款、应付账款等，各项金融工具的详细情况说明见本附注六相</w:t>
      </w:r>
      <w:r>
        <w:rPr/>
        <w:t> </w:t>
      </w:r>
      <w:r>
        <w:rPr>
          <w:spacing w:val="-2"/>
        </w:rPr>
        <w:t>关项目。与这些金融工具有关的风险，以及本公司为降低这些风险所采取的风险管理政策如下所述。本公司管理层对这些风</w:t>
      </w:r>
      <w:r>
        <w:rPr>
          <w:spacing w:val="-66"/>
        </w:rPr>
        <w:t> </w:t>
      </w:r>
      <w:r>
        <w:rPr>
          <w:spacing w:val="-66"/>
        </w:rPr>
      </w:r>
      <w:r>
        <w:rPr/>
        <w:t>险敞口进行管理和监控以确保将上述风险控制在限定的范围之内。</w:t>
      </w:r>
    </w:p>
    <w:p>
      <w:pPr>
        <w:pStyle w:val="BodyText"/>
        <w:spacing w:line="477" w:lineRule="auto" w:before="54"/>
        <w:ind w:left="153" w:right="0" w:firstLine="360"/>
        <w:jc w:val="left"/>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5"/>
        <w:spacing w:line="240" w:lineRule="auto" w:before="54"/>
        <w:ind w:right="0"/>
        <w:jc w:val="left"/>
        <w:rPr>
          <w:b w:val="0"/>
          <w:bCs w:val="0"/>
        </w:rPr>
      </w:pPr>
      <w:r>
        <w:rPr>
          <w:rFonts w:ascii="Times New Roman" w:hAnsi="Times New Roman" w:cs="Times New Roman" w:eastAsia="Times New Roman" w:hint="default"/>
        </w:rPr>
        <w:t>1</w:t>
      </w:r>
      <w:r>
        <w:rPr/>
        <w:t>、市场风险</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0"/>
        <w:jc w:val="left"/>
      </w:pPr>
      <w:r>
        <w:rPr/>
        <w:t>（</w:t>
      </w:r>
      <w:r>
        <w:rPr>
          <w:rFonts w:ascii="Times New Roman" w:hAnsi="Times New Roman" w:cs="Times New Roman" w:eastAsia="Times New Roman" w:hint="default"/>
        </w:rPr>
        <w:t>1</w:t>
      </w:r>
      <w:r>
        <w:rPr/>
        <w:t>）外汇风险 </w:t>
      </w:r>
      <w:r>
        <w:rPr>
          <w:spacing w:val="-2"/>
        </w:rPr>
        <w:t>外汇风险指因汇率变动产生损失的风险。公司承受外汇风险主要与美元有关，除公司极少数业务以美元进行结算外，公</w:t>
      </w:r>
    </w:p>
    <w:p>
      <w:pPr>
        <w:pStyle w:val="BodyText"/>
        <w:spacing w:line="451" w:lineRule="auto" w:before="74"/>
        <w:ind w:left="153" w:right="0"/>
        <w:jc w:val="left"/>
      </w:pPr>
      <w:r>
        <w:rPr>
          <w:spacing w:val="-2"/>
        </w:rPr>
        <w:t>司的其他主要业务活动以人民币计价结算。于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日，除下表所述资产及负债为外币余额外，公司其他资产及负债</w:t>
      </w:r>
      <w:r>
        <w:rPr>
          <w:spacing w:val="-58"/>
        </w:rPr>
        <w:t> </w:t>
      </w:r>
      <w:r>
        <w:rPr>
          <w:spacing w:val="-58"/>
        </w:rPr>
      </w:r>
      <w:r>
        <w:rPr/>
        <w:t>均为记账本位币余额。该等外币余额的资产和负债产生的外汇风险可能对公司的经营业绩产生影响。</w:t>
      </w:r>
    </w:p>
    <w:tbl>
      <w:tblPr>
        <w:tblW w:w="0" w:type="auto"/>
        <w:jc w:val="left"/>
        <w:tblInd w:w="149" w:type="dxa"/>
        <w:tblLayout w:type="fixed"/>
        <w:tblCellMar>
          <w:top w:w="0" w:type="dxa"/>
          <w:left w:w="0" w:type="dxa"/>
          <w:bottom w:w="0" w:type="dxa"/>
          <w:right w:w="0" w:type="dxa"/>
        </w:tblCellMar>
        <w:tblLook w:val="01E0"/>
      </w:tblPr>
      <w:tblGrid>
        <w:gridCol w:w="3214"/>
        <w:gridCol w:w="3214"/>
        <w:gridCol w:w="3212"/>
      </w:tblGrid>
      <w:tr>
        <w:trPr>
          <w:trHeight w:val="322" w:hRule="exact"/>
        </w:trPr>
        <w:tc>
          <w:tcPr>
            <w:tcW w:w="3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3" w:hRule="exact"/>
        </w:trPr>
        <w:tc>
          <w:tcPr>
            <w:tcW w:w="3214"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3214" w:type="dxa"/>
            <w:tcBorders>
              <w:top w:val="single" w:sz="8" w:space="0" w:color="000000"/>
              <w:left w:val="single" w:sz="4" w:space="0" w:color="000000"/>
              <w:bottom w:val="single" w:sz="4" w:space="0" w:color="FFFFFF"/>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7,139,865.63</w:t>
            </w:r>
          </w:p>
        </w:tc>
        <w:tc>
          <w:tcPr>
            <w:tcW w:w="3212" w:type="dxa"/>
            <w:tcBorders>
              <w:top w:val="single" w:sz="8" w:space="0" w:color="000000"/>
              <w:left w:val="single" w:sz="4" w:space="0" w:color="000000"/>
              <w:bottom w:val="single" w:sz="4" w:space="0" w:color="FFFFFF"/>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141,222.91</w:t>
            </w:r>
          </w:p>
        </w:tc>
      </w:tr>
      <w:tr>
        <w:trPr>
          <w:trHeight w:val="421" w:hRule="exact"/>
        </w:trPr>
        <w:tc>
          <w:tcPr>
            <w:tcW w:w="3214"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4,160,568.74</w:t>
            </w:r>
          </w:p>
        </w:tc>
        <w:tc>
          <w:tcPr>
            <w:tcW w:w="3212" w:type="dxa"/>
            <w:tcBorders>
              <w:top w:val="single" w:sz="4" w:space="0" w:color="FFFFFF"/>
              <w:left w:val="single" w:sz="4" w:space="0" w:color="000000"/>
              <w:bottom w:val="single" w:sz="4" w:space="0" w:color="FFFFFF"/>
              <w:right w:val="single" w:sz="4" w:space="0" w:color="000000"/>
            </w:tcBorders>
          </w:tcPr>
          <w:p>
            <w:pPr/>
          </w:p>
        </w:tc>
      </w:tr>
      <w:tr>
        <w:trPr>
          <w:trHeight w:val="422" w:hRule="exact"/>
        </w:trPr>
        <w:tc>
          <w:tcPr>
            <w:tcW w:w="3214"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225,698.06</w:t>
            </w:r>
          </w:p>
        </w:tc>
        <w:tc>
          <w:tcPr>
            <w:tcW w:w="3212" w:type="dxa"/>
            <w:tcBorders>
              <w:top w:val="single" w:sz="4" w:space="0" w:color="FFFFFF"/>
              <w:left w:val="single" w:sz="4" w:space="0" w:color="000000"/>
              <w:bottom w:val="single" w:sz="4" w:space="0" w:color="000000"/>
              <w:right w:val="single" w:sz="4" w:space="0" w:color="000000"/>
            </w:tcBorders>
          </w:tcPr>
          <w:p>
            <w:pPr/>
          </w:p>
        </w:tc>
      </w:tr>
    </w:tbl>
    <w:p>
      <w:pPr>
        <w:pStyle w:val="BodyText"/>
        <w:spacing w:line="240" w:lineRule="auto" w:before="84"/>
        <w:ind w:left="514" w:right="0"/>
        <w:jc w:val="left"/>
      </w:pPr>
      <w:r>
        <w:rPr/>
        <w:t>公司密切关注汇率变动对公司外汇风险的影响。</w:t>
      </w:r>
    </w:p>
    <w:p>
      <w:pPr>
        <w:spacing w:line="240" w:lineRule="auto" w:before="10"/>
        <w:rPr>
          <w:rFonts w:ascii="宋体" w:hAnsi="宋体" w:cs="宋体" w:eastAsia="宋体" w:hint="default"/>
          <w:sz w:val="17"/>
          <w:szCs w:val="17"/>
        </w:rPr>
      </w:pPr>
    </w:p>
    <w:p>
      <w:pPr>
        <w:pStyle w:val="BodyText"/>
        <w:spacing w:line="463" w:lineRule="auto"/>
        <w:ind w:left="513" w:right="2031"/>
        <w:jc w:val="left"/>
      </w:pPr>
      <w:r>
        <w:rPr/>
        <w:t>（</w:t>
      </w:r>
      <w:r>
        <w:rPr>
          <w:rFonts w:ascii="Times New Roman" w:hAnsi="Times New Roman" w:cs="Times New Roman" w:eastAsia="Times New Roman" w:hint="default"/>
        </w:rPr>
        <w:t>2</w:t>
      </w:r>
      <w:r>
        <w:rPr/>
        <w:t>）利率风险－现金流量变动风险 利率风险是指因利率变动引起金融工具现金流量变动的风险，主要与浮动利率银行借款有关。 截止报告期末，本公司目前金融机构借款利率均为固定利率，不存在浮动利率风险。</w:t>
      </w:r>
    </w:p>
    <w:p>
      <w:pPr>
        <w:pStyle w:val="BodyText"/>
        <w:spacing w:line="451" w:lineRule="auto" w:before="65"/>
        <w:ind w:left="513" w:right="7881"/>
        <w:jc w:val="left"/>
      </w:pPr>
      <w:r>
        <w:rPr/>
        <w:t>（</w:t>
      </w:r>
      <w:r>
        <w:rPr>
          <w:rFonts w:ascii="Times New Roman" w:hAnsi="Times New Roman" w:cs="Times New Roman" w:eastAsia="Times New Roman" w:hint="default"/>
        </w:rPr>
        <w:t>3</w:t>
      </w:r>
      <w:r>
        <w:rPr/>
        <w:t>）其他价格风险 无。</w:t>
      </w:r>
    </w:p>
    <w:p>
      <w:pPr>
        <w:spacing w:line="240" w:lineRule="auto" w:before="0"/>
        <w:rPr>
          <w:rFonts w:ascii="宋体" w:hAnsi="宋体" w:cs="宋体" w:eastAsia="宋体" w:hint="default"/>
          <w:sz w:val="18"/>
          <w:szCs w:val="18"/>
        </w:rPr>
      </w:pPr>
    </w:p>
    <w:p>
      <w:pPr>
        <w:pStyle w:val="Heading5"/>
        <w:spacing w:line="240" w:lineRule="auto" w:before="150"/>
        <w:ind w:right="0"/>
        <w:jc w:val="left"/>
        <w:rPr>
          <w:b w:val="0"/>
          <w:bCs w:val="0"/>
        </w:rPr>
      </w:pPr>
      <w:r>
        <w:rPr>
          <w:rFonts w:ascii="Times New Roman" w:hAnsi="Times New Roman" w:cs="Times New Roman" w:eastAsia="Times New Roman" w:hint="default"/>
        </w:rPr>
        <w:t>2</w:t>
      </w:r>
      <w:r>
        <w:rPr/>
        <w:t>、信用风险</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153" w:right="15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资产产生的损失以及本公司承担的财务担保，具体包括：合并资产负债表中已确认的金融资产的账面金额。</w:t>
      </w:r>
    </w:p>
    <w:p>
      <w:pPr>
        <w:pStyle w:val="BodyText"/>
        <w:spacing w:line="477" w:lineRule="auto" w:before="74"/>
        <w:ind w:left="153" w:right="151" w:firstLine="360"/>
        <w:jc w:val="both"/>
      </w:pPr>
      <w:r>
        <w:rPr>
          <w:spacing w:val="-2"/>
        </w:rPr>
        <w:t>为降低信用风险，本公司对每项金融资产确定信用额度、进行信用审批，并执行其他监控程序以确保采取必要的措施回</w:t>
      </w:r>
      <w:r>
        <w:rPr/>
        <w:t> </w:t>
      </w:r>
      <w:r>
        <w:rPr>
          <w:spacing w:val="-2"/>
        </w:rPr>
        <w:t>收过期债权。此外，本公司于每个资产负债表日审核每一单项应收款的回收情况，以确保就无法回收的款项计提充分的坏账</w:t>
      </w:r>
      <w:r>
        <w:rPr>
          <w:spacing w:val="-66"/>
        </w:rPr>
        <w:t> </w:t>
      </w:r>
      <w:r>
        <w:rPr>
          <w:spacing w:val="-66"/>
        </w:rPr>
      </w:r>
      <w:r>
        <w:rPr/>
        <w:t>准备。因此，本公司管理层认为本公司所承担的信用风险已经大为降低。</w:t>
      </w:r>
    </w:p>
    <w:p>
      <w:pPr>
        <w:spacing w:after="0" w:line="477"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77" w:lineRule="auto" w:before="44"/>
        <w:ind w:left="513" w:right="1671"/>
        <w:jc w:val="left"/>
      </w:pPr>
      <w:r>
        <w:rPr/>
        <w:t>本公司的流动资金存放在信用评级较高的银行，故流动资金的信用风险较低。 本公司采用了必要的政策确保所有销售客户均具有良好的信用记录。本公司无重大信用集中风险</w:t>
      </w:r>
      <w:r>
        <w:rPr>
          <w:color w:val="0000FF"/>
        </w:rPr>
        <w:t>。</w:t>
      </w:r>
      <w:r>
        <w:rPr/>
      </w:r>
    </w:p>
    <w:p>
      <w:pPr>
        <w:spacing w:line="240" w:lineRule="auto" w:before="0"/>
        <w:rPr>
          <w:rFonts w:ascii="宋体" w:hAnsi="宋体" w:cs="宋体" w:eastAsia="宋体" w:hint="default"/>
          <w:sz w:val="18"/>
          <w:szCs w:val="18"/>
        </w:rPr>
      </w:pPr>
    </w:p>
    <w:p>
      <w:pPr>
        <w:pStyle w:val="BodyText"/>
        <w:spacing w:line="451" w:lineRule="auto" w:before="130"/>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spacing w:val="1"/>
          <w:w w:val="99"/>
        </w:rPr>
        <w:t> </w:t>
      </w:r>
      <w:r>
        <w:rPr>
          <w:spacing w:val="-2"/>
        </w:rPr>
        <w:t>管理流动风险时，本公司保持管理层认为充分的现金及现金等价物并对其进行监控，以满足本公司经营需要，并降低现</w:t>
      </w:r>
    </w:p>
    <w:p>
      <w:pPr>
        <w:pStyle w:val="BodyText"/>
        <w:spacing w:line="477" w:lineRule="auto" w:before="74"/>
        <w:ind w:left="514" w:right="4010" w:hanging="360"/>
        <w:jc w:val="left"/>
      </w:pPr>
      <w:r>
        <w:rPr/>
        <w:pict>
          <v:shape style="position:absolute;margin-left:56.459999pt;margin-top:46.58215pt;width:482.7pt;height:85.2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19"/>
                    <w:gridCol w:w="4820"/>
                  </w:tblGrid>
                  <w:tr>
                    <w:trPr>
                      <w:trHeight w:val="332"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r>
                  <w:tr>
                    <w:trPr>
                      <w:trHeight w:val="342"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4820"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66,849,588.97</w:t>
                        </w:r>
                      </w:p>
                    </w:tc>
                  </w:tr>
                  <w:tr>
                    <w:trPr>
                      <w:trHeight w:val="342"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45,100.00</w:t>
                        </w:r>
                      </w:p>
                    </w:tc>
                  </w:tr>
                  <w:tr>
                    <w:trPr>
                      <w:trHeight w:val="337"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13,794,130.79</w:t>
                        </w:r>
                      </w:p>
                    </w:tc>
                  </w:tr>
                </w:tbl>
                <w:p>
                  <w:pPr/>
                </w:p>
              </w:txbxContent>
            </v:textbox>
            <w10:wrap type="none"/>
          </v:shape>
        </w:pict>
      </w:r>
      <w:r>
        <w:rPr/>
        <w:t>金流量波动的影响。 本公司持有的金融负债按未折现剩余合同义务的到期期限分析如下：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32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张学君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21.23</w:t>
            </w:r>
          </w:p>
        </w:tc>
      </w:tr>
      <w:tr>
        <w:trPr>
          <w:trHeight w:val="32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陈向军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9.14</w:t>
            </w:r>
          </w:p>
        </w:tc>
      </w:tr>
      <w:tr>
        <w:trPr>
          <w:trHeight w:val="32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李军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9.14</w:t>
            </w:r>
          </w:p>
        </w:tc>
      </w:tr>
    </w:tbl>
    <w:p>
      <w:pPr>
        <w:pStyle w:val="BodyText"/>
        <w:spacing w:line="477" w:lineRule="auto" w:before="88"/>
        <w:ind w:left="513" w:right="5811"/>
        <w:jc w:val="left"/>
      </w:pPr>
      <w:r>
        <w:rPr/>
        <w:t>本企业的母公司情况的说明 本企业最终控制方是张学君、陈向军、李军。 其他说明：</w:t>
      </w:r>
    </w:p>
    <w:p>
      <w:pPr>
        <w:pStyle w:val="BodyText"/>
        <w:spacing w:line="240" w:lineRule="auto" w:before="54"/>
        <w:ind w:left="513" w:right="0"/>
        <w:jc w:val="left"/>
      </w:pPr>
      <w:r>
        <w:rPr/>
        <w:t>张学君、陈向军、李军三人以一致行动人的方式对公司实施共同控制，为本公司控股股东和实际控制人。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本企业子公司的情况详见附注八、</w:t>
      </w:r>
      <w:r>
        <w:rPr>
          <w:rFonts w:ascii="Times New Roman" w:hAnsi="Times New Roman" w:cs="Times New Roman" w:eastAsia="Times New Roman" w:hint="default"/>
        </w:rPr>
        <w:t>1</w:t>
      </w:r>
      <w:r>
        <w:rPr/>
        <w:t>、在子公司中的权益。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32"/>
          <w:szCs w:val="32"/>
        </w:rPr>
      </w:pPr>
    </w:p>
    <w:p>
      <w:pPr>
        <w:pStyle w:val="BodyText"/>
        <w:spacing w:line="415" w:lineRule="auto"/>
        <w:ind w:left="153" w:right="1311" w:firstLine="360"/>
        <w:jc w:val="left"/>
      </w:pPr>
      <w:r>
        <w:rPr/>
        <w:pict>
          <v:group style="position:absolute;margin-left:56.219994pt;margin-top:38.352104pt;width:479.35pt;height:21.1pt;mso-position-horizontal-relative:page;mso-position-vertical-relative:paragraph;z-index:-756832" coordorigin="1124,767" coordsize="9587,422">
            <v:group style="position:absolute;left:5888;top:781;width:23;height:393" coordorigin="5888,781" coordsize="23,393">
              <v:shape style="position:absolute;left:5888;top:781;width:23;height:393" coordorigin="5888,781" coordsize="23,393" path="m5888,1174l5911,1174,5911,781,5888,781,5888,1174xe" filled="true" fillcolor="#d3d3d3" stroked="false">
                <v:path arrowok="t"/>
                <v:fill type="solid"/>
              </v:shape>
            </v:group>
            <v:group style="position:absolute;left:1139;top:781;width:23;height:393" coordorigin="1139,781" coordsize="23,393">
              <v:shape style="position:absolute;left:1139;top:781;width:23;height:393" coordorigin="1139,781" coordsize="23,393" path="m1139,1174l1162,1174,1162,781,1139,781,1139,1174xe" filled="true" fillcolor="#d3d3d3" stroked="false">
                <v:path arrowok="t"/>
                <v:fill type="solid"/>
              </v:shape>
            </v:group>
            <v:group style="position:absolute;left:1162;top:781;width:4727;height:393" coordorigin="1162,781" coordsize="4727,393">
              <v:shape style="position:absolute;left:1162;top:781;width:4727;height:393" coordorigin="1162,781" coordsize="4727,393" path="m1162,1174l5888,1174,5888,781,1162,781,1162,1174xe" filled="true" fillcolor="#d3d3d3" stroked="false">
                <v:path arrowok="t"/>
                <v:fill type="solid"/>
              </v:shape>
            </v:group>
            <v:group style="position:absolute;left:5921;top:781;width:23;height:393" coordorigin="5921,781" coordsize="23,393">
              <v:shape style="position:absolute;left:5921;top:781;width:23;height:393" coordorigin="5921,781" coordsize="23,393" path="m5921,1174l5944,1174,5944,781,5921,781,5921,1174xe" filled="true" fillcolor="#d3d3d3" stroked="false">
                <v:path arrowok="t"/>
                <v:fill type="solid"/>
              </v:shape>
            </v:group>
            <v:group style="position:absolute;left:10674;top:781;width:23;height:393" coordorigin="10674,781" coordsize="23,393">
              <v:shape style="position:absolute;left:10674;top:781;width:23;height:393" coordorigin="10674,781" coordsize="23,393" path="m10674,1174l10697,1174,10697,781,10674,781,10674,1174xe" filled="true" fillcolor="#d3d3d3" stroked="false">
                <v:path arrowok="t"/>
                <v:fill type="solid"/>
              </v:shape>
            </v:group>
            <v:group style="position:absolute;left:5944;top:781;width:4731;height:393" coordorigin="5944,781" coordsize="4731,393">
              <v:shape style="position:absolute;left:5944;top:781;width:4731;height:393" coordorigin="5944,781" coordsize="4731,393" path="m5944,1174l10674,1174,10674,781,5944,781,5944,1174xe" filled="true" fillcolor="#d3d3d3" stroked="false">
                <v:path arrowok="t"/>
                <v:fill type="solid"/>
              </v:shape>
            </v:group>
            <v:group style="position:absolute;left:1129;top:777;width:9578;height:2" coordorigin="1129,777" coordsize="9578,2">
              <v:shape style="position:absolute;left:1129;top:777;width:9578;height:2" coordorigin="1129,777" coordsize="9578,0" path="m1129,777l10706,777e" filled="false" stroked="true" strokeweight=".48001pt" strokecolor="#000000">
                <v:path arrowok="t"/>
              </v:shape>
            </v:group>
            <v:group style="position:absolute;left:1134;top:772;width:2;height:412" coordorigin="1134,772" coordsize="2,412">
              <v:shape style="position:absolute;left:1134;top:772;width:2;height:412" coordorigin="1134,772" coordsize="0,412" path="m1134,772l1134,1183e" filled="false" stroked="true" strokeweight=".48001pt" strokecolor="#000000">
                <v:path arrowok="t"/>
              </v:shape>
            </v:group>
            <v:group style="position:absolute;left:1129;top:1179;width:4782;height:2" coordorigin="1129,1179" coordsize="4782,2">
              <v:shape style="position:absolute;left:1129;top:1179;width:4782;height:2" coordorigin="1129,1179" coordsize="4782,0" path="m1129,1179l5911,1179e" filled="false" stroked="true" strokeweight=".47998pt" strokecolor="#000000">
                <v:path arrowok="t"/>
              </v:shape>
            </v:group>
            <v:group style="position:absolute;left:5916;top:781;width:2;height:402" coordorigin="5916,781" coordsize="2,402">
              <v:shape style="position:absolute;left:5916;top:781;width:2;height:402" coordorigin="5916,781" coordsize="0,402" path="m5916,781l5916,1183e" filled="false" stroked="true" strokeweight=".48001pt" strokecolor="#000000">
                <v:path arrowok="t"/>
              </v:shape>
            </v:group>
            <v:group style="position:absolute;left:5921;top:1179;width:4776;height:2" coordorigin="5921,1179" coordsize="4776,2">
              <v:shape style="position:absolute;left:5921;top:1179;width:4776;height:2" coordorigin="5921,1179" coordsize="4776,0" path="m5921,1179l10697,1179e" filled="false" stroked="true" strokeweight=".47998pt" strokecolor="#000000">
                <v:path arrowok="t"/>
              </v:shape>
            </v:group>
            <v:group style="position:absolute;left:10702;top:772;width:2;height:412" coordorigin="10702,772" coordsize="2,412">
              <v:shape style="position:absolute;left:10702;top:772;width:2;height:412" coordorigin="10702,772" coordsize="0,412" path="m10702,772l10702,1183e" filled="false" stroked="true" strokeweight=".47998pt" strokecolor="#000000">
                <v:path arrowok="t"/>
              </v:shape>
              <v:shape style="position:absolute;left:1134;top:777;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5916;top:777;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w10:wrap type="none"/>
          </v:group>
        </w:pict>
      </w:r>
      <w:r>
        <w:rPr/>
        <w:t>本企业重要的合营或联营企业详见附注八、</w:t>
      </w:r>
      <w:r>
        <w:rPr>
          <w:rFonts w:ascii="Times New Roman" w:hAnsi="Times New Roman" w:cs="Times New Roman" w:eastAsia="Times New Roman" w:hint="default"/>
        </w:rPr>
        <w:t>2</w:t>
      </w:r>
      <w:r>
        <w:rPr/>
        <w:t>、在合营企业或联营企业中的权益。 本期与本公司发生关联方交易，或前期与本公司发生关联方交易形成余额的其他合营或联营企业情况如下：</w:t>
      </w:r>
    </w:p>
    <w:p>
      <w:pPr>
        <w:spacing w:after="0" w:line="415" w:lineRule="auto"/>
        <w:jc w:val="lef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福建片仔癀银之杰健康管理有限公司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公司参股孙公司</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514" w:right="0"/>
        <w:jc w:val="left"/>
      </w:pPr>
      <w:r>
        <w:rPr/>
        <w:t>本公司无其他关联方。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6"/>
                <w:sz w:val="18"/>
                <w:szCs w:val="18"/>
              </w:rPr>
              <w:t>北京华道征信有限 </w:t>
            </w:r>
            <w:r>
              <w:rPr>
                <w:rFonts w:ascii="宋体" w:hAnsi="宋体" w:cs="宋体" w:eastAsia="宋体" w:hint="default"/>
                <w:sz w:val="18"/>
                <w:szCs w:val="18"/>
              </w:rPr>
              <w:t>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4" w:right="0"/>
              <w:jc w:val="left"/>
              <w:rPr>
                <w:rFonts w:ascii="Times New Roman" w:hAnsi="Times New Roman" w:cs="Times New Roman" w:eastAsia="Times New Roman" w:hint="default"/>
                <w:sz w:val="18"/>
                <w:szCs w:val="18"/>
              </w:rPr>
            </w:pPr>
            <w:r>
              <w:rPr>
                <w:rFonts w:ascii="Times New Roman"/>
                <w:sz w:val="18"/>
              </w:rPr>
              <w:t>19,247.00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643,740.00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4,522,459.58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5,498,274.00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易安财产保险股份有限公司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450,872.00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福建片仔癀银之杰健康管理有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454,836.87</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本公司作为被担保方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9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30" w:right="0"/>
              <w:jc w:val="left"/>
              <w:rPr>
                <w:rFonts w:ascii="Arial" w:hAnsi="Arial" w:cs="Arial" w:eastAsia="Arial" w:hint="default"/>
                <w:sz w:val="18"/>
                <w:szCs w:val="18"/>
              </w:rPr>
            </w:pPr>
            <w:r>
              <w:rPr>
                <w:rFonts w:ascii="Arial"/>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1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1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1,341,175.00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1,225,565.58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深圳票联金融服务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6,472,443.58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5,498,274.00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北京华道征信有限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643,740.00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北京华道征信有限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19,247.00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易安财产保险股份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663,837.09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公司发行在外激励计划股票期权数量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万份，行权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元，合同剩余期限</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个月；限制性股票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164</w:t>
            </w:r>
          </w:p>
          <w:p>
            <w:pPr>
              <w:pStyle w:val="TableParagraph"/>
              <w:spacing w:line="240" w:lineRule="auto" w:before="64"/>
              <w:ind w:left="22" w:right="-13"/>
              <w:jc w:val="left"/>
              <w:rPr>
                <w:rFonts w:ascii="宋体" w:hAnsi="宋体" w:cs="宋体" w:eastAsia="宋体" w:hint="default"/>
                <w:sz w:val="18"/>
                <w:szCs w:val="18"/>
              </w:rPr>
            </w:pPr>
            <w:r>
              <w:rPr>
                <w:rFonts w:ascii="宋体" w:hAnsi="宋体" w:cs="宋体" w:eastAsia="宋体" w:hint="default"/>
                <w:sz w:val="18"/>
                <w:szCs w:val="18"/>
              </w:rPr>
              <w:t>万份，行权价格为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经授予时评估确定</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激励对象期末在职情况</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无重大差异</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2,864,833.92</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1,023,154.97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604" w:right="0"/>
        <w:jc w:val="left"/>
      </w:pPr>
      <w:r>
        <w:rPr/>
        <w:t>(1) 限制性股票及股票期权数量的调整</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pStyle w:val="BodyText"/>
        <w:spacing w:line="477" w:lineRule="auto" w:before="44"/>
        <w:ind w:left="153" w:right="191" w:firstLine="360"/>
        <w:jc w:val="both"/>
      </w:pPr>
      <w:r>
        <w:rPr>
          <w:spacing w:val="-2"/>
        </w:rPr>
        <w:t>公司2013年度以资本公积转增股本，每10股转增10股；2014年度以资本公积转增股本，每10股派0.30元人民币现金每10</w:t>
      </w:r>
      <w:r>
        <w:rPr/>
        <w:t> 股转增10股。依据公司 《股票期权激励计划（草案修订稿）》中规定：若在行权前公司有资本公积转增股本、派送股票红 利、股票拆细、配股或缩股等事项，应对股票期权数量、行权价格进行相应的调整。</w:t>
      </w:r>
    </w:p>
    <w:p>
      <w:pPr>
        <w:pStyle w:val="BodyText"/>
        <w:spacing w:line="477" w:lineRule="auto" w:before="54"/>
        <w:ind w:left="153" w:right="198" w:firstLine="360"/>
        <w:jc w:val="both"/>
      </w:pPr>
      <w:r>
        <w:rPr/>
        <w:t>2013年激励对象离职及2013年业绩未达到公司激励计划规定的第一个行权/解锁期的业绩考核条件等原因，本公司合计 注销限制性股票102.00万股、股票期权28.00万份。</w:t>
      </w:r>
    </w:p>
    <w:p>
      <w:pPr>
        <w:pStyle w:val="BodyText"/>
        <w:spacing w:line="477" w:lineRule="auto" w:before="54"/>
        <w:ind w:left="513" w:right="90"/>
        <w:jc w:val="left"/>
      </w:pPr>
      <w:r>
        <w:rPr/>
        <w:t>调整后的限制性股票数量为328.00万股，股票期权数量为72.00万份。 </w:t>
      </w:r>
      <w:r>
        <w:rPr>
          <w:spacing w:val="-5"/>
        </w:rPr>
        <w:t>截至2015年12月31日止，股权激励对象人数为26人，尚未达到解锁/行权限制性股票及股票期权总数为200.00万股（份），</w:t>
      </w:r>
    </w:p>
    <w:p>
      <w:pPr>
        <w:pStyle w:val="BodyText"/>
        <w:spacing w:line="477" w:lineRule="auto" w:before="54"/>
        <w:ind w:left="153" w:right="179"/>
        <w:jc w:val="left"/>
      </w:pPr>
      <w:r>
        <w:rPr>
          <w:spacing w:val="-2"/>
        </w:rPr>
        <w:t>其中限制性股票激励对象人数为22人，限制性股票</w:t>
      </w:r>
      <w:r>
        <w:rPr>
          <w:spacing w:val="28"/>
        </w:rPr>
        <w:t> </w:t>
      </w:r>
      <w:r>
        <w:rPr>
          <w:spacing w:val="-2"/>
        </w:rPr>
        <w:t>的数量为164.00万股；股票期权激励对象人数为7人，股票期权的数量为</w:t>
      </w:r>
      <w:r>
        <w:rPr>
          <w:spacing w:val="-87"/>
        </w:rPr>
        <w:t> </w:t>
      </w:r>
      <w:r>
        <w:rPr>
          <w:spacing w:val="-87"/>
        </w:rPr>
      </w:r>
      <w:r>
        <w:rPr/>
        <w:t>36.00万份，其中3名激励对象既有限制性股票又有股票股权。</w:t>
      </w:r>
    </w:p>
    <w:p>
      <w:pPr>
        <w:pStyle w:val="BodyText"/>
        <w:spacing w:line="477" w:lineRule="auto" w:before="54"/>
        <w:ind w:left="513" w:right="541"/>
        <w:jc w:val="left"/>
      </w:pPr>
      <w:r>
        <w:rPr/>
        <w:t>(2) 限制性股票及股票期权数量成本变更 由于限制性股票及股票期权数量注销分别减少102.00万股、28.00万份，限制性股票及股票期权成本分别相应减少</w:t>
      </w:r>
    </w:p>
    <w:p>
      <w:pPr>
        <w:pStyle w:val="BodyText"/>
        <w:spacing w:line="240" w:lineRule="auto" w:before="54"/>
        <w:ind w:left="153" w:right="90"/>
        <w:jc w:val="left"/>
      </w:pPr>
      <w:r>
        <w:rPr/>
        <w:t>193.934211、43.959999万元。</w:t>
      </w:r>
    </w:p>
    <w:p>
      <w:pPr>
        <w:spacing w:line="240" w:lineRule="auto" w:before="10"/>
        <w:rPr>
          <w:rFonts w:ascii="宋体" w:hAnsi="宋体" w:cs="宋体" w:eastAsia="宋体" w:hint="default"/>
          <w:sz w:val="17"/>
          <w:szCs w:val="17"/>
        </w:rPr>
      </w:pPr>
    </w:p>
    <w:p>
      <w:pPr>
        <w:pStyle w:val="BodyText"/>
        <w:spacing w:line="477" w:lineRule="auto"/>
        <w:ind w:left="153" w:right="198" w:firstLine="360"/>
        <w:jc w:val="both"/>
      </w:pPr>
      <w:r>
        <w:rPr/>
        <w:t>截至2015年12月31日止，限制性股票及股票期权成本为368.33579万元，其中限制性股票成本为311.815789万元，股票 期权成本为56.520001万元。</w:t>
      </w:r>
    </w:p>
    <w:p>
      <w:pPr>
        <w:pStyle w:val="BodyText"/>
        <w:spacing w:line="477" w:lineRule="auto" w:before="54"/>
        <w:ind w:left="513" w:right="90"/>
        <w:jc w:val="left"/>
      </w:pPr>
      <w:r>
        <w:rPr/>
        <w:t>(3) 行权价格调整 </w:t>
      </w:r>
      <w:r>
        <w:rPr>
          <w:spacing w:val="-2"/>
        </w:rPr>
        <w:t>本年公司实施现金分红并以资本公积转增股本，根据公司《股票期权激励计划（草案修订稿）》中规定：若在行权前公</w:t>
      </w:r>
    </w:p>
    <w:p>
      <w:pPr>
        <w:pStyle w:val="BodyText"/>
        <w:spacing w:line="477" w:lineRule="auto" w:before="54"/>
        <w:ind w:left="153" w:right="91"/>
        <w:jc w:val="left"/>
      </w:pPr>
      <w:r>
        <w:rPr>
          <w:spacing w:val="-2"/>
        </w:rPr>
        <w:t>司有资本公积转增股本、派送股票红利、股票拆细、配股或缩股等事项，应对股票行权价格进行相应的调整。依据规定的调</w:t>
      </w:r>
      <w:r>
        <w:rPr>
          <w:spacing w:val="-66"/>
        </w:rPr>
        <w:t> </w:t>
      </w:r>
      <w:r>
        <w:rPr>
          <w:spacing w:val="-66"/>
        </w:rPr>
      </w:r>
      <w:r>
        <w:rPr/>
        <w:t>整程序和调整方法，公司限制性股票的行权价格由4.74元调整为1.158元，将股票期权的行权价格由11.39元调整为2.82元。</w:t>
      </w:r>
    </w:p>
    <w:p>
      <w:pPr>
        <w:spacing w:line="240" w:lineRule="auto" w:before="7"/>
        <w:rPr>
          <w:rFonts w:ascii="宋体" w:hAnsi="宋体" w:cs="宋体" w:eastAsia="宋体" w:hint="default"/>
          <w:sz w:val="17"/>
          <w:szCs w:val="17"/>
        </w:rPr>
      </w:pPr>
    </w:p>
    <w:p>
      <w:pPr>
        <w:spacing w:line="506" w:lineRule="auto" w:before="0"/>
        <w:ind w:left="154" w:right="7401" w:firstLine="0"/>
        <w:jc w:val="left"/>
        <w:rPr>
          <w:rFonts w:ascii="宋体" w:hAnsi="宋体" w:cs="宋体" w:eastAsia="宋体" w:hint="default"/>
          <w:sz w:val="18"/>
          <w:szCs w:val="18"/>
        </w:rPr>
      </w:pPr>
      <w:r>
        <w:rPr>
          <w:rFonts w:ascii="宋体" w:hAnsi="宋体" w:cs="宋体" w:eastAsia="宋体" w:hint="default"/>
          <w:b/>
          <w:bCs/>
          <w:sz w:val="24"/>
          <w:szCs w:val="24"/>
        </w:rPr>
        <w:t>十三、承诺及或有事项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
          <w:w w:val="99"/>
          <w:sz w:val="21"/>
          <w:szCs w:val="21"/>
        </w:rPr>
        <w:t> </w:t>
      </w:r>
      <w:r>
        <w:rPr>
          <w:rFonts w:ascii="宋体" w:hAnsi="宋体" w:cs="宋体" w:eastAsia="宋体" w:hint="default"/>
          <w:sz w:val="18"/>
          <w:szCs w:val="18"/>
        </w:rPr>
        <w:t>资产负债表日存在的重要承诺</w:t>
      </w:r>
    </w:p>
    <w:p>
      <w:pPr>
        <w:pStyle w:val="BodyText"/>
        <w:spacing w:line="242" w:lineRule="exact"/>
        <w:ind w:left="513" w:right="9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9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9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after="0" w:line="240"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日，公司不存在需要披露的重要或有事项。</w:t>
      </w: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15,774,133.14</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15,774,133.14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除上述事项外，截至本报告日，本公司不存在应披露的资产负债表日后事项。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公司以内部组织结构、管理要求、内部报告制度等为依据确定经营分部。公司的经营分部是指同时满足下列条件的组成</w:t>
      </w:r>
      <w:r>
        <w:rPr/>
        <w:t> 部分：</w:t>
      </w:r>
    </w:p>
    <w:p>
      <w:pPr>
        <w:pStyle w:val="BodyText"/>
        <w:spacing w:line="240" w:lineRule="auto" w:before="54"/>
        <w:ind w:left="514" w:right="0"/>
        <w:jc w:val="left"/>
      </w:pPr>
      <w:r>
        <w:rPr/>
        <w:t>①该组成部分能够在日常活动中产生收入、发生费用；</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②管理层能够定期评价该组成部分的经营成果，以决定向其配置资源、评价其业绩；</w:t>
      </w:r>
    </w:p>
    <w:p>
      <w:pPr>
        <w:spacing w:line="240" w:lineRule="auto" w:before="10"/>
        <w:rPr>
          <w:rFonts w:ascii="宋体" w:hAnsi="宋体" w:cs="宋体" w:eastAsia="宋体" w:hint="default"/>
          <w:sz w:val="17"/>
          <w:szCs w:val="17"/>
        </w:rPr>
      </w:pPr>
    </w:p>
    <w:p>
      <w:pPr>
        <w:pStyle w:val="BodyText"/>
        <w:spacing w:line="477" w:lineRule="auto"/>
        <w:ind w:left="513" w:right="591"/>
        <w:jc w:val="left"/>
      </w:pPr>
      <w:r>
        <w:rPr/>
        <w:t>③能够通过分析取得该组成部分的财务状况、经营成果和现金流量等有关会计信息。 本公司以行业分部为基础确定报告分部，与各分部共同使用的资产、负债按照规模比例在不同的分部之间分配。</w:t>
      </w:r>
    </w:p>
    <w:p>
      <w:pPr>
        <w:spacing w:after="0" w:line="477"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金融信息</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8" w:right="0"/>
              <w:jc w:val="left"/>
              <w:rPr>
                <w:rFonts w:ascii="Times New Roman" w:hAnsi="Times New Roman" w:cs="Times New Roman" w:eastAsia="Times New Roman" w:hint="default"/>
                <w:sz w:val="18"/>
                <w:szCs w:val="18"/>
              </w:rPr>
            </w:pPr>
            <w:r>
              <w:rPr>
                <w:rFonts w:ascii="Times New Roman"/>
                <w:sz w:val="18"/>
              </w:rPr>
              <w:t>219,037,702.59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353,730,620.48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114,746,509.93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71,709,493.27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615,805,339.73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8" w:right="0"/>
              <w:jc w:val="left"/>
              <w:rPr>
                <w:rFonts w:ascii="Times New Roman" w:hAnsi="Times New Roman" w:cs="Times New Roman" w:eastAsia="Times New Roman" w:hint="default"/>
                <w:sz w:val="18"/>
                <w:szCs w:val="18"/>
              </w:rPr>
            </w:pPr>
            <w:r>
              <w:rPr>
                <w:rFonts w:ascii="Times New Roman"/>
                <w:sz w:val="18"/>
              </w:rPr>
              <w:t>163,808,213.90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192,145,395.39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63,038,146.37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72,150,749.63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346,841,006.03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8" w:right="0"/>
              <w:jc w:val="left"/>
              <w:rPr>
                <w:rFonts w:ascii="Times New Roman" w:hAnsi="Times New Roman" w:cs="Times New Roman" w:eastAsia="Times New Roman" w:hint="default"/>
                <w:sz w:val="18"/>
                <w:szCs w:val="18"/>
              </w:rPr>
            </w:pPr>
            <w:r>
              <w:rPr>
                <w:rFonts w:ascii="Times New Roman"/>
                <w:sz w:val="18"/>
              </w:rPr>
              <w:t>961,960,217.78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434,542,184.96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47,098,261.36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266,006,422.12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1,177,594,241.92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3" w:right="0"/>
              <w:jc w:val="left"/>
              <w:rPr>
                <w:rFonts w:ascii="Times New Roman" w:hAnsi="Times New Roman" w:cs="Times New Roman" w:eastAsia="Times New Roman" w:hint="default"/>
                <w:sz w:val="18"/>
                <w:szCs w:val="18"/>
              </w:rPr>
            </w:pPr>
            <w:r>
              <w:rPr>
                <w:rFonts w:ascii="Times New Roman"/>
                <w:sz w:val="18"/>
              </w:rPr>
              <w:t>117,336,274.09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172,636,037.71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26,266,088.02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47,739,887.20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268,498,512.61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0" w:firstLine="73"/>
        <w:jc w:val="left"/>
        <w:rPr>
          <w:rFonts w:ascii="Times New Roman" w:hAnsi="Times New Roman" w:cs="Times New Roman" w:eastAsia="Times New Roman" w:hint="default"/>
        </w:rPr>
      </w:pPr>
      <w:r>
        <w:rPr/>
        <w:t>非公开发行股票的相关事项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日经公司第三届董事会第十七次会议审议通过《公司非公开发行股票预案》等议案，并于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p>
    <w:p>
      <w:pPr>
        <w:pStyle w:val="BodyText"/>
        <w:spacing w:line="451" w:lineRule="auto" w:before="21"/>
        <w:ind w:left="153" w:right="141"/>
        <w:jc w:val="left"/>
      </w:pPr>
      <w:r>
        <w:rPr/>
        <w:t>月</w:t>
      </w:r>
      <w:r>
        <w:rPr>
          <w:rFonts w:ascii="Times New Roman" w:hAnsi="Times New Roman" w:cs="Times New Roman" w:eastAsia="Times New Roman" w:hint="default"/>
        </w:rPr>
        <w:t>17</w:t>
      </w:r>
      <w:r>
        <w:rPr/>
        <w:t>日经公司</w:t>
      </w:r>
      <w:r>
        <w:rPr>
          <w:rFonts w:ascii="Times New Roman" w:hAnsi="Times New Roman" w:cs="Times New Roman" w:eastAsia="Times New Roman" w:hint="default"/>
        </w:rPr>
        <w:t>2015</w:t>
      </w:r>
      <w:r>
        <w:rPr/>
        <w:t>年第四次临时股东大会审议批准了关于公司非公开发行股票的相关事项。</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日，公司收到中国 证监会《行政许可申请恢复审查通知书》（</w:t>
      </w:r>
      <w:r>
        <w:rPr>
          <w:rFonts w:ascii="Times New Roman" w:hAnsi="Times New Roman" w:cs="Times New Roman" w:eastAsia="Times New Roman" w:hint="default"/>
        </w:rPr>
        <w:t>153436</w:t>
      </w:r>
      <w:r>
        <w:rPr/>
        <w:t>号）。截至本报告日，非公开发行股票的相关事项尚在进行中。</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155,502,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370.93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14,318,4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141,183,8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119,955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,767.33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11,460,87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108,494,89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155,502,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370.93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14,318,4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141,183,8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119,955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,767.33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11,460,87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108,494,89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2.47</w:t>
            </w:r>
          </w:p>
        </w:tc>
      </w:tr>
    </w:tbl>
    <w:p>
      <w:pPr>
        <w:pStyle w:val="BodyText"/>
        <w:spacing w:line="240" w:lineRule="auto" w:before="51"/>
        <w:ind w:right="0"/>
        <w:jc w:val="left"/>
      </w:pPr>
      <w:r>
        <w:rPr/>
        <w:t>期末单项金额重大并单项计提坏账准备的应收账款：</w:t>
      </w:r>
    </w:p>
    <w:p>
      <w:pPr>
        <w:pStyle w:val="BodyText"/>
        <w:spacing w:line="340"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spacing w:after="0" w:line="3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5"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102,385,497.95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5,119,274.90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31,246,732.48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3,124,673.25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16,201,752.50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3,240,350.50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5,668,388.00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2,834,194.00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155,502,370.93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14,318,492.65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w:t>
            </w: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38" w:lineRule="auto" w:before="2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本期计提坏账准备金额</w:t>
      </w:r>
      <w:r>
        <w:rPr>
          <w:rFonts w:ascii="Times New Roman" w:hAnsi="Times New Roman" w:cs="Times New Roman" w:eastAsia="Times New Roman" w:hint="default"/>
        </w:rPr>
        <w:t>2,857,617.79</w:t>
      </w:r>
      <w:r>
        <w:rPr/>
        <w:t>元；本期收回或转回坏账准备金额</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0" w:firstLine="360"/>
        <w:jc w:val="left"/>
      </w:pPr>
      <w:r>
        <w:rPr>
          <w:spacing w:val="-1"/>
        </w:rPr>
        <w:t>本公司本年按欠款方归集的年末余额前五名应收账款汇总金额为人民币</w:t>
      </w:r>
      <w:r>
        <w:rPr>
          <w:rFonts w:ascii="Times New Roman" w:hAnsi="Times New Roman" w:cs="Times New Roman" w:eastAsia="Times New Roman" w:hint="default"/>
          <w:spacing w:val="-1"/>
        </w:rPr>
        <w:t>22,899,208.59</w:t>
      </w:r>
      <w:r>
        <w:rPr>
          <w:spacing w:val="-1"/>
        </w:rPr>
        <w:t>元，占应收账款年末余额合计数的</w:t>
      </w:r>
      <w:r>
        <w:rPr/>
        <w:t> 比例</w:t>
      </w:r>
      <w:r>
        <w:rPr>
          <w:rFonts w:ascii="Times New Roman" w:hAnsi="Times New Roman" w:cs="Times New Roman" w:eastAsia="Times New Roman" w:hint="default"/>
        </w:rPr>
        <w:t>14.73%</w:t>
      </w:r>
      <w:r>
        <w:rPr/>
        <w:t>，相应计提的坏账准备年末余额汇总金额为人民币</w:t>
      </w:r>
      <w:r>
        <w:rPr>
          <w:rFonts w:ascii="Times New Roman" w:hAnsi="Times New Roman" w:cs="Times New Roman" w:eastAsia="Times New Roman" w:hint="default"/>
        </w:rPr>
        <w:t>2,106,491.58</w:t>
      </w:r>
      <w:r>
        <w:rPr/>
        <w:t>元。</w:t>
      </w:r>
    </w:p>
    <w:p>
      <w:pPr>
        <w:spacing w:line="240" w:lineRule="auto" w:before="6"/>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本年无因金融资产转移而终止确认的应收账款。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93"/>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1049"/>
        <w:gridCol w:w="568"/>
        <w:gridCol w:w="1061"/>
      </w:tblGrid>
      <w:tr>
        <w:trPr>
          <w:trHeight w:val="402" w:hRule="exact"/>
        </w:trPr>
        <w:tc>
          <w:tcPr>
            <w:tcW w:w="1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6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13,536,1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23.73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13,093,01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7,056,5</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41.79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546,907.04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6,509,634.75</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13,536,1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23.73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13,093,01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7,056,5</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41.79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546,907.04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6,509,634.75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600" w:bottom="2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4,408,501.37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220,425.07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155,362.39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15,536.24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137,044.00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27,408.80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359,475.00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179,737.50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5,060,382.76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443,107.61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8.76%</w:t>
            </w:r>
          </w:p>
        </w:tc>
      </w:tr>
    </w:tbl>
    <w:p>
      <w:pPr>
        <w:pStyle w:val="BodyText"/>
        <w:spacing w:line="357" w:lineRule="auto" w:before="51"/>
        <w:ind w:left="153" w:right="5271"/>
        <w:jc w:val="left"/>
      </w:pPr>
      <w:r>
        <w:rPr/>
        <w:t>确定该组合依据的说明： 组合中，采用余额百分比法计提坏账准备的其他应收款：</w:t>
      </w:r>
    </w:p>
    <w:p>
      <w:pPr>
        <w:pStyle w:val="BodyText"/>
        <w:spacing w:line="338" w:lineRule="auto" w:before="29"/>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本期计提坏账准备金额</w:t>
      </w:r>
      <w:r>
        <w:rPr>
          <w:rFonts w:ascii="Times New Roman" w:hAnsi="Times New Roman" w:cs="Times New Roman" w:eastAsia="Times New Roman" w:hint="default"/>
        </w:rPr>
        <w:t>0.00</w:t>
      </w:r>
      <w:r>
        <w:rPr/>
        <w:t>元；本期收回或转回坏账准备金额</w:t>
      </w:r>
      <w:r>
        <w:rPr>
          <w:rFonts w:ascii="Times New Roman" w:hAnsi="Times New Roman" w:cs="Times New Roman" w:eastAsia="Times New Roman" w:hint="default"/>
        </w:rPr>
        <w:t>103,799.43</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495" w:right="6529"/>
        <w:jc w:val="center"/>
      </w:pPr>
      <w:r>
        <w:rPr/>
        <w:t>本年无实际核销的其他应收款情况。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8,163,837.09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1,098,157.43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1,373,758.70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1,331,242.00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2,411,129.00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1,176,121.29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1,115,181.16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1,359,661.44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883,422.89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407,104.48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273,050.04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13,536,123.73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7,056,541.79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8"/>
        <w:gridCol w:w="1108"/>
        <w:gridCol w:w="1552"/>
        <w:gridCol w:w="1553"/>
        <w:gridCol w:w="1614"/>
        <w:gridCol w:w="1615"/>
      </w:tblGrid>
      <w:tr>
        <w:trPr>
          <w:trHeight w:val="713"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易安财产保险股份有限公 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663,837.09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338,645.66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16,932.28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338,181.06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16,909.05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深圳市国家税务局</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311,903.88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9,152,567.69</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33,841.33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126"/>
        <w:gridCol w:w="1427"/>
        <w:gridCol w:w="1416"/>
        <w:gridCol w:w="1259"/>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1" w:right="0"/>
              <w:jc w:val="left"/>
              <w:rPr>
                <w:rFonts w:ascii="Times New Roman" w:hAnsi="Times New Roman" w:cs="Times New Roman" w:eastAsia="Times New Roman" w:hint="default"/>
                <w:sz w:val="18"/>
                <w:szCs w:val="18"/>
              </w:rPr>
            </w:pPr>
            <w:r>
              <w:rPr>
                <w:rFonts w:ascii="Times New Roman"/>
                <w:sz w:val="18"/>
              </w:rPr>
              <w:t>370,999,976.37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370,999,976.37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307,999,976.37</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307,999,976.37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176,145,375.99</w:t>
            </w:r>
          </w:p>
        </w:tc>
        <w:tc>
          <w:tcPr>
            <w:tcW w:w="112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176,145,375.99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26,098,078.05</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26,098,078.05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1" w:right="0"/>
              <w:jc w:val="left"/>
              <w:rPr>
                <w:rFonts w:ascii="Times New Roman" w:hAnsi="Times New Roman" w:cs="Times New Roman" w:eastAsia="Times New Roman" w:hint="default"/>
                <w:sz w:val="18"/>
                <w:szCs w:val="18"/>
              </w:rPr>
            </w:pPr>
            <w:r>
              <w:rPr>
                <w:rFonts w:ascii="Times New Roman"/>
                <w:sz w:val="18"/>
              </w:rPr>
              <w:t>547,145,352.36</w:t>
            </w:r>
          </w:p>
        </w:tc>
        <w:tc>
          <w:tcPr>
            <w:tcW w:w="112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547,145,352.36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334,098,054.42</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334,098,054.42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深圳市银之杰金 融设备有限公司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深圳市银之杰技 术开发有限公司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北京亿美软通科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299,999,976.37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359,999,976.37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深圳市科安数字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307,999,976.37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370,999,976.37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深圳票联 金融服务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6,038,889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-2,042,16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8,896,723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北京华道 征信有限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20,059,18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-2,810,53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17,248,65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易安财产 保险股份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26,098,07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154,900,0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-4,852,70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176,</w:t>
            </w:r>
            <w:r>
              <w:rPr>
                <w:rFonts w:ascii="Times New Roman"/>
                <w:spacing w:val="-2"/>
                <w:sz w:val="18"/>
              </w:rPr>
              <w:t> </w:t>
            </w:r>
            <w:r>
              <w:rPr>
                <w:rFonts w:ascii="Times New Roman"/>
                <w:sz w:val="18"/>
              </w:rPr>
              <w:t>145,</w:t>
            </w:r>
          </w:p>
          <w:p>
            <w:pPr>
              <w:pStyle w:val="TableParagraph"/>
              <w:spacing w:line="240" w:lineRule="auto" w:before="106"/>
              <w:ind w:left="247" w:right="0"/>
              <w:jc w:val="center"/>
              <w:rPr>
                <w:rFonts w:ascii="Times New Roman" w:hAnsi="Times New Roman" w:cs="Times New Roman" w:eastAsia="Times New Roman" w:hint="default"/>
                <w:sz w:val="18"/>
                <w:szCs w:val="18"/>
              </w:rPr>
            </w:pPr>
            <w:r>
              <w:rPr>
                <w:rFonts w:ascii="Times New Roman"/>
                <w:sz w:val="18"/>
              </w:rPr>
              <w:t>375.99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26,098,07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154,900,0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-4,852,70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176,</w:t>
            </w:r>
            <w:r>
              <w:rPr>
                <w:rFonts w:ascii="Times New Roman"/>
                <w:spacing w:val="-2"/>
                <w:sz w:val="18"/>
              </w:rPr>
              <w:t> </w:t>
            </w:r>
            <w:r>
              <w:rPr>
                <w:rFonts w:ascii="Times New Roman"/>
                <w:sz w:val="18"/>
              </w:rPr>
              <w:t>145,</w:t>
            </w:r>
          </w:p>
          <w:p>
            <w:pPr>
              <w:pStyle w:val="TableParagraph"/>
              <w:spacing w:line="240" w:lineRule="auto" w:before="106"/>
              <w:ind w:left="247" w:right="0"/>
              <w:jc w:val="center"/>
              <w:rPr>
                <w:rFonts w:ascii="Times New Roman" w:hAnsi="Times New Roman" w:cs="Times New Roman" w:eastAsia="Times New Roman" w:hint="default"/>
                <w:sz w:val="18"/>
                <w:szCs w:val="18"/>
              </w:rPr>
            </w:pPr>
            <w:r>
              <w:rPr>
                <w:rFonts w:ascii="Times New Roman"/>
                <w:sz w:val="18"/>
              </w:rPr>
              <w:t>375.99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147,197,290.81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108,974,716.30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106,438,962.89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67,761,932.38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3,856,236.80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3,922,979.36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151,053,527.61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110,132,560.78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110,361,942.25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68,919,776.86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51,320,000.00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-4,852,702.06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-1,249,912.60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46,467,297.94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18,250,087.40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现金流量表补充资料</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217"/>
        <w:gridCol w:w="1746"/>
        <w:gridCol w:w="1676"/>
      </w:tblGrid>
      <w:tr>
        <w:trPr>
          <w:trHeight w:val="337"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50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47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746" w:type="dxa"/>
            <w:tcBorders>
              <w:top w:val="single" w:sz="8" w:space="0" w:color="000000"/>
              <w:left w:val="single" w:sz="4" w:space="0" w:color="000000"/>
              <w:bottom w:val="single" w:sz="4" w:space="0" w:color="000000"/>
              <w:right w:val="single" w:sz="4" w:space="0" w:color="000000"/>
            </w:tcBorders>
          </w:tcPr>
          <w:p>
            <w:pPr/>
          </w:p>
        </w:tc>
        <w:tc>
          <w:tcPr>
            <w:tcW w:w="1676"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27,504,741.55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12,060,727.62</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2,753,818.36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2,362,425.13</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2,960,575.91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2,905,046.98</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11,838,155.79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8,146,189.34</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816,751.14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464,680.61</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2,970.30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2,413.05</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267,772.23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-46,467,297.94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-18,250,087.40</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-11,592,094.35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-1,523,129.06</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423,899.41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-239,771.20</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-32,498,970.40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-17,580,370.39</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37,039,788.23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-858,598.59</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-2,096,157.87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1,740,494.87</w:t>
            </w:r>
          </w:p>
        </w:tc>
      </w:tr>
      <w:tr>
        <w:trPr>
          <w:trHeight w:val="337"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-9,046,047.64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-10,769,979.04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217"/>
        <w:gridCol w:w="1746"/>
        <w:gridCol w:w="1676"/>
      </w:tblGrid>
      <w:tr>
        <w:trPr>
          <w:trHeight w:val="337"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2"/>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75,081,148.64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247,367,812.17</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247,367,812.17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258,804,381.54</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-172,286,663.53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-11,436,569.37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-2,208,872.31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-302,450.87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-1,833,580.63</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0.1387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95"/>
        <w:jc w:val="center"/>
        <w:rPr>
          <w:b w:val="0"/>
          <w:bCs w:val="0"/>
        </w:rPr>
      </w:pPr>
      <w:bookmarkStart w:name="_TOC_250000" w:id="11"/>
      <w:r>
        <w:rPr/>
        <w:t>第十一节</w:t>
      </w:r>
      <w:r>
        <w:rPr>
          <w:spacing w:val="-9"/>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left="514" w:right="0"/>
        <w:jc w:val="left"/>
      </w:pPr>
      <w:r>
        <w:rPr>
          <w:rFonts w:ascii="Times New Roman" w:hAnsi="Times New Roman" w:cs="Times New Roman" w:eastAsia="Times New Roman" w:hint="default"/>
        </w:rPr>
        <w:t>1</w:t>
      </w:r>
      <w:r>
        <w:rPr/>
        <w:t>．载有公司法定代表人陈向军、主管会计工作负责人许秋江、会计机构负责人张春雷签名并盖章的财务报表。</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w:t>
      </w:r>
      <w:r>
        <w:rPr/>
        <w:t>．载有瑞华会计师事务所盖章、注册会计师梅月欣、昝丽涛签名并盖章的审计报告原件。</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．载有公司董事长陈向军签名的公司</w:t>
      </w:r>
      <w:r>
        <w:rPr>
          <w:rFonts w:ascii="Times New Roman" w:hAnsi="Times New Roman" w:cs="Times New Roman" w:eastAsia="Times New Roman" w:hint="default"/>
        </w:rPr>
        <w:t>2015</w:t>
      </w:r>
      <w:r>
        <w:rPr/>
        <w:t>年年度报告。</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4</w:t>
      </w:r>
      <w:r>
        <w:rPr/>
        <w:t>．报告期内公司在中国证监会指定网站上公开披露过的所有文件的正本及公告的原件。</w:t>
      </w:r>
    </w:p>
    <w:p>
      <w:pPr>
        <w:spacing w:line="240" w:lineRule="auto" w:before="9"/>
        <w:rPr>
          <w:rFonts w:ascii="宋体" w:hAnsi="宋体" w:cs="宋体" w:eastAsia="宋体" w:hint="default"/>
          <w:sz w:val="16"/>
          <w:szCs w:val="16"/>
        </w:rPr>
      </w:pPr>
    </w:p>
    <w:p>
      <w:pPr>
        <w:pStyle w:val="BodyText"/>
        <w:spacing w:line="451" w:lineRule="auto"/>
        <w:ind w:left="513" w:right="201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其他有关资料。 以上备查文件的备置地点：深圳市福田区天安数码城天祥大厦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w:t>
      </w:r>
      <w:r>
        <w:rPr/>
        <w:t>，公司董事会办公室。</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757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757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757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757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757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757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757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757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757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757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757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75781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119995pt;margin-top:42.865326pt;width:213.5pt;height:11.5pt;mso-position-horizontal-relative:page;mso-position-vertical-relative:page;z-index:-757792" type="#_x0000_t202" filled="false" stroked="false">
          <v:textbox inset="0,0,0,0">
            <w:txbxContent>
              <w:p>
                <w:pPr>
                  <w:pStyle w:val="BodyText"/>
                  <w:spacing w:line="214" w:lineRule="exact"/>
                  <w:ind w:left="20" w:right="0"/>
                  <w:jc w:val="left"/>
                </w:pPr>
                <w:r>
                  <w:rPr/>
                  <w:t>深圳市银之杰科技股份有限公司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84"/>
      <w:ind w:left="273"/>
      <w:outlineLvl w:val="3"/>
    </w:pPr>
    <w:rPr>
      <w:rFonts w:ascii="宋体" w:hAnsi="宋体" w:eastAsia="宋体"/>
      <w:sz w:val="23"/>
      <w:szCs w:val="23"/>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yinzhijie.com/" TargetMode="External"/><Relationship Id="rId9" Type="http://schemas.openxmlformats.org/officeDocument/2006/relationships/hyperlink" Target="mailto:invest@yinzhijie.com" TargetMode="External"/><Relationship Id="rId10" Type="http://schemas.openxmlformats.org/officeDocument/2006/relationships/hyperlink" Target="mailto:liuyi@yinzhijie.com" TargetMode="External"/><Relationship Id="rId11" Type="http://schemas.openxmlformats.org/officeDocument/2006/relationships/hyperlink" Target="mailto:linli@yinzhijie.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irm.cninfo.com.cn/ssessgs/S30008" TargetMode="External"/><Relationship Id="rId16" Type="http://schemas.openxmlformats.org/officeDocument/2006/relationships/hyperlink" Target="http://www.cninfo.co/"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- 2015年年度报告.doc</dc:title>
  <dcterms:created xsi:type="dcterms:W3CDTF">2020-05-04T15:46:41Z</dcterms:created>
  <dcterms:modified xsi:type="dcterms:W3CDTF">2020-05-04T15:46:41Z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PScript5.dll Version 5.2</vt:lpwstr>
  </property>
  <property fmtid="{D5CDD505-2E9C-101B-9397-08002B2CF9AE}" pid="4" name="LastSaved">
    <vt:filetime>2020-05-04T00:00:00Z</vt:filetime>
  </property>
</Properties>
</file>