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spacing w:line="666" w:lineRule="exact"/>
        <w:ind w:left="27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959011" cy="42290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959011" cy="422909"/>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10"/>
        <w:rPr>
          <w:rFonts w:ascii="Times New Roman" w:hAnsi="Times New Roman" w:cs="Times New Roman" w:eastAsia="Times New Roman" w:hint="default"/>
          <w:sz w:val="27"/>
          <w:szCs w:val="27"/>
        </w:rPr>
      </w:pPr>
    </w:p>
    <w:p>
      <w:pPr>
        <w:spacing w:line="541" w:lineRule="exact" w:before="0"/>
        <w:ind w:left="1174" w:right="2850" w:firstLine="0"/>
        <w:jc w:val="center"/>
        <w:rPr>
          <w:rFonts w:ascii="黑体" w:hAnsi="黑体" w:cs="黑体" w:eastAsia="黑体" w:hint="default"/>
          <w:sz w:val="44"/>
          <w:szCs w:val="44"/>
        </w:rPr>
      </w:pPr>
      <w:r>
        <w:rPr>
          <w:rFonts w:ascii="黑体" w:hAnsi="黑体" w:cs="黑体" w:eastAsia="黑体" w:hint="default"/>
          <w:sz w:val="44"/>
          <w:szCs w:val="44"/>
        </w:rPr>
        <w:t>深圳市银之杰科技股份有限公司</w:t>
      </w:r>
    </w:p>
    <w:p>
      <w:pPr>
        <w:pStyle w:val="Heading2"/>
        <w:spacing w:line="240" w:lineRule="auto" w:before="189"/>
        <w:ind w:left="1171" w:right="2850"/>
        <w:jc w:val="center"/>
        <w:rPr>
          <w:rFonts w:ascii="Times New Roman" w:hAnsi="Times New Roman" w:cs="Times New Roman" w:eastAsia="Times New Roman" w:hint="default"/>
          <w:b w:val="0"/>
          <w:bCs w:val="0"/>
        </w:rPr>
      </w:pPr>
      <w:r>
        <w:rPr>
          <w:rFonts w:ascii="Times New Roman"/>
        </w:rPr>
        <w:t>SHENZHEN INFOGEM TECHNOLOGIES CO.,</w:t>
      </w:r>
      <w:r>
        <w:rPr>
          <w:rFonts w:ascii="Times New Roman"/>
          <w:spacing w:val="-17"/>
        </w:rPr>
        <w:t> </w:t>
      </w:r>
      <w:r>
        <w:rPr>
          <w:rFonts w:ascii="Times New Roman"/>
          <w:spacing w:val="-7"/>
        </w:rPr>
        <w:t>LTD.</w:t>
      </w:r>
      <w:r>
        <w:rPr>
          <w:rFonts w:ascii="Times New Roman"/>
          <w:b w:val="0"/>
          <w:spacing w:val="-7"/>
        </w:rPr>
      </w:r>
    </w:p>
    <w:p>
      <w:pPr>
        <w:spacing w:line="240" w:lineRule="auto" w:before="0"/>
        <w:rPr>
          <w:rFonts w:ascii="Times New Roman" w:hAnsi="Times New Roman" w:cs="Times New Roman" w:eastAsia="Times New Roman" w:hint="default"/>
          <w:b/>
          <w:bCs/>
          <w:sz w:val="24"/>
          <w:szCs w:val="24"/>
        </w:rPr>
      </w:pPr>
    </w:p>
    <w:p>
      <w:pPr>
        <w:spacing w:line="240" w:lineRule="auto" w:before="3"/>
        <w:rPr>
          <w:rFonts w:ascii="Times New Roman" w:hAnsi="Times New Roman" w:cs="Times New Roman" w:eastAsia="Times New Roman" w:hint="default"/>
          <w:b/>
          <w:bCs/>
          <w:sz w:val="23"/>
          <w:szCs w:val="23"/>
        </w:rPr>
      </w:pPr>
    </w:p>
    <w:p>
      <w:pPr>
        <w:spacing w:before="0"/>
        <w:ind w:left="1174" w:right="2843" w:firstLine="0"/>
        <w:jc w:val="center"/>
        <w:rPr>
          <w:rFonts w:ascii="黑体" w:hAnsi="黑体" w:cs="黑体" w:eastAsia="黑体" w:hint="default"/>
          <w:sz w:val="44"/>
          <w:szCs w:val="44"/>
        </w:rPr>
      </w:pPr>
      <w:r>
        <w:rPr>
          <w:rFonts w:ascii="黑体" w:hAnsi="黑体" w:cs="黑体" w:eastAsia="黑体" w:hint="default"/>
          <w:sz w:val="44"/>
          <w:szCs w:val="44"/>
        </w:rPr>
        <w:t>2018</w:t>
      </w:r>
      <w:r>
        <w:rPr>
          <w:rFonts w:ascii="黑体" w:hAnsi="黑体" w:cs="黑体" w:eastAsia="黑体" w:hint="default"/>
          <w:spacing w:val="-109"/>
          <w:sz w:val="44"/>
          <w:szCs w:val="44"/>
        </w:rPr>
        <w:t> </w:t>
      </w:r>
      <w:r>
        <w:rPr>
          <w:rFonts w:ascii="黑体" w:hAnsi="黑体" w:cs="黑体" w:eastAsia="黑体" w:hint="default"/>
          <w:sz w:val="44"/>
          <w:szCs w:val="44"/>
        </w:rPr>
        <w:t>年年度报告</w:t>
      </w: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1"/>
        <w:rPr>
          <w:rFonts w:ascii="黑体" w:hAnsi="黑体" w:cs="黑体" w:eastAsia="黑体" w:hint="default"/>
          <w:sz w:val="55"/>
          <w:szCs w:val="55"/>
        </w:rPr>
      </w:pPr>
    </w:p>
    <w:p>
      <w:pPr>
        <w:spacing w:before="0"/>
        <w:ind w:left="1174" w:right="2847" w:firstLine="0"/>
        <w:jc w:val="center"/>
        <w:rPr>
          <w:rFonts w:ascii="黑体" w:hAnsi="黑体" w:cs="黑体" w:eastAsia="黑体" w:hint="default"/>
          <w:sz w:val="32"/>
          <w:szCs w:val="32"/>
        </w:rPr>
      </w:pPr>
      <w:r>
        <w:rPr>
          <w:rFonts w:ascii="黑体" w:hAnsi="黑体" w:cs="黑体" w:eastAsia="黑体" w:hint="default"/>
          <w:sz w:val="32"/>
          <w:szCs w:val="32"/>
        </w:rPr>
        <w:t>2019</w:t>
      </w:r>
      <w:r>
        <w:rPr>
          <w:rFonts w:ascii="黑体" w:hAnsi="黑体" w:cs="黑体" w:eastAsia="黑体" w:hint="default"/>
          <w:spacing w:val="-81"/>
          <w:sz w:val="32"/>
          <w:szCs w:val="32"/>
        </w:rPr>
        <w:t> </w:t>
      </w:r>
      <w:r>
        <w:rPr>
          <w:rFonts w:ascii="黑体" w:hAnsi="黑体" w:cs="黑体" w:eastAsia="黑体" w:hint="default"/>
          <w:sz w:val="32"/>
          <w:szCs w:val="32"/>
        </w:rPr>
        <w:t>年</w:t>
      </w:r>
      <w:r>
        <w:rPr>
          <w:rFonts w:ascii="黑体" w:hAnsi="黑体" w:cs="黑体" w:eastAsia="黑体" w:hint="default"/>
          <w:spacing w:val="-79"/>
          <w:sz w:val="32"/>
          <w:szCs w:val="32"/>
        </w:rPr>
        <w:t> </w:t>
      </w:r>
      <w:r>
        <w:rPr>
          <w:rFonts w:ascii="黑体" w:hAnsi="黑体" w:cs="黑体" w:eastAsia="黑体" w:hint="default"/>
          <w:sz w:val="32"/>
          <w:szCs w:val="32"/>
        </w:rPr>
        <w:t>04</w:t>
      </w:r>
      <w:r>
        <w:rPr>
          <w:rFonts w:ascii="黑体" w:hAnsi="黑体" w:cs="黑体" w:eastAsia="黑体" w:hint="default"/>
          <w:spacing w:val="-81"/>
          <w:sz w:val="32"/>
          <w:szCs w:val="32"/>
        </w:rPr>
        <w:t> </w:t>
      </w:r>
      <w:r>
        <w:rPr>
          <w:rFonts w:ascii="黑体" w:hAnsi="黑体" w:cs="黑体" w:eastAsia="黑体" w:hint="default"/>
          <w:sz w:val="32"/>
          <w:szCs w:val="32"/>
        </w:rPr>
        <w:t>月</w:t>
      </w:r>
    </w:p>
    <w:p>
      <w:pPr>
        <w:spacing w:after="0"/>
        <w:jc w:val="center"/>
        <w:rPr>
          <w:rFonts w:ascii="黑体" w:hAnsi="黑体" w:cs="黑体" w:eastAsia="黑体" w:hint="default"/>
          <w:sz w:val="32"/>
          <w:szCs w:val="32"/>
        </w:rPr>
        <w:sectPr>
          <w:footerReference w:type="default" r:id="rId5"/>
          <w:type w:val="continuous"/>
          <w:pgSz w:w="11910" w:h="16840"/>
          <w:pgMar w:footer="504" w:top="1580" w:bottom="700" w:left="16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6"/>
          <w:szCs w:val="16"/>
        </w:rPr>
      </w:pPr>
    </w:p>
    <w:p>
      <w:pPr>
        <w:spacing w:before="2"/>
        <w:ind w:left="497" w:right="1471" w:firstLine="0"/>
        <w:jc w:val="center"/>
        <w:rPr>
          <w:rFonts w:ascii="宋体" w:hAnsi="宋体" w:cs="宋体" w:eastAsia="宋体" w:hint="default"/>
          <w:sz w:val="32"/>
          <w:szCs w:val="32"/>
        </w:rPr>
      </w:pPr>
      <w:bookmarkStart w:name="_bookmark0" w:id="1"/>
      <w:bookmarkEnd w:id="1"/>
      <w:r>
        <w:rPr/>
      </w:r>
      <w:r>
        <w:rPr>
          <w:rFonts w:ascii="宋体" w:hAnsi="宋体" w:cs="宋体" w:eastAsia="宋体" w:hint="default"/>
          <w:b/>
          <w:bCs/>
          <w:sz w:val="32"/>
          <w:szCs w:val="32"/>
        </w:rPr>
        <w:t>第一节</w:t>
      </w:r>
      <w:r>
        <w:rPr>
          <w:rFonts w:ascii="宋体" w:hAnsi="宋体" w:cs="宋体" w:eastAsia="宋体" w:hint="default"/>
          <w:b/>
          <w:bCs/>
          <w:spacing w:val="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5"/>
        <w:rPr>
          <w:rFonts w:ascii="宋体" w:hAnsi="宋体" w:cs="宋体" w:eastAsia="宋体" w:hint="default"/>
          <w:b/>
          <w:bCs/>
          <w:sz w:val="45"/>
          <w:szCs w:val="45"/>
        </w:rPr>
      </w:pPr>
    </w:p>
    <w:p>
      <w:pPr>
        <w:spacing w:line="372" w:lineRule="auto" w:before="0"/>
        <w:ind w:left="153" w:right="1055" w:firstLine="460"/>
        <w:jc w:val="left"/>
        <w:rPr>
          <w:rFonts w:ascii="宋体" w:hAnsi="宋体" w:cs="宋体" w:eastAsia="宋体" w:hint="default"/>
          <w:sz w:val="23"/>
          <w:szCs w:val="23"/>
        </w:rPr>
      </w:pPr>
      <w:r>
        <w:rPr>
          <w:rFonts w:ascii="宋体" w:hAnsi="宋体" w:cs="宋体" w:eastAsia="宋体" w:hint="default"/>
          <w:b/>
          <w:bCs/>
          <w:sz w:val="23"/>
          <w:szCs w:val="23"/>
        </w:rPr>
        <w:t>公司董事会、监事会及董事、监事、高级管理人员保证年度报告内容的真实、准确、完整，</w:t>
      </w:r>
      <w:r>
        <w:rPr>
          <w:rFonts w:ascii="宋体" w:hAnsi="宋体" w:cs="宋体" w:eastAsia="宋体" w:hint="default"/>
          <w:b/>
          <w:bCs/>
          <w:w w:val="99"/>
          <w:sz w:val="23"/>
          <w:szCs w:val="23"/>
        </w:rPr>
        <w:t> </w:t>
      </w:r>
      <w:r>
        <w:rPr>
          <w:rFonts w:ascii="宋体" w:hAnsi="宋体" w:cs="宋体" w:eastAsia="宋体" w:hint="default"/>
          <w:b/>
          <w:bCs/>
          <w:sz w:val="23"/>
          <w:szCs w:val="23"/>
        </w:rPr>
        <w:t>不存在虚假记载、误导性陈述或重大遗漏，并承担个别和连带的法律责任。</w:t>
      </w:r>
      <w:r>
        <w:rPr>
          <w:rFonts w:ascii="宋体" w:hAnsi="宋体" w:cs="宋体" w:eastAsia="宋体" w:hint="default"/>
          <w:sz w:val="23"/>
          <w:szCs w:val="23"/>
        </w:rPr>
      </w:r>
    </w:p>
    <w:p>
      <w:pPr>
        <w:spacing w:line="350" w:lineRule="auto" w:before="143"/>
        <w:ind w:left="153" w:right="1004" w:firstLine="460"/>
        <w:jc w:val="left"/>
        <w:rPr>
          <w:rFonts w:ascii="宋体" w:hAnsi="宋体" w:cs="宋体" w:eastAsia="宋体" w:hint="default"/>
          <w:sz w:val="23"/>
          <w:szCs w:val="23"/>
        </w:rPr>
      </w:pPr>
      <w:r>
        <w:rPr>
          <w:rFonts w:ascii="宋体" w:hAnsi="宋体" w:cs="宋体" w:eastAsia="宋体" w:hint="default"/>
          <w:b/>
          <w:bCs/>
          <w:spacing w:val="-2"/>
          <w:w w:val="99"/>
          <w:sz w:val="23"/>
          <w:szCs w:val="23"/>
        </w:rPr>
        <w:t>公司负责人陈向军、主管会计工作负责人刘奕及会计机构负责人</w:t>
      </w:r>
      <w:r>
        <w:rPr>
          <w:rFonts w:ascii="Times New Roman" w:hAnsi="Times New Roman" w:cs="Times New Roman" w:eastAsia="Times New Roman" w:hint="default"/>
          <w:b/>
          <w:bCs/>
          <w:spacing w:val="-2"/>
          <w:w w:val="99"/>
          <w:sz w:val="23"/>
          <w:szCs w:val="23"/>
        </w:rPr>
        <w:t>(</w:t>
      </w:r>
      <w:r>
        <w:rPr>
          <w:rFonts w:ascii="宋体" w:hAnsi="宋体" w:cs="宋体" w:eastAsia="宋体" w:hint="default"/>
          <w:b/>
          <w:bCs/>
          <w:spacing w:val="-2"/>
          <w:w w:val="99"/>
          <w:sz w:val="23"/>
          <w:szCs w:val="23"/>
        </w:rPr>
        <w:t>会计主管人员</w:t>
      </w:r>
      <w:r>
        <w:rPr>
          <w:rFonts w:ascii="Times New Roman" w:hAnsi="Times New Roman" w:cs="Times New Roman" w:eastAsia="Times New Roman" w:hint="default"/>
          <w:b/>
          <w:bCs/>
          <w:spacing w:val="-2"/>
          <w:w w:val="99"/>
          <w:sz w:val="23"/>
          <w:szCs w:val="23"/>
        </w:rPr>
        <w:t>)</w:t>
      </w:r>
      <w:r>
        <w:rPr>
          <w:rFonts w:ascii="宋体" w:hAnsi="宋体" w:cs="宋体" w:eastAsia="宋体" w:hint="default"/>
          <w:b/>
          <w:bCs/>
          <w:spacing w:val="-2"/>
          <w:w w:val="99"/>
          <w:sz w:val="23"/>
          <w:szCs w:val="23"/>
        </w:rPr>
        <w:t>张春雷声明：</w:t>
      </w:r>
      <w:r>
        <w:rPr>
          <w:rFonts w:ascii="宋体" w:hAnsi="宋体" w:cs="宋体" w:eastAsia="宋体" w:hint="default"/>
          <w:b/>
          <w:bCs/>
          <w:w w:val="99"/>
          <w:sz w:val="23"/>
          <w:szCs w:val="23"/>
        </w:rPr>
        <w:t> </w:t>
      </w:r>
      <w:r>
        <w:rPr>
          <w:rFonts w:ascii="宋体" w:hAnsi="宋体" w:cs="宋体" w:eastAsia="宋体" w:hint="default"/>
          <w:b/>
          <w:bCs/>
          <w:sz w:val="23"/>
          <w:szCs w:val="23"/>
        </w:rPr>
        <w:t>保证年度报告中财务报告的真实、准确、完整。</w:t>
      </w:r>
      <w:r>
        <w:rPr>
          <w:rFonts w:ascii="宋体" w:hAnsi="宋体" w:cs="宋体" w:eastAsia="宋体" w:hint="default"/>
          <w:sz w:val="23"/>
          <w:szCs w:val="23"/>
        </w:rPr>
      </w:r>
    </w:p>
    <w:p>
      <w:pPr>
        <w:spacing w:line="456" w:lineRule="auto" w:before="159"/>
        <w:ind w:left="614" w:right="1055" w:firstLine="0"/>
        <w:jc w:val="left"/>
        <w:rPr>
          <w:rFonts w:ascii="宋体" w:hAnsi="宋体" w:cs="宋体" w:eastAsia="宋体" w:hint="default"/>
          <w:sz w:val="23"/>
          <w:szCs w:val="23"/>
        </w:rPr>
      </w:pPr>
      <w:r>
        <w:rPr>
          <w:rFonts w:ascii="宋体" w:hAnsi="宋体" w:cs="宋体" w:eastAsia="宋体" w:hint="default"/>
          <w:b/>
          <w:bCs/>
          <w:sz w:val="23"/>
          <w:szCs w:val="23"/>
        </w:rPr>
        <w:t>所有董事均已出席了审议本报告的董事会会议。</w:t>
      </w:r>
      <w:r>
        <w:rPr>
          <w:rFonts w:ascii="宋体" w:hAnsi="宋体" w:cs="宋体" w:eastAsia="宋体" w:hint="default"/>
          <w:b/>
          <w:bCs/>
          <w:w w:val="99"/>
          <w:sz w:val="23"/>
          <w:szCs w:val="23"/>
        </w:rPr>
        <w:t> </w:t>
      </w:r>
      <w:r>
        <w:rPr>
          <w:rFonts w:ascii="宋体" w:hAnsi="宋体" w:cs="宋体" w:eastAsia="宋体" w:hint="default"/>
          <w:b/>
          <w:bCs/>
          <w:spacing w:val="-2"/>
          <w:sz w:val="23"/>
          <w:szCs w:val="23"/>
        </w:rPr>
        <w:t>本报告中如有涉及未来计划、业绩预测等方面的内容，均不构成公司对任何投资者及相关人</w:t>
      </w:r>
      <w:r>
        <w:rPr>
          <w:rFonts w:ascii="宋体" w:hAnsi="宋体" w:cs="宋体" w:eastAsia="宋体" w:hint="default"/>
          <w:spacing w:val="-2"/>
          <w:sz w:val="23"/>
          <w:szCs w:val="23"/>
        </w:rPr>
      </w:r>
    </w:p>
    <w:p>
      <w:pPr>
        <w:spacing w:line="259" w:lineRule="exact" w:before="0"/>
        <w:ind w:left="153" w:right="0" w:firstLine="0"/>
        <w:jc w:val="both"/>
        <w:rPr>
          <w:rFonts w:ascii="宋体" w:hAnsi="宋体" w:cs="宋体" w:eastAsia="宋体" w:hint="default"/>
          <w:sz w:val="23"/>
          <w:szCs w:val="23"/>
        </w:rPr>
      </w:pPr>
      <w:r>
        <w:rPr>
          <w:rFonts w:ascii="宋体" w:hAnsi="宋体" w:cs="宋体" w:eastAsia="宋体" w:hint="default"/>
          <w:b/>
          <w:bCs/>
          <w:sz w:val="23"/>
          <w:szCs w:val="23"/>
        </w:rPr>
        <w:t>士的实质承诺，投资者及相关人士均应对此保持足够的风险认识，并且应当理解计划、预测与承</w:t>
      </w:r>
      <w:r>
        <w:rPr>
          <w:rFonts w:ascii="宋体" w:hAnsi="宋体" w:cs="宋体" w:eastAsia="宋体" w:hint="default"/>
          <w:sz w:val="23"/>
          <w:szCs w:val="23"/>
        </w:rPr>
      </w:r>
    </w:p>
    <w:p>
      <w:pPr>
        <w:spacing w:before="169"/>
        <w:ind w:left="153" w:right="0" w:firstLine="0"/>
        <w:jc w:val="both"/>
        <w:rPr>
          <w:rFonts w:ascii="宋体" w:hAnsi="宋体" w:cs="宋体" w:eastAsia="宋体" w:hint="default"/>
          <w:sz w:val="23"/>
          <w:szCs w:val="23"/>
        </w:rPr>
      </w:pPr>
      <w:r>
        <w:rPr>
          <w:rFonts w:ascii="宋体" w:hAnsi="宋体" w:cs="宋体" w:eastAsia="宋体" w:hint="default"/>
          <w:b/>
          <w:bCs/>
          <w:sz w:val="23"/>
          <w:szCs w:val="23"/>
        </w:rPr>
        <w:t>诺之间的差异。</w:t>
      </w:r>
      <w:r>
        <w:rPr>
          <w:rFonts w:ascii="宋体" w:hAnsi="宋体" w:cs="宋体" w:eastAsia="宋体" w:hint="default"/>
          <w:sz w:val="23"/>
          <w:szCs w:val="23"/>
        </w:rPr>
      </w:r>
    </w:p>
    <w:p>
      <w:pPr>
        <w:spacing w:line="240" w:lineRule="auto" w:before="4"/>
        <w:rPr>
          <w:rFonts w:ascii="宋体" w:hAnsi="宋体" w:cs="宋体" w:eastAsia="宋体" w:hint="default"/>
          <w:b/>
          <w:bCs/>
          <w:sz w:val="20"/>
          <w:szCs w:val="20"/>
        </w:rPr>
      </w:pPr>
    </w:p>
    <w:p>
      <w:pPr>
        <w:spacing w:line="355" w:lineRule="auto" w:before="0"/>
        <w:ind w:left="153" w:right="1055" w:firstLine="460"/>
        <w:jc w:val="left"/>
        <w:rPr>
          <w:rFonts w:ascii="宋体" w:hAnsi="宋体" w:cs="宋体" w:eastAsia="宋体" w:hint="default"/>
          <w:sz w:val="23"/>
          <w:szCs w:val="23"/>
        </w:rPr>
      </w:pPr>
      <w:r>
        <w:rPr>
          <w:rFonts w:ascii="宋体" w:hAnsi="宋体" w:cs="宋体" w:eastAsia="宋体" w:hint="default"/>
          <w:b/>
          <w:bCs/>
          <w:spacing w:val="-1"/>
          <w:w w:val="95"/>
          <w:sz w:val="23"/>
          <w:szCs w:val="23"/>
        </w:rPr>
        <w:t>公司在本报告第四节</w:t>
      </w:r>
      <w:r>
        <w:rPr>
          <w:rFonts w:ascii="Times New Roman" w:hAnsi="Times New Roman" w:cs="Times New Roman" w:eastAsia="Times New Roman" w:hint="default"/>
          <w:b/>
          <w:bCs/>
          <w:spacing w:val="-1"/>
          <w:w w:val="95"/>
          <w:sz w:val="23"/>
          <w:szCs w:val="23"/>
        </w:rPr>
        <w:t>“</w:t>
      </w:r>
      <w:r>
        <w:rPr>
          <w:rFonts w:ascii="宋体" w:hAnsi="宋体" w:cs="宋体" w:eastAsia="宋体" w:hint="default"/>
          <w:b/>
          <w:bCs/>
          <w:spacing w:val="-1"/>
          <w:w w:val="95"/>
          <w:sz w:val="23"/>
          <w:szCs w:val="23"/>
        </w:rPr>
        <w:t>经营情况讨论与分析</w:t>
      </w:r>
      <w:r>
        <w:rPr>
          <w:rFonts w:ascii="Times New Roman" w:hAnsi="Times New Roman" w:cs="Times New Roman" w:eastAsia="Times New Roman" w:hint="default"/>
          <w:b/>
          <w:bCs/>
          <w:spacing w:val="-1"/>
          <w:w w:val="95"/>
          <w:sz w:val="23"/>
          <w:szCs w:val="23"/>
        </w:rPr>
        <w:t>”</w:t>
      </w:r>
      <w:r>
        <w:rPr>
          <w:rFonts w:ascii="宋体" w:hAnsi="宋体" w:cs="宋体" w:eastAsia="宋体" w:hint="default"/>
          <w:b/>
          <w:bCs/>
          <w:spacing w:val="-1"/>
          <w:w w:val="95"/>
          <w:sz w:val="23"/>
          <w:szCs w:val="23"/>
        </w:rPr>
        <w:t>之</w:t>
      </w:r>
      <w:r>
        <w:rPr>
          <w:rFonts w:ascii="Times New Roman" w:hAnsi="Times New Roman" w:cs="Times New Roman" w:eastAsia="Times New Roman" w:hint="default"/>
          <w:b/>
          <w:bCs/>
          <w:spacing w:val="-1"/>
          <w:w w:val="95"/>
          <w:sz w:val="23"/>
          <w:szCs w:val="23"/>
        </w:rPr>
        <w:t>“</w:t>
      </w:r>
      <w:r>
        <w:rPr>
          <w:rFonts w:ascii="宋体" w:hAnsi="宋体" w:cs="宋体" w:eastAsia="宋体" w:hint="default"/>
          <w:b/>
          <w:bCs/>
          <w:spacing w:val="-1"/>
          <w:w w:val="95"/>
          <w:sz w:val="23"/>
          <w:szCs w:val="23"/>
        </w:rPr>
        <w:t>九、公司未来发展的展望</w:t>
      </w:r>
      <w:r>
        <w:rPr>
          <w:rFonts w:ascii="Times New Roman" w:hAnsi="Times New Roman" w:cs="Times New Roman" w:eastAsia="Times New Roman" w:hint="default"/>
          <w:b/>
          <w:bCs/>
          <w:spacing w:val="-1"/>
          <w:w w:val="95"/>
          <w:sz w:val="23"/>
          <w:szCs w:val="23"/>
        </w:rPr>
        <w:t>”</w:t>
      </w:r>
      <w:r>
        <w:rPr>
          <w:rFonts w:ascii="宋体" w:hAnsi="宋体" w:cs="宋体" w:eastAsia="宋体" w:hint="default"/>
          <w:b/>
          <w:bCs/>
          <w:spacing w:val="-1"/>
          <w:w w:val="95"/>
          <w:sz w:val="23"/>
          <w:szCs w:val="23"/>
        </w:rPr>
        <w:t>部分，详细描述了</w:t>
      </w:r>
      <w:r>
        <w:rPr>
          <w:rFonts w:ascii="宋体" w:hAnsi="宋体" w:cs="宋体" w:eastAsia="宋体" w:hint="default"/>
          <w:b/>
          <w:bCs/>
          <w:w w:val="99"/>
          <w:sz w:val="23"/>
          <w:szCs w:val="23"/>
        </w:rPr>
        <w:t> </w:t>
      </w:r>
      <w:r>
        <w:rPr>
          <w:rFonts w:ascii="宋体" w:hAnsi="宋体" w:cs="宋体" w:eastAsia="宋体" w:hint="default"/>
          <w:b/>
          <w:bCs/>
          <w:sz w:val="23"/>
          <w:szCs w:val="23"/>
        </w:rPr>
        <w:t>公司经营中可能存在的风险及应对措施，并提请投资者特别注意下列风险因素：</w:t>
      </w:r>
      <w:r>
        <w:rPr>
          <w:rFonts w:ascii="宋体" w:hAnsi="宋体" w:cs="宋体" w:eastAsia="宋体" w:hint="default"/>
          <w:sz w:val="23"/>
          <w:szCs w:val="23"/>
        </w:rPr>
      </w:r>
    </w:p>
    <w:p>
      <w:pPr>
        <w:spacing w:line="451" w:lineRule="auto" w:before="155"/>
        <w:ind w:left="614" w:right="1055" w:firstLine="0"/>
        <w:jc w:val="left"/>
        <w:rPr>
          <w:rFonts w:ascii="宋体" w:hAnsi="宋体" w:cs="宋体" w:eastAsia="宋体" w:hint="default"/>
          <w:sz w:val="23"/>
          <w:szCs w:val="23"/>
        </w:rPr>
      </w:pPr>
      <w:r>
        <w:rPr>
          <w:rFonts w:ascii="宋体" w:hAnsi="宋体" w:cs="宋体" w:eastAsia="宋体" w:hint="default"/>
          <w:sz w:val="23"/>
          <w:szCs w:val="23"/>
        </w:rPr>
        <w:t>1</w:t>
      </w:r>
      <w:r>
        <w:rPr>
          <w:rFonts w:ascii="宋体" w:hAnsi="宋体" w:cs="宋体" w:eastAsia="宋体" w:hint="default"/>
          <w:sz w:val="23"/>
          <w:szCs w:val="23"/>
        </w:rPr>
        <w:t>、新业务发展不达预期的风险</w:t>
      </w:r>
      <w:r>
        <w:rPr>
          <w:rFonts w:ascii="宋体" w:hAnsi="宋体" w:cs="宋体" w:eastAsia="宋体" w:hint="default"/>
          <w:spacing w:val="-110"/>
          <w:sz w:val="23"/>
          <w:szCs w:val="23"/>
        </w:rPr>
        <w:t> </w:t>
      </w:r>
      <w:r>
        <w:rPr>
          <w:rFonts w:ascii="宋体" w:hAnsi="宋体" w:cs="宋体" w:eastAsia="宋体" w:hint="default"/>
          <w:spacing w:val="-1"/>
          <w:sz w:val="23"/>
          <w:szCs w:val="23"/>
        </w:rPr>
        <w:t>公司核心业务是金融科技服务，随着移动互联网、互联网金融、大数据等创新产业的快速发</w:t>
      </w:r>
    </w:p>
    <w:p>
      <w:pPr>
        <w:spacing w:line="268" w:lineRule="exact" w:before="0"/>
        <w:ind w:left="153" w:right="0" w:firstLine="0"/>
        <w:jc w:val="both"/>
        <w:rPr>
          <w:rFonts w:ascii="宋体" w:hAnsi="宋体" w:cs="宋体" w:eastAsia="宋体" w:hint="default"/>
          <w:sz w:val="23"/>
          <w:szCs w:val="23"/>
        </w:rPr>
      </w:pPr>
      <w:r>
        <w:rPr>
          <w:rFonts w:ascii="宋体" w:hAnsi="宋体" w:cs="宋体" w:eastAsia="宋体" w:hint="default"/>
          <w:sz w:val="23"/>
          <w:szCs w:val="23"/>
        </w:rPr>
        <w:t>展，公司积极探索，把握历史机遇，在个人征信、互联网保险、证券、金融大数据等领域进行了</w:t>
      </w:r>
    </w:p>
    <w:p>
      <w:pPr>
        <w:spacing w:line="372" w:lineRule="auto" w:before="164"/>
        <w:ind w:left="153" w:right="1106" w:firstLine="0"/>
        <w:jc w:val="both"/>
        <w:rPr>
          <w:rFonts w:ascii="宋体" w:hAnsi="宋体" w:cs="宋体" w:eastAsia="宋体" w:hint="default"/>
          <w:sz w:val="23"/>
          <w:szCs w:val="23"/>
        </w:rPr>
      </w:pPr>
      <w:r>
        <w:rPr>
          <w:rFonts w:ascii="宋体" w:hAnsi="宋体" w:cs="宋体" w:eastAsia="宋体" w:hint="default"/>
          <w:spacing w:val="-1"/>
          <w:sz w:val="23"/>
          <w:szCs w:val="23"/>
        </w:rPr>
        <w:t>新业务战略布局。已经开展或布局的业务包括：合资成立华道征信发展个人征信服务相关业务；</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pacing w:val="-1"/>
          <w:sz w:val="23"/>
          <w:szCs w:val="23"/>
        </w:rPr>
        <w:t>发起设立易安保险开展互联网保险业务；发起设立东亚前海证券等。目前，华道征信与其他发起</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8"/>
          <w:w w:val="100"/>
          <w:sz w:val="23"/>
          <w:szCs w:val="23"/>
        </w:rPr>
        <w:t>人共同发起设立百行征信有限公司（以下简称“百行征信”），百行征信已于</w:t>
      </w:r>
      <w:r>
        <w:rPr>
          <w:rFonts w:ascii="宋体" w:hAnsi="宋体" w:cs="宋体" w:eastAsia="宋体" w:hint="default"/>
          <w:spacing w:val="-25"/>
          <w:w w:val="100"/>
          <w:sz w:val="23"/>
          <w:szCs w:val="23"/>
        </w:rPr>
        <w:t> </w:t>
      </w:r>
      <w:r>
        <w:rPr>
          <w:rFonts w:ascii="宋体" w:hAnsi="宋体" w:cs="宋体" w:eastAsia="宋体" w:hint="default"/>
          <w:spacing w:val="-2"/>
          <w:w w:val="100"/>
          <w:sz w:val="23"/>
          <w:szCs w:val="23"/>
        </w:rPr>
        <w:t>2018</w:t>
      </w:r>
      <w:r>
        <w:rPr>
          <w:rFonts w:ascii="宋体" w:hAnsi="宋体" w:cs="宋体" w:eastAsia="宋体" w:hint="default"/>
          <w:spacing w:val="-25"/>
          <w:w w:val="100"/>
          <w:sz w:val="23"/>
          <w:szCs w:val="23"/>
        </w:rPr>
        <w:t> </w:t>
      </w:r>
      <w:r>
        <w:rPr>
          <w:rFonts w:ascii="宋体" w:hAnsi="宋体" w:cs="宋体" w:eastAsia="宋体" w:hint="default"/>
          <w:w w:val="100"/>
          <w:sz w:val="23"/>
          <w:szCs w:val="23"/>
        </w:rPr>
        <w:t>年</w:t>
      </w:r>
      <w:r>
        <w:rPr>
          <w:rFonts w:ascii="宋体" w:hAnsi="宋体" w:cs="宋体" w:eastAsia="宋体" w:hint="default"/>
          <w:spacing w:val="-26"/>
          <w:w w:val="100"/>
          <w:sz w:val="23"/>
          <w:szCs w:val="23"/>
        </w:rPr>
        <w:t> </w:t>
      </w:r>
      <w:r>
        <w:rPr>
          <w:rFonts w:ascii="宋体" w:hAnsi="宋体" w:cs="宋体" w:eastAsia="宋体" w:hint="default"/>
          <w:w w:val="100"/>
          <w:sz w:val="23"/>
          <w:szCs w:val="23"/>
        </w:rPr>
        <w:t>2</w:t>
      </w:r>
      <w:r>
        <w:rPr>
          <w:rFonts w:ascii="宋体" w:hAnsi="宋体" w:cs="宋体" w:eastAsia="宋体" w:hint="default"/>
          <w:spacing w:val="-26"/>
          <w:w w:val="100"/>
          <w:sz w:val="23"/>
          <w:szCs w:val="23"/>
        </w:rPr>
        <w:t> </w:t>
      </w:r>
      <w:r>
        <w:rPr>
          <w:rFonts w:ascii="宋体" w:hAnsi="宋体" w:cs="宋体" w:eastAsia="宋体" w:hint="default"/>
          <w:w w:val="100"/>
          <w:sz w:val="23"/>
          <w:szCs w:val="23"/>
        </w:rPr>
        <w:t>月获得中</w:t>
      </w:r>
    </w:p>
    <w:p>
      <w:pPr>
        <w:spacing w:before="43"/>
        <w:ind w:left="153" w:right="0" w:firstLine="0"/>
        <w:jc w:val="both"/>
        <w:rPr>
          <w:rFonts w:ascii="宋体" w:hAnsi="宋体" w:cs="宋体" w:eastAsia="宋体" w:hint="default"/>
          <w:sz w:val="23"/>
          <w:szCs w:val="23"/>
        </w:rPr>
      </w:pPr>
      <w:r>
        <w:rPr>
          <w:rFonts w:ascii="宋体" w:hAnsi="宋体" w:cs="宋体" w:eastAsia="宋体" w:hint="default"/>
          <w:sz w:val="23"/>
          <w:szCs w:val="23"/>
        </w:rPr>
        <w:t>国人民银行个人征信业务经营许可，并于</w:t>
      </w:r>
      <w:r>
        <w:rPr>
          <w:rFonts w:ascii="宋体" w:hAnsi="宋体" w:cs="宋体" w:eastAsia="宋体" w:hint="default"/>
          <w:spacing w:val="-50"/>
          <w:sz w:val="23"/>
          <w:szCs w:val="23"/>
        </w:rPr>
        <w:t> </w:t>
      </w:r>
      <w:r>
        <w:rPr>
          <w:rFonts w:ascii="宋体" w:hAnsi="宋体" w:cs="宋体" w:eastAsia="宋体" w:hint="default"/>
          <w:sz w:val="23"/>
          <w:szCs w:val="23"/>
        </w:rPr>
        <w:t>2018</w:t>
      </w:r>
      <w:r>
        <w:rPr>
          <w:rFonts w:ascii="宋体" w:hAnsi="宋体" w:cs="宋体" w:eastAsia="宋体" w:hint="default"/>
          <w:spacing w:val="-51"/>
          <w:sz w:val="23"/>
          <w:szCs w:val="23"/>
        </w:rPr>
        <w:t> </w:t>
      </w:r>
      <w:r>
        <w:rPr>
          <w:rFonts w:ascii="宋体" w:hAnsi="宋体" w:cs="宋体" w:eastAsia="宋体" w:hint="default"/>
          <w:sz w:val="23"/>
          <w:szCs w:val="23"/>
        </w:rPr>
        <w:t>年</w:t>
      </w:r>
      <w:r>
        <w:rPr>
          <w:rFonts w:ascii="宋体" w:hAnsi="宋体" w:cs="宋体" w:eastAsia="宋体" w:hint="default"/>
          <w:spacing w:val="-51"/>
          <w:sz w:val="23"/>
          <w:szCs w:val="23"/>
        </w:rPr>
        <w:t> </w:t>
      </w:r>
      <w:r>
        <w:rPr>
          <w:rFonts w:ascii="宋体" w:hAnsi="宋体" w:cs="宋体" w:eastAsia="宋体" w:hint="default"/>
          <w:sz w:val="23"/>
          <w:szCs w:val="23"/>
        </w:rPr>
        <w:t>5</w:t>
      </w:r>
      <w:r>
        <w:rPr>
          <w:rFonts w:ascii="宋体" w:hAnsi="宋体" w:cs="宋体" w:eastAsia="宋体" w:hint="default"/>
          <w:spacing w:val="-51"/>
          <w:sz w:val="23"/>
          <w:szCs w:val="23"/>
        </w:rPr>
        <w:t> </w:t>
      </w:r>
      <w:r>
        <w:rPr>
          <w:rFonts w:ascii="宋体" w:hAnsi="宋体" w:cs="宋体" w:eastAsia="宋体" w:hint="default"/>
          <w:sz w:val="23"/>
          <w:szCs w:val="23"/>
        </w:rPr>
        <w:t>月在深圳正式挂牌成立；易安保险已于</w:t>
      </w:r>
      <w:r>
        <w:rPr>
          <w:rFonts w:ascii="宋体" w:hAnsi="宋体" w:cs="宋体" w:eastAsia="宋体" w:hint="default"/>
          <w:spacing w:val="-49"/>
          <w:sz w:val="23"/>
          <w:szCs w:val="23"/>
        </w:rPr>
        <w:t> </w:t>
      </w:r>
      <w:r>
        <w:rPr>
          <w:rFonts w:ascii="宋体" w:hAnsi="宋体" w:cs="宋体" w:eastAsia="宋体" w:hint="default"/>
          <w:sz w:val="23"/>
          <w:szCs w:val="23"/>
        </w:rPr>
        <w:t>2016</w:t>
      </w:r>
    </w:p>
    <w:p>
      <w:pPr>
        <w:spacing w:line="374" w:lineRule="auto" w:before="164"/>
        <w:ind w:left="153" w:right="1123" w:firstLine="0"/>
        <w:jc w:val="both"/>
        <w:rPr>
          <w:rFonts w:ascii="宋体" w:hAnsi="宋体" w:cs="宋体" w:eastAsia="宋体" w:hint="default"/>
          <w:sz w:val="23"/>
          <w:szCs w:val="23"/>
        </w:rPr>
      </w:pPr>
      <w:r>
        <w:rPr>
          <w:rFonts w:ascii="宋体" w:hAnsi="宋体" w:cs="宋体" w:eastAsia="宋体" w:hint="default"/>
          <w:sz w:val="23"/>
          <w:szCs w:val="23"/>
        </w:rPr>
        <w:t>年</w:t>
      </w:r>
      <w:r>
        <w:rPr>
          <w:rFonts w:ascii="宋体" w:hAnsi="宋体" w:cs="宋体" w:eastAsia="宋体" w:hint="default"/>
          <w:spacing w:val="-61"/>
          <w:sz w:val="23"/>
          <w:szCs w:val="23"/>
        </w:rPr>
        <w:t> </w:t>
      </w:r>
      <w:r>
        <w:rPr>
          <w:rFonts w:ascii="宋体" w:hAnsi="宋体" w:cs="宋体" w:eastAsia="宋体" w:hint="default"/>
          <w:sz w:val="23"/>
          <w:szCs w:val="23"/>
        </w:rPr>
        <w:t>2</w:t>
      </w:r>
      <w:r>
        <w:rPr>
          <w:rFonts w:ascii="宋体" w:hAnsi="宋体" w:cs="宋体" w:eastAsia="宋体" w:hint="default"/>
          <w:spacing w:val="-61"/>
          <w:sz w:val="23"/>
          <w:szCs w:val="23"/>
        </w:rPr>
        <w:t> </w:t>
      </w:r>
      <w:r>
        <w:rPr>
          <w:rFonts w:ascii="宋体" w:hAnsi="宋体" w:cs="宋体" w:eastAsia="宋体" w:hint="default"/>
          <w:sz w:val="23"/>
          <w:szCs w:val="23"/>
        </w:rPr>
        <w:t>月起开业运营；东亚前海证券已于</w:t>
      </w:r>
      <w:r>
        <w:rPr>
          <w:rFonts w:ascii="宋体" w:hAnsi="宋体" w:cs="宋体" w:eastAsia="宋体" w:hint="default"/>
          <w:spacing w:val="-59"/>
          <w:sz w:val="23"/>
          <w:szCs w:val="23"/>
        </w:rPr>
        <w:t> </w:t>
      </w:r>
      <w:r>
        <w:rPr>
          <w:rFonts w:ascii="宋体" w:hAnsi="宋体" w:cs="宋体" w:eastAsia="宋体" w:hint="default"/>
          <w:sz w:val="23"/>
          <w:szCs w:val="23"/>
        </w:rPr>
        <w:t>2017</w:t>
      </w:r>
      <w:r>
        <w:rPr>
          <w:rFonts w:ascii="宋体" w:hAnsi="宋体" w:cs="宋体" w:eastAsia="宋体" w:hint="default"/>
          <w:spacing w:val="-60"/>
          <w:sz w:val="23"/>
          <w:szCs w:val="23"/>
        </w:rPr>
        <w:t> </w:t>
      </w:r>
      <w:r>
        <w:rPr>
          <w:rFonts w:ascii="宋体" w:hAnsi="宋体" w:cs="宋体" w:eastAsia="宋体" w:hint="default"/>
          <w:sz w:val="23"/>
          <w:szCs w:val="23"/>
        </w:rPr>
        <w:t>年</w:t>
      </w:r>
      <w:r>
        <w:rPr>
          <w:rFonts w:ascii="宋体" w:hAnsi="宋体" w:cs="宋体" w:eastAsia="宋体" w:hint="default"/>
          <w:spacing w:val="-61"/>
          <w:sz w:val="23"/>
          <w:szCs w:val="23"/>
        </w:rPr>
        <w:t> </w:t>
      </w:r>
      <w:r>
        <w:rPr>
          <w:rFonts w:ascii="宋体" w:hAnsi="宋体" w:cs="宋体" w:eastAsia="宋体" w:hint="default"/>
          <w:spacing w:val="-3"/>
          <w:sz w:val="23"/>
          <w:szCs w:val="23"/>
        </w:rPr>
        <w:t>12</w:t>
      </w:r>
      <w:r>
        <w:rPr>
          <w:rFonts w:ascii="宋体" w:hAnsi="宋体" w:cs="宋体" w:eastAsia="宋体" w:hint="default"/>
          <w:spacing w:val="-61"/>
          <w:sz w:val="23"/>
          <w:szCs w:val="23"/>
        </w:rPr>
        <w:t> </w:t>
      </w:r>
      <w:r>
        <w:rPr>
          <w:rFonts w:ascii="宋体" w:hAnsi="宋体" w:cs="宋体" w:eastAsia="宋体" w:hint="default"/>
          <w:sz w:val="23"/>
          <w:szCs w:val="23"/>
        </w:rPr>
        <w:t>月获得中国证监会颁发的《经营证券期货业务</w:t>
      </w:r>
      <w:r>
        <w:rPr>
          <w:rFonts w:ascii="宋体" w:hAnsi="宋体" w:cs="宋体" w:eastAsia="宋体" w:hint="default"/>
          <w:w w:val="100"/>
          <w:sz w:val="23"/>
          <w:szCs w:val="23"/>
        </w:rPr>
        <w:t> </w:t>
      </w:r>
      <w:r>
        <w:rPr>
          <w:rFonts w:ascii="宋体" w:hAnsi="宋体" w:cs="宋体" w:eastAsia="宋体" w:hint="default"/>
          <w:spacing w:val="-2"/>
          <w:w w:val="100"/>
          <w:sz w:val="23"/>
          <w:szCs w:val="23"/>
        </w:rPr>
        <w:t>许可证》，正式对外开展业务。鉴于公司投资的东亚前海证券、易安保险、华道征信因业务开展</w:t>
      </w:r>
      <w:r>
        <w:rPr>
          <w:rFonts w:ascii="宋体" w:hAnsi="宋体" w:cs="宋体" w:eastAsia="宋体" w:hint="default"/>
          <w:spacing w:val="-85"/>
          <w:w w:val="100"/>
          <w:sz w:val="23"/>
          <w:szCs w:val="23"/>
        </w:rPr>
        <w:t> </w:t>
      </w:r>
      <w:r>
        <w:rPr>
          <w:rFonts w:ascii="宋体" w:hAnsi="宋体" w:cs="宋体" w:eastAsia="宋体" w:hint="default"/>
          <w:spacing w:val="-85"/>
          <w:w w:val="100"/>
          <w:sz w:val="23"/>
          <w:szCs w:val="23"/>
        </w:rPr>
      </w:r>
      <w:r>
        <w:rPr>
          <w:rFonts w:ascii="宋体" w:hAnsi="宋体" w:cs="宋体" w:eastAsia="宋体" w:hint="default"/>
          <w:spacing w:val="-1"/>
          <w:sz w:val="23"/>
          <w:szCs w:val="23"/>
        </w:rPr>
        <w:t>初期尚未实现盈利，因此公司新业务的发展仍有较大的不确定性，存在新业务发展不达预期的风</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z w:val="23"/>
          <w:szCs w:val="23"/>
        </w:rPr>
        <w:t>险。</w:t>
      </w:r>
    </w:p>
    <w:p>
      <w:pPr>
        <w:spacing w:line="374" w:lineRule="auto" w:before="136"/>
        <w:ind w:left="153" w:right="1055" w:firstLine="460"/>
        <w:jc w:val="left"/>
        <w:rPr>
          <w:rFonts w:ascii="宋体" w:hAnsi="宋体" w:cs="宋体" w:eastAsia="宋体" w:hint="default"/>
          <w:sz w:val="23"/>
          <w:szCs w:val="23"/>
        </w:rPr>
      </w:pPr>
      <w:r>
        <w:rPr>
          <w:rFonts w:ascii="宋体" w:hAnsi="宋体" w:cs="宋体" w:eastAsia="宋体" w:hint="default"/>
          <w:spacing w:val="-1"/>
          <w:sz w:val="23"/>
          <w:szCs w:val="23"/>
        </w:rPr>
        <w:t>针对上述风险，公司将从战略高度充分重视新业务的发展，充分调集公司人才、技术、资金</w:t>
      </w:r>
      <w:r>
        <w:rPr>
          <w:rFonts w:ascii="宋体" w:hAnsi="宋体" w:cs="宋体" w:eastAsia="宋体" w:hint="default"/>
          <w:w w:val="100"/>
          <w:sz w:val="23"/>
          <w:szCs w:val="23"/>
        </w:rPr>
        <w:t> </w:t>
      </w:r>
      <w:r>
        <w:rPr>
          <w:rFonts w:ascii="宋体" w:hAnsi="宋体" w:cs="宋体" w:eastAsia="宋体" w:hint="default"/>
          <w:sz w:val="23"/>
          <w:szCs w:val="23"/>
        </w:rPr>
        <w:t>和平台资源，发挥公司各项业务的整合优势，与各合作方一起，努力推进新业务的快速发展。</w:t>
      </w:r>
    </w:p>
    <w:p>
      <w:pPr>
        <w:spacing w:before="137"/>
        <w:ind w:left="614" w:right="1055" w:firstLine="0"/>
        <w:jc w:val="left"/>
        <w:rPr>
          <w:rFonts w:ascii="宋体" w:hAnsi="宋体" w:cs="宋体" w:eastAsia="宋体" w:hint="default"/>
          <w:sz w:val="23"/>
          <w:szCs w:val="23"/>
        </w:rPr>
      </w:pPr>
      <w:r>
        <w:rPr>
          <w:rFonts w:ascii="宋体" w:hAnsi="宋体" w:cs="宋体" w:eastAsia="宋体" w:hint="default"/>
          <w:sz w:val="23"/>
          <w:szCs w:val="23"/>
        </w:rPr>
        <w:t>2</w:t>
      </w:r>
      <w:r>
        <w:rPr>
          <w:rFonts w:ascii="宋体" w:hAnsi="宋体" w:cs="宋体" w:eastAsia="宋体" w:hint="default"/>
          <w:sz w:val="23"/>
          <w:szCs w:val="23"/>
        </w:rPr>
        <w:t>、运营资金短缺风险</w:t>
      </w:r>
    </w:p>
    <w:p>
      <w:pPr>
        <w:spacing w:line="240" w:lineRule="auto" w:before="4"/>
        <w:rPr>
          <w:rFonts w:ascii="宋体" w:hAnsi="宋体" w:cs="宋体" w:eastAsia="宋体" w:hint="default"/>
          <w:sz w:val="20"/>
          <w:szCs w:val="20"/>
        </w:rPr>
      </w:pPr>
    </w:p>
    <w:p>
      <w:pPr>
        <w:spacing w:before="0"/>
        <w:ind w:left="614" w:right="1055" w:firstLine="0"/>
        <w:jc w:val="left"/>
        <w:rPr>
          <w:rFonts w:ascii="宋体" w:hAnsi="宋体" w:cs="宋体" w:eastAsia="宋体" w:hint="default"/>
          <w:sz w:val="23"/>
          <w:szCs w:val="23"/>
        </w:rPr>
      </w:pPr>
      <w:r>
        <w:rPr>
          <w:rFonts w:ascii="宋体" w:hAnsi="宋体" w:cs="宋体" w:eastAsia="宋体" w:hint="default"/>
          <w:sz w:val="23"/>
          <w:szCs w:val="23"/>
        </w:rPr>
        <w:t>随着公司新业务板块持续拓展，经营规模不断扩大，公司对运营资金的需求日益扩大。如果</w:t>
      </w:r>
    </w:p>
    <w:p>
      <w:pPr>
        <w:spacing w:after="0"/>
        <w:jc w:val="left"/>
        <w:rPr>
          <w:rFonts w:ascii="宋体" w:hAnsi="宋体" w:cs="宋体" w:eastAsia="宋体" w:hint="default"/>
          <w:sz w:val="23"/>
          <w:szCs w:val="23"/>
        </w:rPr>
        <w:sectPr>
          <w:headerReference w:type="default" r:id="rId7"/>
          <w:footerReference w:type="default" r:id="rId8"/>
          <w:pgSz w:w="11910" w:h="16840"/>
          <w:pgMar w:header="871" w:footer="1186" w:top="1100" w:bottom="1380" w:left="980" w:right="0"/>
          <w:pgNumType w:start="2"/>
        </w:sectPr>
      </w:pPr>
    </w:p>
    <w:p>
      <w:pPr>
        <w:spacing w:line="240" w:lineRule="auto" w:before="0"/>
        <w:rPr>
          <w:rFonts w:ascii="宋体" w:hAnsi="宋体" w:cs="宋体" w:eastAsia="宋体" w:hint="default"/>
          <w:sz w:val="26"/>
          <w:szCs w:val="26"/>
        </w:rPr>
      </w:pPr>
    </w:p>
    <w:p>
      <w:pPr>
        <w:spacing w:line="451" w:lineRule="auto" w:before="29"/>
        <w:ind w:left="614" w:right="1055" w:hanging="461"/>
        <w:jc w:val="left"/>
        <w:rPr>
          <w:rFonts w:ascii="宋体" w:hAnsi="宋体" w:cs="宋体" w:eastAsia="宋体" w:hint="default"/>
          <w:sz w:val="23"/>
          <w:szCs w:val="23"/>
        </w:rPr>
      </w:pPr>
      <w:r>
        <w:rPr>
          <w:rFonts w:ascii="宋体" w:hAnsi="宋体" w:cs="宋体" w:eastAsia="宋体" w:hint="default"/>
          <w:sz w:val="23"/>
          <w:szCs w:val="23"/>
        </w:rPr>
        <w:t>不能及时解决资金需求，将给公司的业务运营和后续发展带来风险。</w:t>
      </w:r>
      <w:r>
        <w:rPr>
          <w:rFonts w:ascii="宋体" w:hAnsi="宋体" w:cs="宋体" w:eastAsia="宋体" w:hint="default"/>
          <w:w w:val="100"/>
          <w:sz w:val="23"/>
          <w:szCs w:val="23"/>
        </w:rPr>
        <w:t> </w:t>
      </w:r>
      <w:r>
        <w:rPr>
          <w:rFonts w:ascii="宋体" w:hAnsi="宋体" w:cs="宋体" w:eastAsia="宋体" w:hint="default"/>
          <w:spacing w:val="-1"/>
          <w:sz w:val="23"/>
          <w:szCs w:val="23"/>
        </w:rPr>
        <w:t>针对上述风险，公司首先将加强公司应收账款的管理，进一步严控企业成本，加强自有资金</w:t>
      </w:r>
    </w:p>
    <w:p>
      <w:pPr>
        <w:spacing w:line="269" w:lineRule="exact" w:before="0"/>
        <w:ind w:left="153" w:right="1055" w:firstLine="0"/>
        <w:jc w:val="left"/>
        <w:rPr>
          <w:rFonts w:ascii="宋体" w:hAnsi="宋体" w:cs="宋体" w:eastAsia="宋体" w:hint="default"/>
          <w:sz w:val="23"/>
          <w:szCs w:val="23"/>
        </w:rPr>
      </w:pPr>
      <w:r>
        <w:rPr>
          <w:rFonts w:ascii="宋体" w:hAnsi="宋体" w:cs="宋体" w:eastAsia="宋体" w:hint="default"/>
          <w:sz w:val="23"/>
          <w:szCs w:val="23"/>
        </w:rPr>
        <w:t>和募集资金的有效利用，持续改善公司现金流情况，确保日常运营资金充足；同时充分利用上市</w:t>
      </w:r>
    </w:p>
    <w:p>
      <w:pPr>
        <w:spacing w:line="453" w:lineRule="auto" w:before="164"/>
        <w:ind w:left="614" w:right="1055" w:hanging="461"/>
        <w:jc w:val="left"/>
        <w:rPr>
          <w:rFonts w:ascii="宋体" w:hAnsi="宋体" w:cs="宋体" w:eastAsia="宋体" w:hint="default"/>
          <w:sz w:val="23"/>
          <w:szCs w:val="23"/>
        </w:rPr>
      </w:pPr>
      <w:r>
        <w:rPr>
          <w:rFonts w:ascii="宋体" w:hAnsi="宋体" w:cs="宋体" w:eastAsia="宋体" w:hint="default"/>
          <w:sz w:val="23"/>
          <w:szCs w:val="23"/>
        </w:rPr>
        <w:t>公司融资平台和其他融资渠道，适时筹措运营发展资金，降低公司运营资金短缺的风险。</w:t>
      </w:r>
      <w:r>
        <w:rPr>
          <w:rFonts w:ascii="宋体" w:hAnsi="宋体" w:cs="宋体" w:eastAsia="宋体" w:hint="default"/>
          <w:w w:val="100"/>
          <w:sz w:val="23"/>
          <w:szCs w:val="23"/>
        </w:rPr>
        <w:t> </w:t>
      </w:r>
      <w:r>
        <w:rPr>
          <w:rFonts w:ascii="宋体" w:hAnsi="宋体" w:cs="宋体" w:eastAsia="宋体" w:hint="default"/>
          <w:sz w:val="23"/>
          <w:szCs w:val="23"/>
        </w:rPr>
        <w:t>3</w:t>
      </w:r>
      <w:r>
        <w:rPr>
          <w:rFonts w:ascii="宋体" w:hAnsi="宋体" w:cs="宋体" w:eastAsia="宋体" w:hint="default"/>
          <w:sz w:val="23"/>
          <w:szCs w:val="23"/>
        </w:rPr>
        <w:t>、短期盈利能力风险</w:t>
      </w:r>
      <w:r>
        <w:rPr>
          <w:rFonts w:ascii="宋体" w:hAnsi="宋体" w:cs="宋体" w:eastAsia="宋体" w:hint="default"/>
          <w:w w:val="100"/>
          <w:sz w:val="23"/>
          <w:szCs w:val="23"/>
        </w:rPr>
        <w:t> </w:t>
      </w:r>
      <w:r>
        <w:rPr>
          <w:rFonts w:ascii="宋体" w:hAnsi="宋体" w:cs="宋体" w:eastAsia="宋体" w:hint="default"/>
          <w:spacing w:val="-1"/>
          <w:sz w:val="23"/>
          <w:szCs w:val="23"/>
        </w:rPr>
        <w:t>公司按照既定的战略发展规划，持续开拓新的业务领域，推进公司业务向综合金融科技服务</w:t>
      </w:r>
    </w:p>
    <w:p>
      <w:pPr>
        <w:spacing w:line="261" w:lineRule="exact" w:before="0"/>
        <w:ind w:left="153" w:right="1055" w:firstLine="0"/>
        <w:jc w:val="left"/>
        <w:rPr>
          <w:rFonts w:ascii="宋体" w:hAnsi="宋体" w:cs="宋体" w:eastAsia="宋体" w:hint="default"/>
          <w:sz w:val="23"/>
          <w:szCs w:val="23"/>
        </w:rPr>
      </w:pPr>
      <w:r>
        <w:rPr>
          <w:rFonts w:ascii="宋体" w:hAnsi="宋体" w:cs="宋体" w:eastAsia="宋体" w:hint="default"/>
          <w:sz w:val="23"/>
          <w:szCs w:val="23"/>
        </w:rPr>
        <w:t>领域延伸发展。经过近年来的持续布局，公司业务已涉及金融信息化、数字金融解决方案、移动</w:t>
      </w:r>
    </w:p>
    <w:p>
      <w:pPr>
        <w:spacing w:line="372" w:lineRule="auto" w:before="169"/>
        <w:ind w:left="153" w:right="1106" w:firstLine="0"/>
        <w:jc w:val="both"/>
        <w:rPr>
          <w:rFonts w:ascii="宋体" w:hAnsi="宋体" w:cs="宋体" w:eastAsia="宋体" w:hint="default"/>
          <w:sz w:val="23"/>
          <w:szCs w:val="23"/>
        </w:rPr>
      </w:pPr>
      <w:r>
        <w:rPr>
          <w:rFonts w:ascii="宋体" w:hAnsi="宋体" w:cs="宋体" w:eastAsia="宋体" w:hint="default"/>
          <w:spacing w:val="-1"/>
          <w:sz w:val="23"/>
          <w:szCs w:val="23"/>
        </w:rPr>
        <w:t>信息服务、数据服务、电子商务、个人征信、互联网保险、证券业务等各个领域。公司实施以上</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1"/>
          <w:sz w:val="23"/>
          <w:szCs w:val="23"/>
        </w:rPr>
        <w:t>战略布局，是公司为企业长远发展而采取的积极措施，并且在各项战略投资实施之前，公司已对</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1"/>
          <w:sz w:val="23"/>
          <w:szCs w:val="23"/>
        </w:rPr>
        <w:t>新兴业务的市场空间和项目可行性进行了充分的论证。但是由于部分新业务，如个人征信服务、</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pacing w:val="-1"/>
          <w:sz w:val="23"/>
          <w:szCs w:val="23"/>
        </w:rPr>
        <w:t>数据服务、互联网保险业务、证券业务等，在业务开展初期阶段需要比较高的投入，可能在一定</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1"/>
          <w:sz w:val="23"/>
          <w:szCs w:val="23"/>
        </w:rPr>
        <w:t>时期内不具备盈利能力，因此可能致使公司存在短期盈利能力下降的风险，一定时期内影响公司</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z w:val="23"/>
          <w:szCs w:val="23"/>
        </w:rPr>
        <w:t>整体的盈利能力。</w:t>
      </w:r>
    </w:p>
    <w:p>
      <w:pPr>
        <w:spacing w:line="372" w:lineRule="auto" w:before="143"/>
        <w:ind w:left="153" w:right="1106" w:firstLine="460"/>
        <w:jc w:val="both"/>
        <w:rPr>
          <w:rFonts w:ascii="宋体" w:hAnsi="宋体" w:cs="宋体" w:eastAsia="宋体" w:hint="default"/>
          <w:sz w:val="23"/>
          <w:szCs w:val="23"/>
        </w:rPr>
      </w:pPr>
      <w:r>
        <w:rPr>
          <w:rFonts w:ascii="宋体" w:hAnsi="宋体" w:cs="宋体" w:eastAsia="宋体" w:hint="default"/>
          <w:spacing w:val="-1"/>
          <w:sz w:val="23"/>
          <w:szCs w:val="23"/>
        </w:rPr>
        <w:t>针对上述风险，公司一方面将从战略高度充分重视新兴业务的进展，全力推进新业务的健康</w:t>
      </w:r>
      <w:r>
        <w:rPr>
          <w:rFonts w:ascii="宋体" w:hAnsi="宋体" w:cs="宋体" w:eastAsia="宋体" w:hint="default"/>
          <w:w w:val="100"/>
          <w:sz w:val="23"/>
          <w:szCs w:val="23"/>
        </w:rPr>
        <w:t> </w:t>
      </w:r>
      <w:r>
        <w:rPr>
          <w:rFonts w:ascii="宋体" w:hAnsi="宋体" w:cs="宋体" w:eastAsia="宋体" w:hint="default"/>
          <w:spacing w:val="-1"/>
          <w:sz w:val="23"/>
          <w:szCs w:val="23"/>
        </w:rPr>
        <w:t>发展，科学把控新兴业务投资进度，降低投资风险；另一方面将努力推进成熟业务的业绩提升，</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z w:val="23"/>
          <w:szCs w:val="23"/>
        </w:rPr>
        <w:t>保持公司整体盈利情况的合理性。</w:t>
      </w:r>
    </w:p>
    <w:p>
      <w:pPr>
        <w:spacing w:line="451" w:lineRule="auto" w:before="139"/>
        <w:ind w:left="614" w:right="1055" w:firstLine="0"/>
        <w:jc w:val="left"/>
        <w:rPr>
          <w:rFonts w:ascii="宋体" w:hAnsi="宋体" w:cs="宋体" w:eastAsia="宋体" w:hint="default"/>
          <w:sz w:val="23"/>
          <w:szCs w:val="23"/>
        </w:rPr>
      </w:pPr>
      <w:r>
        <w:rPr>
          <w:rFonts w:ascii="宋体" w:hAnsi="宋体" w:cs="宋体" w:eastAsia="宋体" w:hint="default"/>
          <w:sz w:val="23"/>
          <w:szCs w:val="23"/>
        </w:rPr>
        <w:t>4</w:t>
      </w:r>
      <w:r>
        <w:rPr>
          <w:rFonts w:ascii="宋体" w:hAnsi="宋体" w:cs="宋体" w:eastAsia="宋体" w:hint="default"/>
          <w:sz w:val="23"/>
          <w:szCs w:val="23"/>
        </w:rPr>
        <w:t>、经营管理风险</w:t>
      </w:r>
      <w:r>
        <w:rPr>
          <w:rFonts w:ascii="宋体" w:hAnsi="宋体" w:cs="宋体" w:eastAsia="宋体" w:hint="default"/>
          <w:spacing w:val="-112"/>
          <w:sz w:val="23"/>
          <w:szCs w:val="23"/>
        </w:rPr>
        <w:t> </w:t>
      </w:r>
      <w:r>
        <w:rPr>
          <w:rFonts w:ascii="宋体" w:hAnsi="宋体" w:cs="宋体" w:eastAsia="宋体" w:hint="default"/>
          <w:spacing w:val="-1"/>
          <w:sz w:val="23"/>
          <w:szCs w:val="23"/>
        </w:rPr>
        <w:t>随着公司业务领域的持续拓展、经营规模的不断扩大，公司组织结构和管理体系日趋复杂，</w:t>
      </w:r>
    </w:p>
    <w:p>
      <w:pPr>
        <w:spacing w:line="268" w:lineRule="exact" w:before="0"/>
        <w:ind w:left="153" w:right="1055" w:firstLine="0"/>
        <w:jc w:val="left"/>
        <w:rPr>
          <w:rFonts w:ascii="宋体" w:hAnsi="宋体" w:cs="宋体" w:eastAsia="宋体" w:hint="default"/>
          <w:sz w:val="23"/>
          <w:szCs w:val="23"/>
        </w:rPr>
      </w:pPr>
      <w:r>
        <w:rPr>
          <w:rFonts w:ascii="宋体" w:hAnsi="宋体" w:cs="宋体" w:eastAsia="宋体" w:hint="default"/>
          <w:sz w:val="23"/>
          <w:szCs w:val="23"/>
        </w:rPr>
        <w:t>公司的经营决策、风险控制的难度大为增加，对公司管理团队的人才储备、管理水平以及驾驭经</w:t>
      </w:r>
    </w:p>
    <w:p>
      <w:pPr>
        <w:spacing w:line="374" w:lineRule="auto" w:before="165"/>
        <w:ind w:left="153" w:right="1125" w:firstLine="0"/>
        <w:jc w:val="both"/>
        <w:rPr>
          <w:rFonts w:ascii="宋体" w:hAnsi="宋体" w:cs="宋体" w:eastAsia="宋体" w:hint="default"/>
          <w:sz w:val="23"/>
          <w:szCs w:val="23"/>
        </w:rPr>
      </w:pPr>
      <w:r>
        <w:rPr>
          <w:rFonts w:ascii="宋体" w:hAnsi="宋体" w:cs="宋体" w:eastAsia="宋体" w:hint="default"/>
          <w:spacing w:val="-1"/>
          <w:sz w:val="23"/>
          <w:szCs w:val="23"/>
        </w:rPr>
        <w:t>营管理风险的能力提出了更高的要求。如果公司在经营管理过程中不能解决人才、文化、管理能</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z w:val="23"/>
          <w:szCs w:val="23"/>
        </w:rPr>
        <w:t>力、管理效率等方面的新的挑战，将对公司的有效运营和业务发展带来一定风险。</w:t>
      </w:r>
    </w:p>
    <w:p>
      <w:pPr>
        <w:spacing w:line="374" w:lineRule="auto" w:before="136"/>
        <w:ind w:left="153" w:right="1125" w:firstLine="460"/>
        <w:jc w:val="both"/>
        <w:rPr>
          <w:rFonts w:ascii="宋体" w:hAnsi="宋体" w:cs="宋体" w:eastAsia="宋体" w:hint="default"/>
          <w:sz w:val="23"/>
          <w:szCs w:val="23"/>
        </w:rPr>
      </w:pPr>
      <w:r>
        <w:rPr>
          <w:rFonts w:ascii="宋体" w:hAnsi="宋体" w:cs="宋体" w:eastAsia="宋体" w:hint="default"/>
          <w:spacing w:val="-1"/>
          <w:sz w:val="23"/>
          <w:szCs w:val="23"/>
        </w:rPr>
        <w:t>针对上述风险，公司持续引进、储备高素质人才，严格按照上市公司规范治理要求，不断优</w:t>
      </w:r>
      <w:r>
        <w:rPr>
          <w:rFonts w:ascii="宋体" w:hAnsi="宋体" w:cs="宋体" w:eastAsia="宋体" w:hint="default"/>
          <w:w w:val="100"/>
          <w:sz w:val="23"/>
          <w:szCs w:val="23"/>
        </w:rPr>
        <w:t> </w:t>
      </w:r>
      <w:r>
        <w:rPr>
          <w:rFonts w:ascii="宋体" w:hAnsi="宋体" w:cs="宋体" w:eastAsia="宋体" w:hint="default"/>
          <w:sz w:val="23"/>
          <w:szCs w:val="23"/>
        </w:rPr>
        <w:t>化、整合业务结构，加强内控体系建设，提升管理水平，提高公司经营管理抗风险的能力。</w:t>
      </w:r>
    </w:p>
    <w:p>
      <w:pPr>
        <w:spacing w:before="136"/>
        <w:ind w:left="614" w:right="1055" w:firstLine="0"/>
        <w:jc w:val="left"/>
        <w:rPr>
          <w:rFonts w:ascii="宋体" w:hAnsi="宋体" w:cs="宋体" w:eastAsia="宋体" w:hint="default"/>
          <w:sz w:val="23"/>
          <w:szCs w:val="23"/>
        </w:rPr>
      </w:pPr>
      <w:r>
        <w:rPr>
          <w:rFonts w:ascii="宋体" w:hAnsi="宋体" w:cs="宋体" w:eastAsia="宋体" w:hint="default"/>
          <w:b/>
          <w:bCs/>
          <w:sz w:val="23"/>
          <w:szCs w:val="23"/>
        </w:rPr>
        <w:t>公司经本次董事会审议通过的利润分配预案为：以公司总股本</w:t>
      </w:r>
      <w:r>
        <w:rPr>
          <w:rFonts w:ascii="宋体" w:hAnsi="宋体" w:cs="宋体" w:eastAsia="宋体" w:hint="default"/>
          <w:b/>
          <w:bCs/>
          <w:spacing w:val="-75"/>
          <w:sz w:val="23"/>
          <w:szCs w:val="23"/>
        </w:rPr>
        <w:t> </w:t>
      </w:r>
      <w:r>
        <w:rPr>
          <w:rFonts w:ascii="宋体" w:hAnsi="宋体" w:cs="宋体" w:eastAsia="宋体" w:hint="default"/>
          <w:b/>
          <w:bCs/>
          <w:sz w:val="23"/>
          <w:szCs w:val="23"/>
        </w:rPr>
        <w:t>706,640,535</w:t>
      </w:r>
      <w:r>
        <w:rPr>
          <w:rFonts w:ascii="宋体" w:hAnsi="宋体" w:cs="宋体" w:eastAsia="宋体" w:hint="default"/>
          <w:b/>
          <w:bCs/>
          <w:spacing w:val="-77"/>
          <w:sz w:val="23"/>
          <w:szCs w:val="23"/>
        </w:rPr>
        <w:t> </w:t>
      </w:r>
      <w:r>
        <w:rPr>
          <w:rFonts w:ascii="宋体" w:hAnsi="宋体" w:cs="宋体" w:eastAsia="宋体" w:hint="default"/>
          <w:b/>
          <w:bCs/>
          <w:spacing w:val="-5"/>
          <w:sz w:val="23"/>
          <w:szCs w:val="23"/>
        </w:rPr>
        <w:t>股为基数，向全</w:t>
      </w:r>
      <w:r>
        <w:rPr>
          <w:rFonts w:ascii="宋体" w:hAnsi="宋体" w:cs="宋体" w:eastAsia="宋体" w:hint="default"/>
          <w:spacing w:val="-5"/>
          <w:sz w:val="23"/>
          <w:szCs w:val="23"/>
        </w:rPr>
      </w:r>
    </w:p>
    <w:p>
      <w:pPr>
        <w:spacing w:before="169"/>
        <w:ind w:left="153" w:right="1055" w:firstLine="0"/>
        <w:jc w:val="left"/>
        <w:rPr>
          <w:rFonts w:ascii="宋体" w:hAnsi="宋体" w:cs="宋体" w:eastAsia="宋体" w:hint="default"/>
          <w:sz w:val="23"/>
          <w:szCs w:val="23"/>
        </w:rPr>
      </w:pPr>
      <w:r>
        <w:rPr>
          <w:rFonts w:ascii="宋体" w:hAnsi="宋体" w:cs="宋体" w:eastAsia="宋体" w:hint="default"/>
          <w:b/>
          <w:bCs/>
          <w:w w:val="99"/>
          <w:sz w:val="23"/>
          <w:szCs w:val="23"/>
        </w:rPr>
        <w:t>体股东每</w:t>
      </w:r>
      <w:r>
        <w:rPr>
          <w:rFonts w:ascii="宋体" w:hAnsi="宋体" w:cs="宋体" w:eastAsia="宋体" w:hint="default"/>
          <w:b/>
          <w:bCs/>
          <w:spacing w:val="-49"/>
          <w:sz w:val="23"/>
          <w:szCs w:val="23"/>
        </w:rPr>
        <w:t> </w:t>
      </w:r>
      <w:r>
        <w:rPr>
          <w:rFonts w:ascii="宋体" w:hAnsi="宋体" w:cs="宋体" w:eastAsia="宋体" w:hint="default"/>
          <w:b/>
          <w:bCs/>
          <w:w w:val="99"/>
          <w:sz w:val="23"/>
          <w:szCs w:val="23"/>
        </w:rPr>
        <w:t>10</w:t>
      </w:r>
      <w:r>
        <w:rPr>
          <w:rFonts w:ascii="宋体" w:hAnsi="宋体" w:cs="宋体" w:eastAsia="宋体" w:hint="default"/>
          <w:b/>
          <w:bCs/>
          <w:spacing w:val="-49"/>
          <w:sz w:val="23"/>
          <w:szCs w:val="23"/>
        </w:rPr>
        <w:t> </w:t>
      </w:r>
      <w:r>
        <w:rPr>
          <w:rFonts w:ascii="宋体" w:hAnsi="宋体" w:cs="宋体" w:eastAsia="宋体" w:hint="default"/>
          <w:b/>
          <w:bCs/>
          <w:w w:val="99"/>
          <w:sz w:val="23"/>
          <w:szCs w:val="23"/>
        </w:rPr>
        <w:t>股派</w:t>
      </w:r>
      <w:r>
        <w:rPr>
          <w:rFonts w:ascii="宋体" w:hAnsi="宋体" w:cs="宋体" w:eastAsia="宋体" w:hint="default"/>
          <w:b/>
          <w:bCs/>
          <w:spacing w:val="-44"/>
          <w:sz w:val="23"/>
          <w:szCs w:val="23"/>
        </w:rPr>
        <w:t> </w:t>
      </w:r>
      <w:r>
        <w:rPr>
          <w:rFonts w:ascii="宋体" w:hAnsi="宋体" w:cs="宋体" w:eastAsia="宋体" w:hint="default"/>
          <w:b/>
          <w:bCs/>
          <w:w w:val="99"/>
          <w:sz w:val="23"/>
          <w:szCs w:val="23"/>
        </w:rPr>
        <w:t>0.2</w:t>
      </w:r>
      <w:r>
        <w:rPr>
          <w:rFonts w:ascii="宋体" w:hAnsi="宋体" w:cs="宋体" w:eastAsia="宋体" w:hint="default"/>
          <w:b/>
          <w:bCs/>
          <w:spacing w:val="-49"/>
          <w:sz w:val="23"/>
          <w:szCs w:val="23"/>
        </w:rPr>
        <w:t> </w:t>
      </w:r>
      <w:r>
        <w:rPr>
          <w:rFonts w:ascii="宋体" w:hAnsi="宋体" w:cs="宋体" w:eastAsia="宋体" w:hint="default"/>
          <w:b/>
          <w:bCs/>
          <w:w w:val="99"/>
          <w:sz w:val="23"/>
          <w:szCs w:val="23"/>
        </w:rPr>
        <w:t>元人民币现金</w:t>
      </w:r>
      <w:r>
        <w:rPr>
          <w:rFonts w:ascii="宋体" w:hAnsi="宋体" w:cs="宋体" w:eastAsia="宋体" w:hint="default"/>
          <w:b/>
          <w:bCs/>
          <w:spacing w:val="4"/>
          <w:w w:val="99"/>
          <w:sz w:val="23"/>
          <w:szCs w:val="23"/>
        </w:rPr>
        <w:t>（</w:t>
      </w:r>
      <w:r>
        <w:rPr>
          <w:rFonts w:ascii="宋体" w:hAnsi="宋体" w:cs="宋体" w:eastAsia="宋体" w:hint="default"/>
          <w:b/>
          <w:bCs/>
          <w:w w:val="99"/>
          <w:sz w:val="23"/>
          <w:szCs w:val="23"/>
        </w:rPr>
        <w:t>含税</w:t>
      </w:r>
      <w:r>
        <w:rPr>
          <w:rFonts w:ascii="宋体" w:hAnsi="宋体" w:cs="宋体" w:eastAsia="宋体" w:hint="default"/>
          <w:b/>
          <w:bCs/>
          <w:spacing w:val="-116"/>
          <w:w w:val="99"/>
          <w:sz w:val="23"/>
          <w:szCs w:val="23"/>
        </w:rPr>
        <w:t>）</w:t>
      </w:r>
      <w:r>
        <w:rPr>
          <w:rFonts w:ascii="宋体" w:hAnsi="宋体" w:cs="宋体" w:eastAsia="宋体" w:hint="default"/>
          <w:b/>
          <w:bCs/>
          <w:w w:val="99"/>
          <w:sz w:val="23"/>
          <w:szCs w:val="23"/>
        </w:rPr>
        <w:t>，送红股</w:t>
      </w:r>
      <w:r>
        <w:rPr>
          <w:rFonts w:ascii="宋体" w:hAnsi="宋体" w:cs="宋体" w:eastAsia="宋体" w:hint="default"/>
          <w:b/>
          <w:bCs/>
          <w:spacing w:val="-48"/>
          <w:sz w:val="23"/>
          <w:szCs w:val="23"/>
        </w:rPr>
        <w:t> </w:t>
      </w:r>
      <w:r>
        <w:rPr>
          <w:rFonts w:ascii="宋体" w:hAnsi="宋体" w:cs="宋体" w:eastAsia="宋体" w:hint="default"/>
          <w:b/>
          <w:bCs/>
          <w:w w:val="99"/>
          <w:sz w:val="23"/>
          <w:szCs w:val="23"/>
        </w:rPr>
        <w:t>0</w:t>
      </w:r>
      <w:r>
        <w:rPr>
          <w:rFonts w:ascii="宋体" w:hAnsi="宋体" w:cs="宋体" w:eastAsia="宋体" w:hint="default"/>
          <w:b/>
          <w:bCs/>
          <w:spacing w:val="-49"/>
          <w:sz w:val="23"/>
          <w:szCs w:val="23"/>
        </w:rPr>
        <w:t> </w:t>
      </w:r>
      <w:r>
        <w:rPr>
          <w:rFonts w:ascii="宋体" w:hAnsi="宋体" w:cs="宋体" w:eastAsia="宋体" w:hint="default"/>
          <w:b/>
          <w:bCs/>
          <w:w w:val="99"/>
          <w:sz w:val="23"/>
          <w:szCs w:val="23"/>
        </w:rPr>
        <w:t>股（含税</w:t>
      </w:r>
      <w:r>
        <w:rPr>
          <w:rFonts w:ascii="宋体" w:hAnsi="宋体" w:cs="宋体" w:eastAsia="宋体" w:hint="default"/>
          <w:b/>
          <w:bCs/>
          <w:spacing w:val="-111"/>
          <w:w w:val="99"/>
          <w:sz w:val="23"/>
          <w:szCs w:val="23"/>
        </w:rPr>
        <w:t>）</w:t>
      </w:r>
      <w:r>
        <w:rPr>
          <w:rFonts w:ascii="宋体" w:hAnsi="宋体" w:cs="宋体" w:eastAsia="宋体" w:hint="default"/>
          <w:b/>
          <w:bCs/>
          <w:w w:val="99"/>
          <w:sz w:val="23"/>
          <w:szCs w:val="23"/>
        </w:rPr>
        <w:t>，以资本公积金向全</w:t>
      </w:r>
      <w:r>
        <w:rPr>
          <w:rFonts w:ascii="宋体" w:hAnsi="宋体" w:cs="宋体" w:eastAsia="宋体" w:hint="default"/>
          <w:b/>
          <w:bCs/>
          <w:spacing w:val="4"/>
          <w:w w:val="99"/>
          <w:sz w:val="23"/>
          <w:szCs w:val="23"/>
        </w:rPr>
        <w:t>体</w:t>
      </w:r>
      <w:r>
        <w:rPr>
          <w:rFonts w:ascii="宋体" w:hAnsi="宋体" w:cs="宋体" w:eastAsia="宋体" w:hint="default"/>
          <w:b/>
          <w:bCs/>
          <w:w w:val="99"/>
          <w:sz w:val="23"/>
          <w:szCs w:val="23"/>
        </w:rPr>
        <w:t>股东每</w:t>
      </w:r>
      <w:r>
        <w:rPr>
          <w:rFonts w:ascii="宋体" w:hAnsi="宋体" w:cs="宋体" w:eastAsia="宋体" w:hint="default"/>
          <w:sz w:val="23"/>
          <w:szCs w:val="23"/>
        </w:rPr>
      </w:r>
    </w:p>
    <w:p>
      <w:pPr>
        <w:spacing w:before="164"/>
        <w:ind w:left="153" w:right="1055" w:firstLine="0"/>
        <w:jc w:val="left"/>
        <w:rPr>
          <w:rFonts w:ascii="宋体" w:hAnsi="宋体" w:cs="宋体" w:eastAsia="宋体" w:hint="default"/>
          <w:sz w:val="23"/>
          <w:szCs w:val="23"/>
        </w:rPr>
      </w:pPr>
      <w:r>
        <w:rPr>
          <w:rFonts w:ascii="宋体" w:hAnsi="宋体" w:cs="宋体" w:eastAsia="宋体" w:hint="default"/>
          <w:b/>
          <w:bCs/>
          <w:sz w:val="23"/>
          <w:szCs w:val="23"/>
        </w:rPr>
        <w:t>10</w:t>
      </w:r>
      <w:r>
        <w:rPr>
          <w:rFonts w:ascii="宋体" w:hAnsi="宋体" w:cs="宋体" w:eastAsia="宋体" w:hint="default"/>
          <w:b/>
          <w:bCs/>
          <w:spacing w:val="-60"/>
          <w:sz w:val="23"/>
          <w:szCs w:val="23"/>
        </w:rPr>
        <w:t> </w:t>
      </w:r>
      <w:r>
        <w:rPr>
          <w:rFonts w:ascii="宋体" w:hAnsi="宋体" w:cs="宋体" w:eastAsia="宋体" w:hint="default"/>
          <w:b/>
          <w:bCs/>
          <w:sz w:val="23"/>
          <w:szCs w:val="23"/>
        </w:rPr>
        <w:t>股转增</w:t>
      </w:r>
      <w:r>
        <w:rPr>
          <w:rFonts w:ascii="宋体" w:hAnsi="宋体" w:cs="宋体" w:eastAsia="宋体" w:hint="default"/>
          <w:b/>
          <w:bCs/>
          <w:spacing w:val="-59"/>
          <w:sz w:val="23"/>
          <w:szCs w:val="23"/>
        </w:rPr>
        <w:t> </w:t>
      </w:r>
      <w:r>
        <w:rPr>
          <w:rFonts w:ascii="宋体" w:hAnsi="宋体" w:cs="宋体" w:eastAsia="宋体" w:hint="default"/>
          <w:b/>
          <w:bCs/>
          <w:sz w:val="23"/>
          <w:szCs w:val="23"/>
        </w:rPr>
        <w:t>0</w:t>
      </w:r>
      <w:r>
        <w:rPr>
          <w:rFonts w:ascii="宋体" w:hAnsi="宋体" w:cs="宋体" w:eastAsia="宋体" w:hint="default"/>
          <w:b/>
          <w:bCs/>
          <w:spacing w:val="-60"/>
          <w:sz w:val="23"/>
          <w:szCs w:val="23"/>
        </w:rPr>
        <w:t> </w:t>
      </w:r>
      <w:r>
        <w:rPr>
          <w:rFonts w:ascii="宋体" w:hAnsi="宋体" w:cs="宋体" w:eastAsia="宋体" w:hint="default"/>
          <w:b/>
          <w:bCs/>
          <w:sz w:val="23"/>
          <w:szCs w:val="23"/>
        </w:rPr>
        <w:t>股。</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10" w:h="16840"/>
          <w:pgMar w:header="871" w:footer="1186" w:top="110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line="460" w:lineRule="exact" w:before="0"/>
        <w:ind w:left="497" w:right="1470"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0">
            <w:r>
              <w:rPr>
                <w:rFonts w:ascii="Times New Roman" w:hAnsi="Times New Roman" w:cs="Times New Roman" w:eastAsia="Times New Roman" w:hint="default"/>
                <w:b w:val="0"/>
                <w:bCs w:val="0"/>
                <w:i w:val="0"/>
                <w:sz w:val="18"/>
                <w:szCs w:val="18"/>
              </w:rPr>
              <w:t>_Toc300000084</w:t>
            </w:r>
          </w:hyperlink>
          <w:r>
            <w:rPr>
              <w:rFonts w:ascii="Times New Roman" w:hAnsi="Times New Roman" w:cs="Times New Roman" w:eastAsia="Times New Roman" w:hint="default"/>
              <w:b w:val="0"/>
              <w:bCs w:val="0"/>
              <w:i w:val="0"/>
              <w:sz w:val="18"/>
              <w:szCs w:val="18"/>
            </w:rPr>
            <w:t> </w:t>
          </w:r>
          <w:hyperlink w:history="true" w:anchor="_bookmark0">
            <w:r>
              <w:rPr>
                <w:i w:val="0"/>
                <w:sz w:val="24"/>
                <w:szCs w:val="24"/>
              </w:rPr>
              <w:t>第一节</w:t>
            </w:r>
            <w:r>
              <w:rPr>
                <w:i w:val="0"/>
                <w:spacing w:val="-18"/>
                <w:sz w:val="24"/>
                <w:szCs w:val="24"/>
              </w:rPr>
              <w:t> </w:t>
            </w:r>
            <w:r>
              <w:rPr>
                <w:i w:val="0"/>
                <w:sz w:val="24"/>
                <w:szCs w:val="24"/>
              </w:rPr>
              <w:t>重要提示、目录和释义</w:t>
            </w:r>
            <w:r>
              <w:rPr>
                <w:rFonts w:ascii="Times New Roman" w:hAnsi="Times New Roman" w:cs="Times New Roman" w:eastAsia="Times New Roman" w:hint="default"/>
                <w:i w:val="0"/>
                <w:sz w:val="24"/>
                <w:szCs w:val="24"/>
              </w:rPr>
              <w:tab/>
              <w:t>7</w:t>
            </w:r>
            <w:r>
              <w:rPr>
                <w:rFonts w:ascii="Times New Roman" w:hAnsi="Times New Roman" w:cs="Times New Roman" w:eastAsia="Times New Roman" w:hint="default"/>
                <w:b w:val="0"/>
                <w:bCs w:val="0"/>
                <w:i w:val="0"/>
                <w:sz w:val="24"/>
                <w:szCs w:val="24"/>
              </w:rPr>
            </w:r>
          </w:hyperlink>
        </w:p>
        <w:p>
          <w:pPr>
            <w:pStyle w:val="TOC1"/>
            <w:tabs>
              <w:tab w:pos="977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20"/>
              </w:rPr>
              <w:t> </w:t>
            </w:r>
            <w:r>
              <w:rPr/>
              <w:t>公司业务概要</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0"/>
              </w:rPr>
              <w:t> </w:t>
            </w:r>
            <w:r>
              <w:rPr/>
              <w:t>经营情况讨论与分析</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0"/>
              </w:rPr>
              <w:t> </w:t>
            </w:r>
            <w:r>
              <w:rPr/>
              <w:t>重要事项</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0"/>
              </w:rPr>
              <w:t> </w:t>
            </w:r>
            <w:r>
              <w:rPr/>
              <w:t>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1"/>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1"/>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7">
            <w:r>
              <w:rPr/>
              <w:t>第九节</w:t>
            </w:r>
            <w:r>
              <w:rPr>
                <w:spacing w:val="-20"/>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1"/>
              </w:rPr>
              <w:t> </w:t>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1"/>
              </w:rPr>
              <w:t> </w:t>
            </w:r>
            <w:r>
              <w:rPr/>
              <w:t>备查文件目录</w:t>
            </w:r>
            <w:r>
              <w:rPr>
                <w:rFonts w:ascii="Times New Roman" w:hAnsi="Times New Roman" w:cs="Times New Roman" w:eastAsia="Times New Roman" w:hint="default"/>
              </w:rPr>
              <w:tab/>
              <w:t>169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71" w:footer="1186" w:top="1100" w:bottom="1380" w:left="980" w:right="0"/>
        </w:sectPr>
      </w:pPr>
    </w:p>
    <w:p>
      <w:pPr>
        <w:spacing w:before="898"/>
        <w:ind w:left="497" w:right="147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6"/>
          <w:szCs w:val="26"/>
        </w:rPr>
      </w:pPr>
    </w:p>
    <w:p>
      <w:pPr>
        <w:pStyle w:val="BodyText"/>
        <w:spacing w:line="240" w:lineRule="auto"/>
        <w:ind w:left="0" w:right="1127"/>
        <w:jc w:val="right"/>
      </w:pPr>
      <w:r>
        <w:rPr/>
        <w:pict>
          <v:shape style="position:absolute;margin-left:56.424pt;margin-top:-469.868286pt;width:479.5pt;height:594.4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1"/>
                    <w:gridCol w:w="566"/>
                    <w:gridCol w:w="6737"/>
                  </w:tblGrid>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深圳市银之杰科技股份有限公司</w:t>
                        </w:r>
                      </w:p>
                    </w:tc>
                  </w:tr>
                  <w:tr>
                    <w:trPr>
                      <w:trHeight w:val="71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银之杰智慧科技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
                          <w:jc w:val="left"/>
                          <w:rPr>
                            <w:rFonts w:ascii="宋体" w:hAnsi="宋体" w:cs="宋体" w:eastAsia="宋体" w:hint="default"/>
                            <w:sz w:val="18"/>
                            <w:szCs w:val="18"/>
                          </w:rPr>
                        </w:pPr>
                        <w:r>
                          <w:rPr>
                            <w:rFonts w:ascii="宋体" w:hAnsi="宋体" w:cs="宋体" w:eastAsia="宋体" w:hint="default"/>
                            <w:spacing w:val="-7"/>
                            <w:w w:val="101"/>
                            <w:sz w:val="18"/>
                            <w:szCs w:val="18"/>
                          </w:rPr>
                          <w:t>深圳银之杰智慧科技有限公司（原名深圳市银之杰技术开发有限公司），本公司全资子</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z w:val="18"/>
                            <w:szCs w:val="18"/>
                          </w:rPr>
                          <w:t>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银之杰拓扑技术</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深圳银之杰拓扑技术有限公司，本公司全资子公司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银之杰资产管理</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深圳银之杰资产管理有限公司，本公司全资子公司</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亿美软通</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北京亿美软通科技有限公司，本公司全资子公司</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安科创新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安</w:t>
                        </w:r>
                        <w:r>
                          <w:rPr>
                            <w:rFonts w:ascii="宋体" w:hAnsi="宋体" w:cs="宋体" w:eastAsia="宋体" w:hint="default"/>
                            <w:spacing w:val="-5"/>
                            <w:w w:val="101"/>
                            <w:sz w:val="18"/>
                            <w:szCs w:val="18"/>
                          </w:rPr>
                          <w:t>科</w:t>
                        </w:r>
                        <w:r>
                          <w:rPr>
                            <w:rFonts w:ascii="宋体" w:hAnsi="宋体" w:cs="宋体" w:eastAsia="宋体" w:hint="default"/>
                            <w:w w:val="101"/>
                            <w:sz w:val="18"/>
                            <w:szCs w:val="18"/>
                          </w:rPr>
                          <w:t>创</w:t>
                        </w:r>
                        <w:r>
                          <w:rPr>
                            <w:rFonts w:ascii="宋体" w:hAnsi="宋体" w:cs="宋体" w:eastAsia="宋体" w:hint="default"/>
                            <w:spacing w:val="-5"/>
                            <w:w w:val="101"/>
                            <w:sz w:val="18"/>
                            <w:szCs w:val="18"/>
                          </w:rPr>
                          <w:t>新</w:t>
                        </w:r>
                        <w:r>
                          <w:rPr>
                            <w:rFonts w:ascii="宋体" w:hAnsi="宋体" w:cs="宋体" w:eastAsia="宋体" w:hint="default"/>
                            <w:w w:val="101"/>
                            <w:sz w:val="18"/>
                            <w:szCs w:val="18"/>
                          </w:rPr>
                          <w:t>（</w:t>
                        </w:r>
                        <w:r>
                          <w:rPr>
                            <w:rFonts w:ascii="宋体" w:hAnsi="宋体" w:cs="宋体" w:eastAsia="宋体" w:hint="default"/>
                            <w:spacing w:val="-5"/>
                            <w:w w:val="101"/>
                            <w:sz w:val="18"/>
                            <w:szCs w:val="18"/>
                          </w:rPr>
                          <w:t>深</w:t>
                        </w:r>
                        <w:r>
                          <w:rPr>
                            <w:rFonts w:ascii="宋体" w:hAnsi="宋体" w:cs="宋体" w:eastAsia="宋体" w:hint="default"/>
                            <w:w w:val="101"/>
                            <w:sz w:val="18"/>
                            <w:szCs w:val="18"/>
                          </w:rPr>
                          <w:t>圳</w:t>
                        </w:r>
                        <w:r>
                          <w:rPr>
                            <w:rFonts w:ascii="宋体" w:hAnsi="宋体" w:cs="宋体" w:eastAsia="宋体" w:hint="default"/>
                            <w:spacing w:val="-5"/>
                            <w:w w:val="101"/>
                            <w:sz w:val="18"/>
                            <w:szCs w:val="18"/>
                          </w:rPr>
                          <w:t>）</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w:t>
                        </w:r>
                        <w:r>
                          <w:rPr>
                            <w:rFonts w:ascii="宋体" w:hAnsi="宋体" w:cs="宋体" w:eastAsia="宋体" w:hint="default"/>
                            <w:spacing w:val="-5"/>
                            <w:w w:val="101"/>
                            <w:sz w:val="18"/>
                            <w:szCs w:val="18"/>
                          </w:rPr>
                          <w:t>原</w:t>
                        </w:r>
                        <w:r>
                          <w:rPr>
                            <w:rFonts w:ascii="宋体" w:hAnsi="宋体" w:cs="宋体" w:eastAsia="宋体" w:hint="default"/>
                            <w:w w:val="101"/>
                            <w:sz w:val="18"/>
                            <w:szCs w:val="18"/>
                          </w:rPr>
                          <w:t>名</w:t>
                        </w:r>
                        <w:r>
                          <w:rPr>
                            <w:rFonts w:ascii="宋体" w:hAnsi="宋体" w:cs="宋体" w:eastAsia="宋体" w:hint="default"/>
                            <w:spacing w:val="-5"/>
                            <w:w w:val="101"/>
                            <w:sz w:val="18"/>
                            <w:szCs w:val="18"/>
                          </w:rPr>
                          <w:t>深</w:t>
                        </w:r>
                        <w:r>
                          <w:rPr>
                            <w:rFonts w:ascii="宋体" w:hAnsi="宋体" w:cs="宋体" w:eastAsia="宋体" w:hint="default"/>
                            <w:w w:val="101"/>
                            <w:sz w:val="18"/>
                            <w:szCs w:val="18"/>
                          </w:rPr>
                          <w:t>圳</w:t>
                        </w:r>
                        <w:r>
                          <w:rPr>
                            <w:rFonts w:ascii="宋体" w:hAnsi="宋体" w:cs="宋体" w:eastAsia="宋体" w:hint="default"/>
                            <w:spacing w:val="-5"/>
                            <w:w w:val="101"/>
                            <w:sz w:val="18"/>
                            <w:szCs w:val="18"/>
                          </w:rPr>
                          <w:t>市</w:t>
                        </w:r>
                        <w:r>
                          <w:rPr>
                            <w:rFonts w:ascii="宋体" w:hAnsi="宋体" w:cs="宋体" w:eastAsia="宋体" w:hint="default"/>
                            <w:w w:val="101"/>
                            <w:sz w:val="18"/>
                            <w:szCs w:val="18"/>
                          </w:rPr>
                          <w:t>科</w:t>
                        </w:r>
                        <w:r>
                          <w:rPr>
                            <w:rFonts w:ascii="宋体" w:hAnsi="宋体" w:cs="宋体" w:eastAsia="宋体" w:hint="default"/>
                            <w:spacing w:val="-5"/>
                            <w:w w:val="101"/>
                            <w:sz w:val="18"/>
                            <w:szCs w:val="18"/>
                          </w:rPr>
                          <w:t>安</w:t>
                        </w:r>
                        <w:r>
                          <w:rPr>
                            <w:rFonts w:ascii="宋体" w:hAnsi="宋体" w:cs="宋体" w:eastAsia="宋体" w:hint="default"/>
                            <w:w w:val="101"/>
                            <w:sz w:val="18"/>
                            <w:szCs w:val="18"/>
                          </w:rPr>
                          <w:t>数</w:t>
                        </w:r>
                        <w:r>
                          <w:rPr>
                            <w:rFonts w:ascii="宋体" w:hAnsi="宋体" w:cs="宋体" w:eastAsia="宋体" w:hint="default"/>
                            <w:spacing w:val="-5"/>
                            <w:w w:val="101"/>
                            <w:sz w:val="18"/>
                            <w:szCs w:val="18"/>
                          </w:rPr>
                          <w:t>字</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控</w:t>
                        </w:r>
                        <w:r>
                          <w:rPr>
                            <w:rFonts w:ascii="宋体" w:hAnsi="宋体" w:cs="宋体" w:eastAsia="宋体" w:hint="default"/>
                            <w:spacing w:val="-5"/>
                            <w:w w:val="101"/>
                            <w:sz w:val="18"/>
                            <w:szCs w:val="18"/>
                          </w:rPr>
                          <w:t>股</w:t>
                        </w:r>
                        <w:r>
                          <w:rPr>
                            <w:rFonts w:ascii="宋体" w:hAnsi="宋体" w:cs="宋体" w:eastAsia="宋体" w:hint="default"/>
                            <w:w w:val="101"/>
                            <w:sz w:val="18"/>
                            <w:szCs w:val="18"/>
                          </w:rPr>
                          <w:t>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北京华道征信有限公司，本公司参股公司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东亚前海证券有限责任公司，本公司参股公司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易安财产保险股份有限公司，本公司参股公司</w:t>
                        </w:r>
                      </w:p>
                    </w:tc>
                  </w:tr>
                  <w:tr>
                    <w:trPr>
                      <w:trHeight w:val="399"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票联金服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深圳票联金融服务有限公司，本公司参股公司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上海保险交易所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上海保险交易所股份有限公司，本公司参股公司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人民币元（人民币万元）</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金融科技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8"/>
                          <w:jc w:val="left"/>
                          <w:rPr>
                            <w:rFonts w:ascii="宋体" w:hAnsi="宋体" w:cs="宋体" w:eastAsia="宋体" w:hint="default"/>
                            <w:sz w:val="18"/>
                            <w:szCs w:val="18"/>
                          </w:rPr>
                        </w:pPr>
                        <w:r>
                          <w:rPr>
                            <w:rFonts w:ascii="宋体" w:hAnsi="宋体" w:cs="宋体" w:eastAsia="宋体" w:hint="default"/>
                            <w:spacing w:val="-3"/>
                            <w:sz w:val="18"/>
                            <w:szCs w:val="18"/>
                          </w:rPr>
                          <w:t>运用科技或数据驱动的手段，使得金融服务更加便利化、智能化，能够有效降低交易</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成本、提高金融业服务效率的技术或者产业。</w:t>
                        </w:r>
                      </w:p>
                    </w:tc>
                  </w:tr>
                  <w:tr>
                    <w:trPr>
                      <w:trHeight w:val="710"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8"/>
                          <w:jc w:val="left"/>
                          <w:rPr>
                            <w:rFonts w:ascii="宋体" w:hAnsi="宋体" w:cs="宋体" w:eastAsia="宋体" w:hint="default"/>
                            <w:sz w:val="18"/>
                            <w:szCs w:val="18"/>
                          </w:rPr>
                        </w:pPr>
                        <w:r>
                          <w:rPr>
                            <w:rFonts w:ascii="宋体" w:hAnsi="宋体" w:cs="宋体" w:eastAsia="宋体" w:hint="default"/>
                            <w:spacing w:val="-3"/>
                            <w:sz w:val="18"/>
                            <w:szCs w:val="18"/>
                          </w:rPr>
                          <w:t>金融行业利用信息技术，通过计算机软、硬件及服务，旨在提高业务效率、安全性或</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实现业务和管理创新模式的系统工程。本报告中特指公司在该领域所从事的业务。</w:t>
                        </w:r>
                      </w:p>
                    </w:tc>
                  </w:tr>
                  <w:tr>
                    <w:trPr>
                      <w:trHeight w:val="102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数字金融解决方案</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38"/>
                          <w:jc w:val="both"/>
                          <w:rPr>
                            <w:rFonts w:ascii="宋体" w:hAnsi="宋体" w:cs="宋体" w:eastAsia="宋体" w:hint="default"/>
                            <w:sz w:val="18"/>
                            <w:szCs w:val="18"/>
                          </w:rPr>
                        </w:pPr>
                        <w:r>
                          <w:rPr>
                            <w:rFonts w:ascii="宋体" w:hAnsi="宋体" w:cs="宋体" w:eastAsia="宋体" w:hint="default"/>
                            <w:spacing w:val="-3"/>
                            <w:sz w:val="18"/>
                            <w:szCs w:val="18"/>
                          </w:rPr>
                          <w:t>在金融机构以信息化、网络化、智能化为特征的数字化转型过程中，针对客户需求所</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提供的技术咨询、软件开发、运维支持、运营外包等技术方案和服务。本报告中特指</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公司在该领域所从事的业务。</w:t>
                        </w:r>
                      </w:p>
                    </w:tc>
                  </w:tr>
                  <w:tr>
                    <w:trPr>
                      <w:trHeight w:val="102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8"/>
                          <w:jc w:val="both"/>
                          <w:rPr>
                            <w:rFonts w:ascii="宋体" w:hAnsi="宋体" w:cs="宋体" w:eastAsia="宋体" w:hint="default"/>
                            <w:sz w:val="18"/>
                            <w:szCs w:val="18"/>
                          </w:rPr>
                        </w:pPr>
                        <w:r>
                          <w:rPr>
                            <w:rFonts w:ascii="宋体" w:hAnsi="宋体" w:cs="宋体" w:eastAsia="宋体" w:hint="default"/>
                            <w:spacing w:val="-3"/>
                            <w:sz w:val="18"/>
                            <w:szCs w:val="18"/>
                          </w:rPr>
                          <w:t>通过手机等移动终端和无线通信、无线上网技术进行信息传递，开展业务管理、营销</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管理、商务运营以及数据增值服务的商务服务活动。本报告中特指公司子公司亿美软</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通在该领域所从事的业务。</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在互联网环境下，基于浏览器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服务器应用方式，以网上交易和在线支付为特征，实现</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5"/>
                            <w:w w:val="101"/>
                            <w:sz w:val="18"/>
                            <w:szCs w:val="18"/>
                          </w:rPr>
                          <w:t>商品交换的商业运营模式。本报告中特指公司子公司安科创新在该领域所从事的业务</w:t>
                        </w:r>
                        <w:r>
                          <w:rPr>
                            <w:rFonts w:ascii="宋体" w:hAnsi="宋体" w:cs="宋体" w:eastAsia="宋体" w:hint="default"/>
                            <w:spacing w:val="-5"/>
                            <w:sz w:val="18"/>
                            <w:szCs w:val="18"/>
                          </w:rPr>
                        </w:r>
                      </w:p>
                    </w:tc>
                  </w:tr>
                  <w:tr>
                    <w:trPr>
                      <w:trHeight w:val="102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征信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8"/>
                          <w:jc w:val="both"/>
                          <w:rPr>
                            <w:rFonts w:ascii="宋体" w:hAnsi="宋体" w:cs="宋体" w:eastAsia="宋体" w:hint="default"/>
                            <w:sz w:val="18"/>
                            <w:szCs w:val="18"/>
                          </w:rPr>
                        </w:pPr>
                        <w:r>
                          <w:rPr>
                            <w:rFonts w:ascii="宋体" w:hAnsi="宋体" w:cs="宋体" w:eastAsia="宋体" w:hint="default"/>
                            <w:spacing w:val="-3"/>
                            <w:sz w:val="18"/>
                            <w:szCs w:val="18"/>
                          </w:rPr>
                          <w:t>通过专业化的、独立的第三方机构为个人或企业建立信用档案，依法采集、整理、保</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存、加工其信用信息，并对使用者提供信用信息服务的活动。根据信用评价对象的不</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同，分为企业征信和个人征信。</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个人征信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38"/>
                          <w:jc w:val="left"/>
                          <w:rPr>
                            <w:rFonts w:ascii="宋体" w:hAnsi="宋体" w:cs="宋体" w:eastAsia="宋体" w:hint="default"/>
                            <w:sz w:val="18"/>
                            <w:szCs w:val="18"/>
                          </w:rPr>
                        </w:pPr>
                        <w:r>
                          <w:rPr>
                            <w:rFonts w:ascii="宋体" w:hAnsi="宋体" w:cs="宋体" w:eastAsia="宋体" w:hint="default"/>
                            <w:spacing w:val="-3"/>
                            <w:sz w:val="18"/>
                            <w:szCs w:val="18"/>
                          </w:rPr>
                          <w:t>依法设立的个人信用征信机构对个人信用信息进行采集和加工，并根据用户要求提供</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个人信用信息查询和评估服务的活动。</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互联网保险</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实现保险信息咨询、产品设计、投保、交费、核保、承保、保单信息查询、保全变更</w:t>
                        </w:r>
                      </w:p>
                    </w:tc>
                  </w:tr>
                </w:tbl>
                <w:p>
                  <w:pPr/>
                </w:p>
              </w:txbxContent>
            </v:textbox>
            <w10:wrap type="none"/>
          </v:shape>
        </w:pict>
      </w:r>
      <w:r>
        <w:rPr>
          <w:w w:val="101"/>
        </w:rPr>
        <w:t>。</w:t>
      </w:r>
      <w:r>
        <w:rPr/>
      </w:r>
    </w:p>
    <w:p>
      <w:pPr>
        <w:spacing w:after="0" w:line="240" w:lineRule="auto"/>
        <w:jc w:val="right"/>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71"/>
        <w:gridCol w:w="566"/>
        <w:gridCol w:w="6737"/>
      </w:tblGrid>
      <w:tr>
        <w:trPr>
          <w:trHeight w:val="672" w:hRule="exact"/>
        </w:trPr>
        <w:tc>
          <w:tcPr>
            <w:tcW w:w="227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38"/>
              <w:jc w:val="left"/>
              <w:rPr>
                <w:rFonts w:ascii="宋体" w:hAnsi="宋体" w:cs="宋体" w:eastAsia="宋体" w:hint="default"/>
                <w:sz w:val="18"/>
                <w:szCs w:val="18"/>
              </w:rPr>
            </w:pPr>
            <w:r>
              <w:rPr>
                <w:rFonts w:ascii="宋体" w:hAnsi="宋体" w:cs="宋体" w:eastAsia="宋体" w:hint="default"/>
                <w:spacing w:val="-3"/>
                <w:sz w:val="18"/>
                <w:szCs w:val="18"/>
              </w:rPr>
              <w:t>和理赔等保险全过程的网络化，以互联网和电子商务技术为工具来支持保险销售的经</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营管理活动的新型保险业态。</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38"/>
              <w:jc w:val="left"/>
              <w:rPr>
                <w:rFonts w:ascii="宋体" w:hAnsi="宋体" w:cs="宋体" w:eastAsia="宋体" w:hint="default"/>
                <w:sz w:val="18"/>
                <w:szCs w:val="18"/>
              </w:rPr>
            </w:pPr>
            <w:r>
              <w:rPr>
                <w:rFonts w:ascii="宋体" w:hAnsi="宋体" w:cs="宋体" w:eastAsia="宋体" w:hint="default"/>
                <w:spacing w:val="-3"/>
                <w:sz w:val="18"/>
                <w:szCs w:val="18"/>
              </w:rPr>
              <w:t>达到足够量级的，经过新的处理模式能够具有更强的决策力、洞察发现力和流程优化</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能力，从而产生更广泛的市场价值的信息资产。</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37"/>
              <w:jc w:val="left"/>
              <w:rPr>
                <w:rFonts w:ascii="宋体" w:hAnsi="宋体" w:cs="宋体" w:eastAsia="宋体" w:hint="default"/>
                <w:sz w:val="18"/>
                <w:szCs w:val="18"/>
              </w:rPr>
            </w:pPr>
            <w:r>
              <w:rPr>
                <w:rFonts w:ascii="宋体" w:hAnsi="宋体" w:cs="宋体" w:eastAsia="宋体" w:hint="default"/>
                <w:spacing w:val="-3"/>
                <w:sz w:val="18"/>
                <w:szCs w:val="18"/>
              </w:rPr>
              <w:t>以大数据资源为基础，经过数据分析、挖掘和处理，为特定的市场需求提供以市场推</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广和精准营销为目标的有价值信息的服务活动。</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影像技术</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8"/>
              <w:jc w:val="left"/>
              <w:rPr>
                <w:rFonts w:ascii="宋体" w:hAnsi="宋体" w:cs="宋体" w:eastAsia="宋体" w:hint="default"/>
                <w:sz w:val="18"/>
                <w:szCs w:val="18"/>
              </w:rPr>
            </w:pPr>
            <w:r>
              <w:rPr>
                <w:rFonts w:ascii="宋体" w:hAnsi="宋体" w:cs="宋体" w:eastAsia="宋体" w:hint="default"/>
                <w:spacing w:val="-3"/>
                <w:sz w:val="18"/>
                <w:szCs w:val="18"/>
              </w:rPr>
              <w:t>对通过摄像、扫描等方式获得的数字图像进行传输、图像处理、识别、存储、管理等</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一系列信息化应用的技术。</w:t>
            </w:r>
          </w:p>
        </w:tc>
      </w:tr>
      <w:tr>
        <w:trPr>
          <w:trHeight w:val="710"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验印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8"/>
              <w:jc w:val="left"/>
              <w:rPr>
                <w:rFonts w:ascii="宋体" w:hAnsi="宋体" w:cs="宋体" w:eastAsia="宋体" w:hint="default"/>
                <w:sz w:val="18"/>
                <w:szCs w:val="18"/>
              </w:rPr>
            </w:pPr>
            <w:r>
              <w:rPr>
                <w:rFonts w:ascii="宋体" w:hAnsi="宋体" w:cs="宋体" w:eastAsia="宋体" w:hint="default"/>
                <w:spacing w:val="-3"/>
                <w:sz w:val="18"/>
                <w:szCs w:val="18"/>
              </w:rPr>
              <w:t>银行在受理诸如支票等涉及客户签章的业务时，核对客户签章与预留银行的签章是否</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相符的业务操作程序。</w:t>
            </w:r>
          </w:p>
        </w:tc>
      </w:tr>
      <w:tr>
        <w:trPr>
          <w:trHeight w:val="102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流程银行</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8"/>
              <w:jc w:val="both"/>
              <w:rPr>
                <w:rFonts w:ascii="宋体" w:hAnsi="宋体" w:cs="宋体" w:eastAsia="宋体" w:hint="default"/>
                <w:sz w:val="18"/>
                <w:szCs w:val="18"/>
              </w:rPr>
            </w:pPr>
            <w:r>
              <w:rPr>
                <w:rFonts w:ascii="宋体" w:hAnsi="宋体" w:cs="宋体" w:eastAsia="宋体" w:hint="default"/>
                <w:spacing w:val="-3"/>
                <w:sz w:val="18"/>
                <w:szCs w:val="18"/>
              </w:rPr>
              <w:t>通过重新构造银行的业务流程、组织流程、管理流程，改造传统的银行模式，形成以</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流程为核心的全新的银行模式。本报告中多特指商业银行为达到以上变革目的而进行</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的信息化建设。</w:t>
            </w:r>
          </w:p>
        </w:tc>
      </w:tr>
      <w:tr>
        <w:trPr>
          <w:trHeight w:val="102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智能印控机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以机电一体化盖章方式代替人工盖章，并运用电子图像对比处理技术对盖章整个过程</w:t>
            </w:r>
          </w:p>
          <w:p>
            <w:pPr>
              <w:pStyle w:val="TableParagraph"/>
              <w:spacing w:line="321" w:lineRule="auto" w:before="76"/>
              <w:ind w:left="23" w:right="38"/>
              <w:jc w:val="left"/>
              <w:rPr>
                <w:rFonts w:ascii="宋体" w:hAnsi="宋体" w:cs="宋体" w:eastAsia="宋体" w:hint="default"/>
                <w:sz w:val="18"/>
                <w:szCs w:val="18"/>
              </w:rPr>
            </w:pPr>
            <w:r>
              <w:rPr>
                <w:rFonts w:ascii="宋体" w:hAnsi="宋体" w:cs="宋体" w:eastAsia="宋体" w:hint="default"/>
                <w:spacing w:val="-3"/>
                <w:sz w:val="18"/>
                <w:szCs w:val="18"/>
              </w:rPr>
              <w:t>（凭证放置、找章、盖章、登记、检查）进行实时监控的专用设备，是目前唯一运用</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电子技术服务于银行印章风险管控的电子设备和系统。</w:t>
            </w:r>
          </w:p>
        </w:tc>
      </w:tr>
    </w:tbl>
    <w:p>
      <w:pPr>
        <w:spacing w:after="0" w:line="321"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Heading1"/>
        <w:spacing w:line="240" w:lineRule="auto"/>
        <w:ind w:left="2645" w:right="1055"/>
        <w:jc w:val="left"/>
        <w:rPr>
          <w:b w:val="0"/>
          <w:bCs w:val="0"/>
        </w:rPr>
      </w:pP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55"/>
        <w:jc w:val="left"/>
        <w:rPr>
          <w:b w:val="0"/>
          <w:bCs w:val="0"/>
        </w:rPr>
      </w:pPr>
      <w:r>
        <w:rPr/>
        <w:pict>
          <v:shape style="position:absolute;margin-left:165.154572pt;margin-top:115.175613pt;width:370.05pt;height:19.45pt;mso-position-horizontal-relative:page;mso-position-vertical-relative:paragraph;z-index:-821440"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300085</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深圳市银之杰科技股份有限公司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银之杰</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Shenzhen </w:t>
            </w:r>
            <w:r>
              <w:rPr>
                <w:rFonts w:ascii="Times New Roman"/>
                <w:spacing w:val="-3"/>
                <w:sz w:val="18"/>
              </w:rPr>
              <w:t>InfoGem Technologies Co., </w:t>
            </w:r>
            <w:r>
              <w:rPr>
                <w:rFonts w:ascii="Times New Roman"/>
                <w:spacing w:val="13"/>
                <w:sz w:val="18"/>
              </w:rPr>
              <w:t> </w:t>
            </w:r>
            <w:r>
              <w:rPr>
                <w:rFonts w:ascii="Times New Roman"/>
                <w:spacing w:val="-3"/>
                <w:sz w:val="18"/>
              </w:rPr>
              <w:t>Ltd.</w:t>
            </w:r>
          </w:p>
        </w:tc>
      </w:tr>
      <w:tr>
        <w:trPr>
          <w:trHeight w:val="398" w:hRule="exact"/>
        </w:trPr>
        <w:tc>
          <w:tcPr>
            <w:tcW w:w="228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289" w:type="dxa"/>
            <w:gridSpan w:val="3"/>
            <w:tcBorders>
              <w:top w:val="single" w:sz="4" w:space="0" w:color="000000"/>
              <w:left w:val="single" w:sz="13" w:space="0" w:color="FFFFFF"/>
              <w:bottom w:val="single" w:sz="4" w:space="0" w:color="000000"/>
              <w:right w:val="single" w:sz="14" w:space="0" w:color="FFFFFF"/>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InfoGem</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陈向军</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 </w:t>
            </w:r>
            <w:r>
              <w:rPr>
                <w:rFonts w:ascii="Times New Roman" w:hAnsi="Times New Roman" w:cs="Times New Roman" w:eastAsia="Times New Roman" w:hint="default"/>
                <w:spacing w:val="-4"/>
                <w:sz w:val="18"/>
                <w:szCs w:val="18"/>
              </w:rPr>
              <w:t>AB </w:t>
            </w:r>
            <w:r>
              <w:rPr>
                <w:rFonts w:ascii="宋体" w:hAnsi="宋体" w:cs="宋体" w:eastAsia="宋体" w:hint="default"/>
                <w:sz w:val="18"/>
                <w:szCs w:val="18"/>
              </w:rPr>
              <w:t>座</w:t>
            </w:r>
            <w:r>
              <w:rPr>
                <w:rFonts w:ascii="宋体" w:hAnsi="宋体" w:cs="宋体" w:eastAsia="宋体" w:hint="default"/>
                <w:spacing w:val="-74"/>
                <w:sz w:val="18"/>
                <w:szCs w:val="18"/>
              </w:rPr>
              <w:t> </w:t>
            </w:r>
            <w:r>
              <w:rPr>
                <w:rFonts w:ascii="Times New Roman" w:hAnsi="Times New Roman" w:cs="Times New Roman" w:eastAsia="Times New Roman" w:hint="default"/>
                <w:spacing w:val="-4"/>
                <w:sz w:val="18"/>
                <w:szCs w:val="18"/>
              </w:rPr>
              <w:t>10-A1</w:t>
            </w:r>
            <w:r>
              <w:rPr>
                <w:rFonts w:ascii="Times New Roman" w:hAnsi="Times New Roman" w:cs="Times New Roman" w:eastAsia="Times New Roman" w:hint="default"/>
                <w:sz w:val="18"/>
                <w:szCs w:val="18"/>
              </w:rPr>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2"/>
                <w:sz w:val="18"/>
                <w:szCs w:val="18"/>
              </w:rPr>
              <w:t> </w:t>
            </w:r>
            <w:r>
              <w:rPr>
                <w:rFonts w:ascii="宋体" w:hAnsi="宋体" w:cs="宋体" w:eastAsia="宋体" w:hint="default"/>
                <w:sz w:val="18"/>
                <w:szCs w:val="18"/>
              </w:rPr>
              <w:t>AB</w:t>
            </w:r>
            <w:r>
              <w:rPr>
                <w:rFonts w:ascii="宋体" w:hAnsi="宋体" w:cs="宋体" w:eastAsia="宋体" w:hint="default"/>
                <w:spacing w:val="-42"/>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宋体" w:hAnsi="宋体" w:cs="宋体" w:eastAsia="宋体" w:hint="default"/>
                <w:sz w:val="18"/>
                <w:szCs w:val="18"/>
              </w:rPr>
              <w:t>10A</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518048</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www.yinzhijie.com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invest@yinzhijie.com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055"/>
        <w:jc w:val="left"/>
        <w:rPr>
          <w:b w:val="0"/>
          <w:bCs w:val="0"/>
        </w:rPr>
      </w:pP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71"/>
        <w:gridCol w:w="3683"/>
        <w:gridCol w:w="3621"/>
      </w:tblGrid>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苏士敏</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10A</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深圳市福田区天安数码城天祥大厦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AB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10A</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0755-83930085</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0755-83930085</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0755-83562955</w:t>
            </w:r>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0755-83562955</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liuyi@yinzhijie.com</w:t>
              </w:r>
            </w:hyperlink>
          </w:p>
        </w:tc>
        <w:tc>
          <w:tcPr>
            <w:tcW w:w="3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2">
              <w:r>
                <w:rPr>
                  <w:rFonts w:ascii="Times New Roman"/>
                  <w:sz w:val="18"/>
                </w:rPr>
                <w:t>sushimin@yinzhijie.com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055"/>
        <w:jc w:val="left"/>
        <w:rPr>
          <w:b w:val="0"/>
          <w:bCs w:val="0"/>
        </w:rPr>
      </w:pP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95"/>
        <w:gridCol w:w="5575"/>
      </w:tblGrid>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98"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1055"/>
        <w:jc w:val="left"/>
        <w:rPr>
          <w:b w:val="0"/>
          <w:bCs w:val="0"/>
        </w:rPr>
      </w:pP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055"/>
        <w:jc w:val="left"/>
      </w:pPr>
      <w:r>
        <w:rPr>
          <w:spacing w:val="-3"/>
        </w:rPr>
        <w:t>公司聘请的会计师事务所</w:t>
      </w:r>
    </w:p>
    <w:p>
      <w:pPr>
        <w:spacing w:after="0" w:line="240" w:lineRule="auto"/>
        <w:jc w:val="lef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张翎、昝丽涛</w:t>
            </w:r>
          </w:p>
        </w:tc>
      </w:tr>
    </w:tbl>
    <w:p>
      <w:pPr>
        <w:pStyle w:val="BodyText"/>
        <w:spacing w:line="240" w:lineRule="auto" w:before="53"/>
        <w:ind w:right="1055"/>
        <w:jc w:val="left"/>
      </w:pPr>
      <w:r>
        <w:rPr>
          <w:spacing w:val="-3"/>
        </w:rPr>
        <w:t>公司聘请的报告期内履行持续督导职责的保荐机构</w:t>
      </w:r>
    </w:p>
    <w:p>
      <w:pPr>
        <w:pStyle w:val="BodyText"/>
        <w:spacing w:line="240" w:lineRule="auto" w:before="119"/>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65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长江证券承销保荐有限公司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上海市浦东新区世纪大道</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号世纪汇一座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李卫、曹霞</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至公司募集资金使用完毕为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止，且公司非公开发行股票上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市当年的剩余时间及其后的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7"/>
                <w:sz w:val="18"/>
                <w:szCs w:val="18"/>
              </w:rPr>
              <w:t>两个完整会计年度（即至</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2019</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pStyle w:val="BodyText"/>
        <w:spacing w:line="240" w:lineRule="auto" w:before="53"/>
        <w:ind w:right="1055"/>
        <w:jc w:val="left"/>
      </w:pPr>
      <w:r>
        <w:rPr>
          <w:spacing w:val="-3"/>
        </w:rPr>
        <w:t>公司聘请的报告期内履行持续督导职责的财务顾问</w:t>
      </w:r>
    </w:p>
    <w:p>
      <w:pPr>
        <w:pStyle w:val="BodyText"/>
        <w:spacing w:line="240" w:lineRule="auto" w:before="120"/>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055"/>
        <w:jc w:val="left"/>
      </w:pPr>
      <w:r>
        <w:rPr>
          <w:spacing w:val="-3"/>
        </w:rPr>
        <w:t>公司是否需追溯调整或重述以前年度会计数据</w:t>
      </w:r>
    </w:p>
    <w:p>
      <w:pPr>
        <w:pStyle w:val="BodyText"/>
        <w:spacing w:line="240" w:lineRule="auto" w:before="115"/>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2"/>
        <w:gridCol w:w="1739"/>
        <w:gridCol w:w="1738"/>
        <w:gridCol w:w="1738"/>
        <w:gridCol w:w="1739"/>
      </w:tblGrid>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1,299,251,173.43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1,147,678,765.17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937,521,065.73</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35,750,737.69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22,238,457.43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80,796,778.02</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1,200,754.63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16,246,828.65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78,200,858.75</w:t>
            </w:r>
          </w:p>
        </w:tc>
      </w:tr>
      <w:tr>
        <w:trPr>
          <w:trHeight w:val="71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97,185,860.43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-69,662,634.00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239.51%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47,669,699.73</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0.0506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0.1182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0.0506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0.1182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+0.68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百分点</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8.66%</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5"/>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2,154,554,005.56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2,218,493,975.70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1,491,478,538.72</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1,351,266,299.89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1,323,116,353.10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967,853,055.95</w:t>
            </w:r>
          </w:p>
        </w:tc>
      </w:tr>
    </w:tbl>
    <w:p>
      <w:pPr>
        <w:spacing w:line="240" w:lineRule="auto" w:before="9"/>
        <w:rPr>
          <w:rFonts w:ascii="宋体" w:hAnsi="宋体" w:cs="宋体" w:eastAsia="宋体" w:hint="default"/>
          <w:sz w:val="17"/>
          <w:szCs w:val="17"/>
        </w:rPr>
      </w:pPr>
    </w:p>
    <w:p>
      <w:pPr>
        <w:pStyle w:val="Heading2"/>
        <w:spacing w:line="240" w:lineRule="auto" w:before="26"/>
        <w:ind w:right="1055"/>
        <w:jc w:val="left"/>
        <w:rPr>
          <w:b w:val="0"/>
          <w:bCs w:val="0"/>
        </w:rPr>
      </w:pP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4"/>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280,440,060.58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356,857,593.55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343,686,449.42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318,267,069.88</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-15,964,291.67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17,245,852.71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2,355,441.81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32,113,734.84</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-17,713,364.19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15,506,166.89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2,167,205.44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1,240,746.49</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-75,371,792.60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-16,429,610.64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-33,900,281.19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222,887,544.86</w:t>
            </w:r>
          </w:p>
        </w:tc>
      </w:tr>
    </w:tbl>
    <w:p>
      <w:pPr>
        <w:pStyle w:val="BodyText"/>
        <w:spacing w:line="240" w:lineRule="auto" w:before="53"/>
        <w:ind w:right="1055"/>
        <w:jc w:val="left"/>
      </w:pPr>
      <w:r>
        <w:rPr>
          <w:spacing w:val="-3"/>
        </w:rPr>
        <w:t>上述财务指标或其加总数是否与公司已披露季度报告、半年度报告相关财务指标存在重大差异</w:t>
      </w:r>
    </w:p>
    <w:p>
      <w:pPr>
        <w:pStyle w:val="BodyText"/>
        <w:spacing w:line="240" w:lineRule="auto" w:before="119"/>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1641"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13"/>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1641"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20"/>
          <w:szCs w:val="20"/>
        </w:rPr>
      </w:pPr>
    </w:p>
    <w:p>
      <w:pPr>
        <w:pStyle w:val="Heading2"/>
        <w:spacing w:line="240" w:lineRule="auto"/>
        <w:ind w:right="1055"/>
        <w:jc w:val="left"/>
        <w:rPr>
          <w:b w:val="0"/>
          <w:bCs w:val="0"/>
        </w:rPr>
      </w:pPr>
      <w:r>
        <w:rPr/>
        <w:t>八、非经常性损益项目及金额</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3"/>
        <w:gridCol w:w="1709"/>
      </w:tblGrid>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35,462,882.06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123,741.16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19,533.83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8"/>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6,398,779.75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3,751,896.03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2,967,650.88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1517" w:type="dxa"/>
            <w:tcBorders>
              <w:top w:val="single" w:sz="4" w:space="0" w:color="000000"/>
              <w:left w:val="single" w:sz="13"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3,587,507.98</w:t>
            </w:r>
          </w:p>
        </w:tc>
        <w:tc>
          <w:tcPr>
            <w:tcW w:w="152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161,902.13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-379,091.63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134,471.72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6,314,825.19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1,066,571.28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477,889.72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1,158,755.69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25,853.48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47,847.44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34,549,983.06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5,991,628.78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2,595,919.27</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055"/>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spacing w:val="1"/>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240" w:lineRule="auto" w:before="58"/>
        <w:ind w:right="1055"/>
        <w:jc w:val="left"/>
      </w:pPr>
      <w:r>
        <w:rPr>
          <w:spacing w:val="-3"/>
        </w:rPr>
        <w:t>开发行证券的公司信息披露解释性公告第 </w:t>
      </w: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p>
    <w:p>
      <w:pPr>
        <w:spacing w:after="0" w:line="240"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1055"/>
        <w:jc w:val="left"/>
      </w:pPr>
      <w:r>
        <w:rPr/>
        <w:t>说明原因</w:t>
      </w:r>
    </w:p>
    <w:p>
      <w:pPr>
        <w:pStyle w:val="BodyText"/>
        <w:spacing w:line="415" w:lineRule="auto" w:before="115"/>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公司报告期不存在将根据《公开发行证券的公司信息披露解释性公告第</w:t>
      </w:r>
      <w:r>
        <w:rPr>
          <w:rFonts w:ascii="宋体" w:hAnsi="宋体" w:cs="宋体" w:eastAsia="宋体" w:hint="default"/>
          <w:spacing w:val="-3"/>
        </w:rPr>
        <w:t>1</w:t>
      </w:r>
      <w:r>
        <w:rPr>
          <w:spacing w:val="-3"/>
        </w:rPr>
        <w:t>号——非经常性损益》定义、列举的非经常性</w:t>
      </w:r>
    </w:p>
    <w:p>
      <w:pPr>
        <w:pStyle w:val="BodyText"/>
        <w:spacing w:line="240" w:lineRule="auto" w:before="99"/>
        <w:ind w:right="1055"/>
        <w:jc w:val="left"/>
      </w:pPr>
      <w:r>
        <w:rPr>
          <w:spacing w:val="-3"/>
        </w:rPr>
        <w:t>损益项目界定为经常性损益的项目的情形。</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447" w:right="1055"/>
        <w:jc w:val="left"/>
        <w:rPr>
          <w:b w:val="0"/>
          <w:bCs w:val="0"/>
        </w:rPr>
      </w:pPr>
      <w:bookmarkStart w:name="_bookmark1" w:id="2"/>
      <w:bookmarkEnd w:id="2"/>
      <w:r>
        <w:rPr>
          <w:b w:val="0"/>
          <w:bCs w:val="0"/>
        </w:rPr>
      </w:r>
      <w:r>
        <w:rPr/>
        <w:t>第三节 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r>
        <w:rPr/>
        <w:t>一、</w:t>
      </w:r>
      <w:r>
        <w:rPr>
          <w:spacing w:val="-100"/>
        </w:rPr>
        <w:t> </w:t>
      </w:r>
      <w:r>
        <w:rPr/>
        <w:t>报告期内公司从事的主要业务</w:t>
      </w:r>
      <w:r>
        <w:rPr>
          <w:b w:val="0"/>
          <w:bCs w:val="0"/>
        </w:rPr>
      </w:r>
    </w:p>
    <w:p>
      <w:pPr>
        <w:spacing w:line="240" w:lineRule="auto" w:before="6"/>
        <w:rPr>
          <w:rFonts w:ascii="宋体" w:hAnsi="宋体" w:cs="宋体" w:eastAsia="宋体" w:hint="default"/>
          <w:b/>
          <w:bCs/>
          <w:sz w:val="33"/>
          <w:szCs w:val="33"/>
        </w:rPr>
      </w:pPr>
    </w:p>
    <w:p>
      <w:pPr>
        <w:pStyle w:val="BodyText"/>
        <w:spacing w:line="475" w:lineRule="auto"/>
        <w:ind w:right="1055" w:firstLine="360"/>
        <w:jc w:val="left"/>
      </w:pPr>
      <w:r>
        <w:rPr>
          <w:spacing w:val="-5"/>
        </w:rPr>
        <w:t>报告期内，公司的主营业务涉及金融信息化、移动信息服务、电子商务三大领域。同时，按照公司战略发展规划，公司</w:t>
      </w:r>
      <w:r>
        <w:rPr>
          <w:w w:val="101"/>
        </w:rPr>
        <w:t> </w:t>
      </w:r>
      <w:r>
        <w:rPr>
          <w:spacing w:val="-4"/>
        </w:rPr>
        <w:t>依托自身的技术、客户资源、行业服务经验等优势，积极推进在金融科技领域的业务延伸发展。通过投资发展个人征信等金</w:t>
      </w:r>
      <w:r>
        <w:rPr>
          <w:spacing w:val="41"/>
        </w:rPr>
        <w:t> </w:t>
      </w:r>
      <w:r>
        <w:rPr>
          <w:spacing w:val="41"/>
        </w:rPr>
      </w:r>
      <w:r>
        <w:rPr>
          <w:spacing w:val="-3"/>
        </w:rPr>
        <w:t>融基础服务业务，以及参与发起设立互联网保险、证券等金融服务机构，构建以金融科技为基础的综合金融生态服务体系，</w:t>
      </w:r>
      <w:r>
        <w:rPr>
          <w:spacing w:val="66"/>
        </w:rPr>
        <w:t> </w:t>
      </w:r>
      <w:r>
        <w:rPr>
          <w:spacing w:val="66"/>
        </w:rPr>
      </w:r>
      <w:r>
        <w:rPr>
          <w:spacing w:val="-3"/>
        </w:rPr>
        <w:t>为国内金融机构、互联网金融企业、个人消费者提供全面的创新金融科技服务。</w:t>
      </w:r>
    </w:p>
    <w:p>
      <w:pPr>
        <w:pStyle w:val="BodyText"/>
        <w:spacing w:line="240" w:lineRule="auto" w:before="58"/>
        <w:ind w:left="604" w:right="1055"/>
        <w:jc w:val="left"/>
      </w:pPr>
      <w:r>
        <w:rPr>
          <w:spacing w:val="-3"/>
        </w:rPr>
        <w:t>一、金融信息化</w:t>
      </w:r>
    </w:p>
    <w:p>
      <w:pPr>
        <w:spacing w:line="240" w:lineRule="auto" w:before="8"/>
        <w:rPr>
          <w:rFonts w:ascii="宋体" w:hAnsi="宋体" w:cs="宋体" w:eastAsia="宋体" w:hint="default"/>
          <w:sz w:val="17"/>
          <w:szCs w:val="17"/>
        </w:rPr>
      </w:pPr>
    </w:p>
    <w:p>
      <w:pPr>
        <w:pStyle w:val="BodyText"/>
        <w:spacing w:line="480" w:lineRule="auto"/>
        <w:ind w:left="513" w:right="1055"/>
        <w:jc w:val="left"/>
      </w:pPr>
      <w:r>
        <w:rPr/>
        <w:t>（一）主要业务和产品</w:t>
      </w:r>
      <w:r>
        <w:rPr>
          <w:spacing w:val="-86"/>
        </w:rPr>
        <w:t> </w:t>
      </w:r>
      <w:r>
        <w:rPr>
          <w:spacing w:val="-86"/>
        </w:rPr>
      </w:r>
      <w:r>
        <w:rPr>
          <w:spacing w:val="-5"/>
        </w:rPr>
        <w:t>在金融信息化业务领域，公司主要为银行等金融机构提供与支付结算、风险防控、业务流程再造、数字化转型、自助服</w:t>
      </w:r>
    </w:p>
    <w:p>
      <w:pPr>
        <w:pStyle w:val="BodyText"/>
        <w:spacing w:line="477" w:lineRule="auto" w:before="50"/>
        <w:ind w:right="1123"/>
        <w:jc w:val="both"/>
      </w:pPr>
      <w:r>
        <w:rPr>
          <w:spacing w:val="-4"/>
        </w:rPr>
        <w:t>务等业务相关的软件产品、软件开发、金融专用设备和技术服务。主要软件产品和服务包括电脑验印系统、票据影像化处理</w:t>
      </w:r>
      <w:r>
        <w:rPr>
          <w:spacing w:val="40"/>
        </w:rPr>
        <w:t> </w:t>
      </w:r>
      <w:r>
        <w:rPr>
          <w:spacing w:val="40"/>
        </w:rPr>
      </w:r>
      <w:r>
        <w:rPr>
          <w:spacing w:val="-4"/>
        </w:rPr>
        <w:t>软件、金融服务基础平台开发、数字金融应用开发、大数据开发服务、软件外包服务等；主要金融专用设备产品包括智能印</w:t>
      </w:r>
      <w:r>
        <w:rPr>
          <w:spacing w:val="40"/>
        </w:rPr>
        <w:t> </w:t>
      </w:r>
      <w:r>
        <w:rPr>
          <w:spacing w:val="40"/>
        </w:rPr>
      </w:r>
      <w:r>
        <w:rPr>
          <w:spacing w:val="-3"/>
        </w:rPr>
        <w:t>章控制机、高拍仪、回单自助打印机等。</w:t>
      </w:r>
    </w:p>
    <w:p>
      <w:pPr>
        <w:pStyle w:val="BodyText"/>
        <w:spacing w:line="477" w:lineRule="auto" w:before="56"/>
        <w:ind w:right="1124" w:firstLine="360"/>
        <w:jc w:val="both"/>
      </w:pPr>
      <w:r>
        <w:rPr>
          <w:spacing w:val="-3"/>
        </w:rPr>
        <w:t>报告期内，公司中标并实施了中国农业银行印控仪项目，涉及标的产品的合同总金额约为</w:t>
      </w:r>
      <w:r>
        <w:rPr>
          <w:rFonts w:ascii="宋体" w:hAnsi="宋体" w:cs="宋体" w:eastAsia="宋体" w:hint="default"/>
          <w:spacing w:val="-3"/>
        </w:rPr>
        <w:t>2.3</w:t>
      </w:r>
      <w:r>
        <w:rPr>
          <w:spacing w:val="-3"/>
        </w:rPr>
        <w:t>亿元，推动公司</w:t>
      </w:r>
      <w:r>
        <w:rPr>
          <w:rFonts w:ascii="宋体" w:hAnsi="宋体" w:cs="宋体" w:eastAsia="宋体" w:hint="default"/>
          <w:spacing w:val="-3"/>
        </w:rPr>
        <w:t>2018</w:t>
      </w:r>
      <w:r>
        <w:rPr>
          <w:spacing w:val="-3"/>
        </w:rPr>
        <w:t>年度</w:t>
      </w:r>
      <w:r>
        <w:rPr>
          <w:w w:val="101"/>
        </w:rPr>
        <w:t> </w:t>
      </w:r>
      <w:r>
        <w:rPr>
          <w:spacing w:val="-4"/>
        </w:rPr>
        <w:t>金融信息化业务的经营业绩较上年度有较大幅度的增长。报告期内，公司金融信息化业务在数字金融解决方案领域的产品和</w:t>
      </w:r>
      <w:r>
        <w:rPr>
          <w:spacing w:val="44"/>
        </w:rPr>
        <w:t> </w:t>
      </w:r>
      <w:r>
        <w:rPr>
          <w:spacing w:val="44"/>
        </w:rPr>
      </w:r>
      <w:r>
        <w:rPr>
          <w:spacing w:val="-3"/>
        </w:rPr>
        <w:t>服务内容进一步拓展和丰富，主要业务和产品未发生重大变化。</w:t>
      </w:r>
    </w:p>
    <w:p>
      <w:pPr>
        <w:pStyle w:val="BodyText"/>
        <w:spacing w:line="480" w:lineRule="auto" w:before="52"/>
        <w:ind w:left="513" w:right="8420"/>
        <w:jc w:val="left"/>
      </w:pPr>
      <w:r>
        <w:rPr>
          <w:spacing w:val="-3"/>
        </w:rPr>
        <w:t>（二）经营模式</w:t>
      </w:r>
      <w:r>
        <w:rPr>
          <w:spacing w:val="-68"/>
        </w:rPr>
        <w:t> </w:t>
      </w:r>
      <w:r>
        <w:rPr>
          <w:spacing w:val="-68"/>
        </w:rPr>
      </w:r>
      <w:r>
        <w:rPr>
          <w:rFonts w:ascii="宋体" w:hAnsi="宋体" w:cs="宋体" w:eastAsia="宋体" w:hint="default"/>
          <w:spacing w:val="-2"/>
        </w:rPr>
        <w:t>1</w:t>
      </w:r>
      <w:r>
        <w:rPr>
          <w:spacing w:val="-2"/>
        </w:rPr>
        <w:t>、生产和开发模式</w:t>
      </w:r>
    </w:p>
    <w:p>
      <w:pPr>
        <w:pStyle w:val="BodyText"/>
        <w:spacing w:line="477" w:lineRule="auto" w:before="50"/>
        <w:ind w:right="1055" w:firstLine="360"/>
        <w:jc w:val="left"/>
      </w:pPr>
      <w:r>
        <w:rPr>
          <w:spacing w:val="-4"/>
        </w:rPr>
        <w:t>公司以银行、证券、保险等金融机构为主要目标客户，提供的软件和硬件产品均以自主知识产权的产品为主，同时为客</w:t>
      </w:r>
      <w:r>
        <w:rPr>
          <w:w w:val="101"/>
        </w:rPr>
        <w:t> </w:t>
      </w:r>
      <w:r>
        <w:rPr>
          <w:spacing w:val="-4"/>
        </w:rPr>
        <w:t>户提供定制软件开发、软件外包、运维支持等服务。公司的软件产品是根据客户共性需求自主开发的标准化软件版本；软件</w:t>
      </w:r>
      <w:r>
        <w:rPr>
          <w:spacing w:val="40"/>
        </w:rPr>
        <w:t> </w:t>
      </w:r>
      <w:r>
        <w:rPr>
          <w:spacing w:val="40"/>
        </w:rPr>
      </w:r>
      <w:r>
        <w:rPr>
          <w:spacing w:val="-3"/>
        </w:rPr>
        <w:t>开发是针对客户的特殊需求提供的定制化软件开发、软件外包开发服务。公司的金融专用设备以自主研发的方式形成产品，</w:t>
      </w:r>
      <w:r>
        <w:rPr>
          <w:spacing w:val="66"/>
        </w:rPr>
        <w:t> </w:t>
      </w:r>
      <w:r>
        <w:rPr>
          <w:spacing w:val="66"/>
        </w:rPr>
      </w:r>
      <w:r>
        <w:rPr>
          <w:spacing w:val="-3"/>
        </w:rPr>
        <w:t>通过自主加工和委外加工相结合的生产模式进行生产。</w:t>
      </w:r>
    </w:p>
    <w:p>
      <w:pPr>
        <w:pStyle w:val="BodyText"/>
        <w:spacing w:line="480" w:lineRule="auto" w:before="52"/>
        <w:ind w:left="513" w:right="1055"/>
        <w:jc w:val="left"/>
      </w:pPr>
      <w:r>
        <w:rPr>
          <w:rFonts w:ascii="宋体" w:hAnsi="宋体" w:cs="宋体" w:eastAsia="宋体" w:hint="default"/>
        </w:rPr>
        <w:t>2</w:t>
      </w:r>
      <w:r>
        <w:rPr/>
        <w:t>、销售模式</w:t>
      </w:r>
      <w:r>
        <w:rPr>
          <w:spacing w:val="-87"/>
        </w:rPr>
        <w:t> </w:t>
      </w:r>
      <w:r>
        <w:rPr>
          <w:spacing w:val="-87"/>
        </w:rPr>
      </w:r>
      <w:r>
        <w:rPr>
          <w:spacing w:val="-5"/>
        </w:rPr>
        <w:t>公司软件产品、软件开发服务、金融专用设备的客户主要是以银行为主的金融机构。对于国有大型商业银行，通常是总</w:t>
      </w:r>
    </w:p>
    <w:p>
      <w:pPr>
        <w:pStyle w:val="BodyText"/>
        <w:spacing w:line="477" w:lineRule="auto" w:before="50"/>
        <w:ind w:right="1123"/>
        <w:jc w:val="both"/>
      </w:pPr>
      <w:r>
        <w:rPr>
          <w:spacing w:val="-4"/>
        </w:rPr>
        <w:t>行或者省一级分行实施采购；对于股份制商业银行、城市商业银行、农村商业银行通常是上述银行的总行实施采购。销售模</w:t>
      </w:r>
      <w:r>
        <w:rPr>
          <w:spacing w:val="40"/>
        </w:rPr>
        <w:t> </w:t>
      </w:r>
      <w:r>
        <w:rPr>
          <w:spacing w:val="40"/>
        </w:rPr>
      </w:r>
      <w:r>
        <w:rPr>
          <w:spacing w:val="-5"/>
        </w:rPr>
        <w:t>式是：</w:t>
      </w:r>
      <w:r>
        <w:rPr>
          <w:rFonts w:ascii="宋体" w:hAnsi="宋体" w:cs="宋体" w:eastAsia="宋体" w:hint="default"/>
          <w:spacing w:val="-5"/>
        </w:rPr>
        <w:t>1</w:t>
      </w:r>
      <w:r>
        <w:rPr>
          <w:spacing w:val="-5"/>
        </w:rPr>
        <w:t>）公司主要通过参与客户的招标或者单一来源采购谈判进行销售，来实现客户对具体产品或服务的首次采购；</w:t>
      </w:r>
      <w:r>
        <w:rPr>
          <w:rFonts w:ascii="宋体" w:hAnsi="宋体" w:cs="宋体" w:eastAsia="宋体" w:hint="default"/>
          <w:spacing w:val="-5"/>
        </w:rPr>
        <w:t>2</w:t>
      </w:r>
      <w:r>
        <w:rPr>
          <w:spacing w:val="-5"/>
        </w:rPr>
        <w:t>）对</w:t>
      </w:r>
      <w:r>
        <w:rPr>
          <w:spacing w:val="2"/>
        </w:rPr>
        <w:t> </w:t>
      </w:r>
      <w:r>
        <w:rPr>
          <w:spacing w:val="-3"/>
        </w:rPr>
        <w:t>于在合同有效期内客户对已采购产品或服务的追加购买，一般通过与客户直接签订追加采购合同或订单完成销售。</w:t>
      </w:r>
    </w:p>
    <w:p>
      <w:pPr>
        <w:pStyle w:val="BodyText"/>
        <w:spacing w:line="240" w:lineRule="auto" w:before="56"/>
        <w:ind w:left="513" w:right="1055"/>
        <w:jc w:val="left"/>
      </w:pPr>
      <w:r>
        <w:rPr>
          <w:rFonts w:ascii="宋体" w:hAnsi="宋体" w:cs="宋体" w:eastAsia="宋体" w:hint="default"/>
        </w:rPr>
        <w:t>3</w:t>
      </w:r>
      <w:r>
        <w:rPr/>
        <w:t>、盈利模式</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22" w:firstLine="360"/>
        <w:jc w:val="both"/>
      </w:pPr>
      <w:r>
        <w:rPr>
          <w:spacing w:val="-5"/>
        </w:rPr>
        <w:t>对于软件产品，公司主要是在产品向客户完成供货、安装调试并验收合格后实现收入；对于金融专用设备，公司主要是</w:t>
      </w:r>
      <w:r>
        <w:rPr>
          <w:w w:val="101"/>
        </w:rPr>
        <w:t> </w:t>
      </w:r>
      <w:r>
        <w:rPr>
          <w:spacing w:val="-4"/>
        </w:rPr>
        <w:t>在设备发货、客户签收后实现收入；对于软件开发项目，公司主要是在投入开发人力按照客户业务需求和进度计划完成开发</w:t>
      </w:r>
      <w:r>
        <w:rPr>
          <w:spacing w:val="38"/>
        </w:rPr>
        <w:t> </w:t>
      </w:r>
      <w:r>
        <w:rPr>
          <w:spacing w:val="38"/>
        </w:rPr>
      </w:r>
      <w:r>
        <w:rPr>
          <w:spacing w:val="-4"/>
        </w:rPr>
        <w:t>任务后，按完工进度或在项目全部完成、验收合格后一次性实现收入；对于软硬件产品的售后技术维护业务，公司在为客户</w:t>
      </w:r>
      <w:r>
        <w:rPr>
          <w:spacing w:val="41"/>
        </w:rPr>
        <w:t> </w:t>
      </w:r>
      <w:r>
        <w:rPr>
          <w:spacing w:val="41"/>
        </w:rPr>
      </w:r>
      <w:r>
        <w:rPr>
          <w:spacing w:val="-3"/>
        </w:rPr>
        <w:t>承担技术服务的期间内按月分期实现服务收入。</w:t>
      </w:r>
    </w:p>
    <w:p>
      <w:pPr>
        <w:pStyle w:val="BodyText"/>
        <w:spacing w:line="475" w:lineRule="auto" w:before="58"/>
        <w:ind w:right="1047" w:firstLine="360"/>
        <w:jc w:val="both"/>
      </w:pPr>
      <w:r>
        <w:rPr>
          <w:spacing w:val="-3"/>
        </w:rPr>
        <w:t>报告期内，公司坚持聚焦产品和客户，持续维护和银行、证券、保险等金融机构客户之间的良好合作关系。报告期内，</w:t>
      </w:r>
      <w:r>
        <w:rPr>
          <w:w w:val="101"/>
        </w:rPr>
        <w:t> </w:t>
      </w:r>
      <w:r>
        <w:rPr>
          <w:spacing w:val="-3"/>
        </w:rPr>
        <w:t>公司金融信息化业务的经营模式未发生重大变化。</w:t>
      </w:r>
    </w:p>
    <w:p>
      <w:pPr>
        <w:pStyle w:val="BodyText"/>
        <w:spacing w:line="475" w:lineRule="auto" w:before="59"/>
        <w:ind w:left="513" w:right="1055"/>
        <w:jc w:val="left"/>
      </w:pPr>
      <w:r>
        <w:rPr>
          <w:spacing w:val="-3"/>
        </w:rPr>
        <w:t>（三）主要业绩驱动因素</w:t>
      </w:r>
      <w:r>
        <w:rPr>
          <w:spacing w:val="-56"/>
        </w:rPr>
        <w:t> </w:t>
      </w:r>
      <w:r>
        <w:rPr>
          <w:spacing w:val="-56"/>
        </w:rPr>
      </w:r>
      <w:r>
        <w:rPr>
          <w:spacing w:val="-5"/>
        </w:rPr>
        <w:t>公司金融信息化业务的业绩驱动因素，从行业角度来看，一方面，伴随着信息技术、互联网、大数据等技术手段的快速</w:t>
      </w:r>
    </w:p>
    <w:p>
      <w:pPr>
        <w:pStyle w:val="BodyText"/>
        <w:spacing w:line="477" w:lineRule="auto" w:before="58"/>
        <w:ind w:right="1122"/>
        <w:jc w:val="both"/>
      </w:pPr>
      <w:r>
        <w:rPr>
          <w:spacing w:val="-4"/>
        </w:rPr>
        <w:t>发展，银行等金融机构逐步由传统的业务服务模式向信息化、网络化、智能化方向发展，由此催生了更多的信息化升级或更</w:t>
      </w:r>
      <w:r>
        <w:rPr>
          <w:spacing w:val="40"/>
        </w:rPr>
        <w:t> </w:t>
      </w:r>
      <w:r>
        <w:rPr>
          <w:spacing w:val="40"/>
        </w:rPr>
      </w:r>
      <w:r>
        <w:rPr>
          <w:spacing w:val="-4"/>
        </w:rPr>
        <w:t>新换代需求，为金融信息化产品带来前所未有的发展机遇；另一方面，随着国家金融风险防范意识的增强和金融行业监管力</w:t>
      </w:r>
      <w:r>
        <w:rPr>
          <w:spacing w:val="44"/>
        </w:rPr>
        <w:t> </w:t>
      </w:r>
      <w:r>
        <w:rPr>
          <w:spacing w:val="44"/>
        </w:rPr>
      </w:r>
      <w:r>
        <w:rPr>
          <w:spacing w:val="-4"/>
        </w:rPr>
        <w:t>度的加大，金融机构进一步加强自身监管信息系统的建设与管理，为各类金融风险防控产品打开了广阔的业务空间。从本公</w:t>
      </w:r>
      <w:r>
        <w:rPr>
          <w:spacing w:val="43"/>
        </w:rPr>
        <w:t> </w:t>
      </w:r>
      <w:r>
        <w:rPr>
          <w:spacing w:val="43"/>
        </w:rPr>
      </w:r>
      <w:r>
        <w:rPr>
          <w:spacing w:val="-4"/>
        </w:rPr>
        <w:t>司的市场竞争优势来看，公司经过多年积累，凭借优质的产品质量和服务在行业内树立了良好的形象，在国内拥有广泛的客</w:t>
      </w:r>
      <w:r>
        <w:rPr>
          <w:spacing w:val="43"/>
        </w:rPr>
        <w:t> </w:t>
      </w:r>
      <w:r>
        <w:rPr>
          <w:spacing w:val="43"/>
        </w:rPr>
      </w:r>
      <w:r>
        <w:rPr>
          <w:spacing w:val="-4"/>
        </w:rPr>
        <w:t>户基础，并且积累了丰富的技术及业务经验，这些因素都使公司在行业竞争中具备产品质量、服务、客户、技术及业务经验</w:t>
      </w:r>
      <w:r>
        <w:rPr>
          <w:spacing w:val="40"/>
        </w:rPr>
        <w:t> </w:t>
      </w:r>
      <w:r>
        <w:rPr>
          <w:spacing w:val="40"/>
        </w:rPr>
      </w:r>
      <w:r>
        <w:rPr>
          <w:spacing w:val="-3"/>
        </w:rPr>
        <w:t>方面的优势，有利于公司在把握市场机遇的基础上进一步挖掘市场需求，从而不断扩大市场份额，提升公司的盈利能力。</w:t>
      </w:r>
    </w:p>
    <w:p>
      <w:pPr>
        <w:pStyle w:val="BodyText"/>
        <w:spacing w:line="475" w:lineRule="auto" w:before="56"/>
        <w:ind w:left="513" w:right="1055"/>
        <w:jc w:val="left"/>
      </w:pPr>
      <w:r>
        <w:rPr>
          <w:spacing w:val="-3"/>
        </w:rPr>
        <w:t>（四）行业特点及发展趋势</w:t>
      </w:r>
      <w:r>
        <w:rPr>
          <w:spacing w:val="-51"/>
        </w:rPr>
        <w:t> </w:t>
      </w:r>
      <w:r>
        <w:rPr>
          <w:spacing w:val="-51"/>
        </w:rPr>
      </w:r>
      <w:r>
        <w:rPr>
          <w:spacing w:val="-5"/>
        </w:rPr>
        <w:t>金融信息化行业总体上保持稳定增长的发展态势。在具体细分产品市场上，又呈现产品更新迭代快，新技术、新商业模</w:t>
      </w:r>
    </w:p>
    <w:p>
      <w:pPr>
        <w:pStyle w:val="BodyText"/>
        <w:spacing w:line="475" w:lineRule="auto" w:before="58"/>
        <w:ind w:right="1123"/>
        <w:jc w:val="both"/>
      </w:pPr>
      <w:r>
        <w:rPr>
          <w:spacing w:val="-4"/>
        </w:rPr>
        <w:t>式不断涌现的特点。目前，银行受信息技术、互联网、大数据等新技术手段等因素影响，业务和管理软件向集中化的方向发</w:t>
      </w:r>
      <w:r>
        <w:rPr>
          <w:spacing w:val="40"/>
        </w:rPr>
        <w:t> </w:t>
      </w:r>
      <w:r>
        <w:rPr>
          <w:spacing w:val="40"/>
        </w:rPr>
      </w:r>
      <w:r>
        <w:rPr>
          <w:spacing w:val="-4"/>
        </w:rPr>
        <w:t>展，传统的软件和金融设备面临转型及换代问题；随着无现金社会的到来，现金处理设备的市场受到很大冲击，而互联网业</w:t>
      </w:r>
      <w:r>
        <w:rPr>
          <w:spacing w:val="40"/>
        </w:rPr>
        <w:t> </w:t>
      </w:r>
      <w:r>
        <w:rPr>
          <w:spacing w:val="40"/>
        </w:rPr>
      </w:r>
      <w:r>
        <w:rPr>
          <w:spacing w:val="-4"/>
        </w:rPr>
        <w:t>务系统、自助处理设备、新一代支付系统、人工智能设备、无人银行软硬件系统的产品市场发展迅速。同时，以大数据分析</w:t>
      </w:r>
      <w:r>
        <w:rPr>
          <w:spacing w:val="40"/>
        </w:rPr>
        <w:t> </w:t>
      </w:r>
      <w:r>
        <w:rPr>
          <w:spacing w:val="40"/>
        </w:rPr>
      </w:r>
      <w:r>
        <w:rPr>
          <w:spacing w:val="-3"/>
        </w:rPr>
        <w:t>为基础的应用和服务正在得到越来越多的重视和发展，行业成长空间巨大。</w:t>
      </w:r>
    </w:p>
    <w:p>
      <w:pPr>
        <w:pStyle w:val="BodyText"/>
        <w:spacing w:line="475" w:lineRule="auto" w:before="59"/>
        <w:ind w:left="513" w:right="1055"/>
        <w:jc w:val="left"/>
      </w:pPr>
      <w:r>
        <w:rPr/>
        <w:t>（五）公司的行业地位</w:t>
      </w:r>
      <w:r>
        <w:rPr>
          <w:spacing w:val="-86"/>
        </w:rPr>
        <w:t> </w:t>
      </w:r>
      <w:r>
        <w:rPr>
          <w:spacing w:val="-86"/>
        </w:rPr>
      </w:r>
      <w:r>
        <w:rPr>
          <w:spacing w:val="-3"/>
        </w:rPr>
        <w:t>公司金融信息化产品和服务在国内银行业已得到广泛应用，客户遍及国内</w:t>
      </w:r>
      <w:r>
        <w:rPr>
          <w:rFonts w:ascii="宋体" w:hAnsi="宋体" w:cs="宋体" w:eastAsia="宋体" w:hint="default"/>
          <w:spacing w:val="-3"/>
        </w:rPr>
        <w:t>31</w:t>
      </w:r>
      <w:r>
        <w:rPr>
          <w:spacing w:val="-3"/>
        </w:rPr>
        <w:t>个省、市、自治区的</w:t>
      </w:r>
      <w:r>
        <w:rPr>
          <w:rFonts w:ascii="宋体" w:hAnsi="宋体" w:cs="宋体" w:eastAsia="宋体" w:hint="default"/>
          <w:spacing w:val="-3"/>
        </w:rPr>
        <w:t>360</w:t>
      </w:r>
      <w:r>
        <w:rPr>
          <w:spacing w:val="-3"/>
        </w:rPr>
        <w:t>余家银行或分行，</w:t>
      </w:r>
    </w:p>
    <w:p>
      <w:pPr>
        <w:pStyle w:val="BodyText"/>
        <w:spacing w:line="477" w:lineRule="auto" w:before="58"/>
        <w:ind w:right="1124"/>
        <w:jc w:val="both"/>
      </w:pPr>
      <w:r>
        <w:rPr>
          <w:spacing w:val="-4"/>
        </w:rPr>
        <w:t>涵盖政策性银行、大型国有商业银行、主要全国性股份制银行以及部分城市商业银行、农村商业银行和农村信用联社，覆盖</w:t>
      </w:r>
      <w:r>
        <w:rPr>
          <w:spacing w:val="40"/>
        </w:rPr>
        <w:t> </w:t>
      </w:r>
      <w:r>
        <w:rPr>
          <w:spacing w:val="40"/>
        </w:rPr>
      </w:r>
      <w:r>
        <w:rPr>
          <w:spacing w:val="-3"/>
        </w:rPr>
        <w:t>超过</w:t>
      </w:r>
      <w:r>
        <w:rPr>
          <w:rFonts w:ascii="宋体" w:hAnsi="宋体" w:cs="宋体" w:eastAsia="宋体" w:hint="default"/>
          <w:spacing w:val="-3"/>
        </w:rPr>
        <w:t>10</w:t>
      </w:r>
      <w:r>
        <w:rPr>
          <w:spacing w:val="-3"/>
        </w:rPr>
        <w:t>万个银行营业网点，约占全国银行业金融机构营业网点总数的</w:t>
      </w:r>
      <w:r>
        <w:rPr>
          <w:rFonts w:ascii="宋体" w:hAnsi="宋体" w:cs="宋体" w:eastAsia="宋体" w:hint="default"/>
          <w:spacing w:val="-3"/>
        </w:rPr>
        <w:t>45%</w:t>
      </w:r>
      <w:r>
        <w:rPr>
          <w:spacing w:val="-3"/>
        </w:rPr>
        <w:t>。客户基础、技术与服务能力、核心产品市场占有</w:t>
      </w:r>
      <w:r>
        <w:rPr>
          <w:spacing w:val="77"/>
        </w:rPr>
        <w:t> </w:t>
      </w:r>
      <w:r>
        <w:rPr>
          <w:spacing w:val="77"/>
        </w:rPr>
      </w:r>
      <w:r>
        <w:rPr>
          <w:spacing w:val="-3"/>
        </w:rPr>
        <w:t>率在国内同行业中居于领先地位。</w:t>
      </w:r>
    </w:p>
    <w:p>
      <w:pPr>
        <w:pStyle w:val="BodyText"/>
        <w:spacing w:line="477" w:lineRule="auto" w:before="52"/>
        <w:ind w:right="1123" w:firstLine="360"/>
        <w:jc w:val="both"/>
      </w:pPr>
      <w:r>
        <w:rPr>
          <w:spacing w:val="-3"/>
        </w:rPr>
        <w:t>报告期内，公司中标并实施了约</w:t>
      </w:r>
      <w:r>
        <w:rPr>
          <w:rFonts w:ascii="宋体" w:hAnsi="宋体" w:cs="宋体" w:eastAsia="宋体" w:hint="default"/>
          <w:spacing w:val="-3"/>
        </w:rPr>
        <w:t>2.3</w:t>
      </w:r>
      <w:r>
        <w:rPr>
          <w:spacing w:val="-3"/>
        </w:rPr>
        <w:t>亿元中国农业银行总行印控仪项目；逐步拓展为金融机构数字化转型提供数字金融</w:t>
      </w:r>
      <w:r>
        <w:rPr>
          <w:w w:val="101"/>
        </w:rPr>
        <w:t> </w:t>
      </w:r>
      <w:r>
        <w:rPr>
          <w:spacing w:val="-4"/>
        </w:rPr>
        <w:t>解决方案的服务能力。凭借以上在金融行业软、硬件产品和服务领域取得的良好成绩和持续创新，公司进一步巩固了公司在</w:t>
      </w:r>
      <w:r>
        <w:rPr>
          <w:spacing w:val="43"/>
        </w:rPr>
        <w:t> </w:t>
      </w:r>
      <w:r>
        <w:rPr>
          <w:spacing w:val="43"/>
        </w:rPr>
      </w:r>
      <w:r>
        <w:rPr>
          <w:spacing w:val="-3"/>
        </w:rPr>
        <w:t>金融信息化细分市场上的行业领先地位。</w:t>
      </w:r>
    </w:p>
    <w:p>
      <w:pPr>
        <w:pStyle w:val="BodyText"/>
        <w:spacing w:line="240" w:lineRule="auto" w:before="57"/>
        <w:ind w:left="513" w:right="1055"/>
        <w:jc w:val="left"/>
      </w:pPr>
      <w:r>
        <w:rPr/>
        <w:t>二、移动信息服务</w:t>
      </w:r>
    </w:p>
    <w:p>
      <w:pPr>
        <w:spacing w:line="240" w:lineRule="auto" w:before="8"/>
        <w:rPr>
          <w:rFonts w:ascii="宋体" w:hAnsi="宋体" w:cs="宋体" w:eastAsia="宋体" w:hint="default"/>
          <w:sz w:val="17"/>
          <w:szCs w:val="17"/>
        </w:rPr>
      </w:pPr>
    </w:p>
    <w:p>
      <w:pPr>
        <w:pStyle w:val="BodyText"/>
        <w:spacing w:line="240" w:lineRule="auto"/>
        <w:ind w:left="513" w:right="1055"/>
        <w:jc w:val="left"/>
      </w:pPr>
      <w:r>
        <w:rPr/>
        <w:t>（一）主要业务和产品</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23" w:firstLine="360"/>
        <w:jc w:val="both"/>
      </w:pPr>
      <w:r>
        <w:rPr>
          <w:spacing w:val="-4"/>
        </w:rPr>
        <w:t>在移动信息服务领域，公司旗下全资子公司亿美软通为国内外企业提供移动信息平台与解决方案、移动互联网服务与营</w:t>
      </w:r>
      <w:r>
        <w:rPr>
          <w:w w:val="101"/>
        </w:rPr>
        <w:t> </w:t>
      </w:r>
      <w:r>
        <w:rPr>
          <w:spacing w:val="-4"/>
        </w:rPr>
        <w:t>销方案服务。亿美软通移动商务通讯、企业语音服务、移动营销方案分别在短彩信应用、智能语音、新媒体营销领域为企业</w:t>
      </w:r>
      <w:r>
        <w:rPr>
          <w:spacing w:val="40"/>
        </w:rPr>
        <w:t> </w:t>
      </w:r>
      <w:r>
        <w:rPr>
          <w:spacing w:val="40"/>
        </w:rPr>
      </w:r>
      <w:r>
        <w:rPr>
          <w:spacing w:val="-3"/>
        </w:rPr>
        <w:t>提供产品和服务。其中，“亿美满意通——移动客户关系管理平台”、“亿美</w:t>
      </w:r>
      <w:r>
        <w:rPr>
          <w:rFonts w:ascii="宋体" w:hAnsi="宋体" w:cs="宋体" w:eastAsia="宋体" w:hint="default"/>
          <w:spacing w:val="-3"/>
        </w:rPr>
        <w:t>SDK</w:t>
      </w:r>
      <w:r>
        <w:rPr>
          <w:spacing w:val="-3"/>
        </w:rPr>
        <w:t>——嵌入式短信平台”、“亿美智能语音</w:t>
      </w:r>
      <w:r>
        <w:rPr>
          <w:spacing w:val="74"/>
        </w:rPr>
        <w:t> </w:t>
      </w:r>
      <w:r>
        <w:rPr>
          <w:spacing w:val="74"/>
        </w:rPr>
      </w:r>
      <w:r>
        <w:rPr>
          <w:spacing w:val="-3"/>
        </w:rPr>
        <w:t>平台”、“亿美富媒体云通信平台”等系列产品被市场广泛认同并获得用户高度评价。</w:t>
      </w:r>
    </w:p>
    <w:p>
      <w:pPr>
        <w:pStyle w:val="BodyText"/>
        <w:spacing w:line="475" w:lineRule="auto" w:before="58"/>
        <w:ind w:right="1123" w:firstLine="360"/>
        <w:jc w:val="both"/>
      </w:pPr>
      <w:r>
        <w:rPr>
          <w:spacing w:val="-4"/>
        </w:rPr>
        <w:t>报告期内，亿美软通顺利通过</w:t>
      </w:r>
      <w:r>
        <w:rPr>
          <w:rFonts w:ascii="宋体" w:hAnsi="宋体" w:cs="宋体" w:eastAsia="宋体" w:hint="default"/>
          <w:spacing w:val="-4"/>
        </w:rPr>
        <w:t>CMMI3</w:t>
      </w:r>
      <w:r>
        <w:rPr>
          <w:spacing w:val="-4"/>
        </w:rPr>
        <w:t>级评估，并荣获中国电子商务协会颁发的“企业行业信用等级</w:t>
      </w:r>
      <w:r>
        <w:rPr>
          <w:rFonts w:ascii="宋体" w:hAnsi="宋体" w:cs="宋体" w:eastAsia="宋体" w:hint="default"/>
          <w:spacing w:val="-4"/>
        </w:rPr>
        <w:t>AAA</w:t>
      </w:r>
      <w:r>
        <w:rPr>
          <w:spacing w:val="-4"/>
        </w:rPr>
        <w:t>级证书”。报告期</w:t>
      </w:r>
      <w:r>
        <w:rPr>
          <w:w w:val="101"/>
        </w:rPr>
        <w:t> </w:t>
      </w:r>
      <w:r>
        <w:rPr>
          <w:spacing w:val="-3"/>
        </w:rPr>
        <w:t>内，亿美软通的主要业务和产品未发生重大变化。</w:t>
      </w:r>
    </w:p>
    <w:p>
      <w:pPr>
        <w:pStyle w:val="BodyText"/>
        <w:spacing w:line="475" w:lineRule="auto" w:before="59"/>
        <w:ind w:left="513" w:right="8420"/>
        <w:jc w:val="left"/>
      </w:pPr>
      <w:r>
        <w:rPr>
          <w:spacing w:val="-3"/>
        </w:rPr>
        <w:t>（二）经营模式</w:t>
      </w:r>
      <w:r>
        <w:rPr>
          <w:spacing w:val="-68"/>
        </w:rPr>
        <w:t> </w:t>
      </w:r>
      <w:r>
        <w:rPr>
          <w:spacing w:val="-68"/>
        </w:rPr>
      </w:r>
      <w:r>
        <w:rPr>
          <w:rFonts w:ascii="宋体" w:hAnsi="宋体" w:cs="宋体" w:eastAsia="宋体" w:hint="default"/>
        </w:rPr>
        <w:t>1</w:t>
      </w:r>
      <w:r>
        <w:rPr/>
        <w:t>、采购模式</w:t>
      </w:r>
    </w:p>
    <w:p>
      <w:pPr>
        <w:pStyle w:val="BodyText"/>
        <w:spacing w:line="477" w:lineRule="auto" w:before="58"/>
        <w:ind w:right="1124" w:firstLine="360"/>
        <w:jc w:val="both"/>
      </w:pPr>
      <w:r>
        <w:rPr>
          <w:spacing w:val="-4"/>
        </w:rPr>
        <w:t>亿美软通提供企业移动信息化服务的通道接入点主要为北京、上海、广东等移动通讯网络较为发达的地区。日常经营中</w:t>
      </w:r>
      <w:r>
        <w:rPr>
          <w:w w:val="101"/>
        </w:rPr>
        <w:t> </w:t>
      </w:r>
      <w:r>
        <w:rPr>
          <w:spacing w:val="-5"/>
        </w:rPr>
        <w:t>亿美软通主要采购成本来自向运营商或其他短彩信渠道提供商采购短彩信等业务资源支付的成本，并根据各通道中短、彩信</w:t>
      </w:r>
      <w:r>
        <w:rPr>
          <w:spacing w:val="6"/>
        </w:rPr>
        <w:t> </w:t>
      </w:r>
      <w:r>
        <w:rPr>
          <w:spacing w:val="6"/>
        </w:rPr>
      </w:r>
      <w:r>
        <w:rPr>
          <w:spacing w:val="-3"/>
        </w:rPr>
        <w:t>业务的使用数量与资源提供方进行对账和结算。一般按月与资源提供方对账并进行结算。</w:t>
      </w:r>
    </w:p>
    <w:p>
      <w:pPr>
        <w:pStyle w:val="BodyText"/>
        <w:spacing w:line="480" w:lineRule="auto" w:before="52"/>
        <w:ind w:left="513" w:right="1055"/>
        <w:jc w:val="left"/>
      </w:pPr>
      <w:r>
        <w:rPr>
          <w:rFonts w:ascii="宋体" w:hAnsi="宋体" w:cs="宋体" w:eastAsia="宋体" w:hint="default"/>
        </w:rPr>
        <w:t>2</w:t>
      </w:r>
      <w:r>
        <w:rPr/>
        <w:t>、销售模式</w:t>
      </w:r>
      <w:r>
        <w:rPr>
          <w:spacing w:val="-87"/>
        </w:rPr>
        <w:t> </w:t>
      </w:r>
      <w:r>
        <w:rPr>
          <w:spacing w:val="-87"/>
        </w:rPr>
      </w:r>
      <w:r>
        <w:rPr>
          <w:spacing w:val="-5"/>
        </w:rPr>
        <w:t>亿美软通主要客户集中在电商、互联网、金融、消费品、教育、生活服务等行业，电商、互联网行业大型企业一般会选</w:t>
      </w:r>
    </w:p>
    <w:p>
      <w:pPr>
        <w:pStyle w:val="BodyText"/>
        <w:spacing w:line="480" w:lineRule="auto" w:before="50"/>
        <w:ind w:right="1047"/>
        <w:jc w:val="both"/>
      </w:pPr>
      <w:r>
        <w:rPr>
          <w:spacing w:val="-3"/>
        </w:rPr>
        <w:t>择多家移动通讯业务供应商，亿美软通始终致力于与行业领军企业保持良好的合作关系，成为其主要移动通讯业务提供商，</w:t>
      </w:r>
      <w:r>
        <w:rPr>
          <w:spacing w:val="66"/>
        </w:rPr>
        <w:t> </w:t>
      </w:r>
      <w:r>
        <w:rPr>
          <w:spacing w:val="66"/>
        </w:rPr>
      </w:r>
      <w:r>
        <w:rPr>
          <w:spacing w:val="-3"/>
        </w:rPr>
        <w:t>同时提供标准化产品为中小企业提供服务，以扩大销售规模，分散行业风险。</w:t>
      </w:r>
    </w:p>
    <w:p>
      <w:pPr>
        <w:pStyle w:val="BodyText"/>
        <w:spacing w:line="477" w:lineRule="auto" w:before="50"/>
        <w:ind w:right="1121" w:firstLine="360"/>
        <w:jc w:val="both"/>
      </w:pPr>
      <w:r>
        <w:rPr>
          <w:spacing w:val="-5"/>
        </w:rPr>
        <w:t>亿美软通与客户结算一般有以下两种方式：第一、亿美软通与根据客户业务合作协议中约定的移动信息化产品服务价格</w:t>
      </w:r>
      <w:r>
        <w:rPr>
          <w:w w:val="101"/>
        </w:rPr>
        <w:t> </w:t>
      </w:r>
      <w:r>
        <w:rPr>
          <w:spacing w:val="-4"/>
        </w:rPr>
        <w:t>和当月用量按月直接与客户进行对账，确认无误后由亿美软通向客户收取服务费用。第二、部分小型客户为预付费用户，先</w:t>
      </w:r>
      <w:r>
        <w:rPr>
          <w:spacing w:val="42"/>
        </w:rPr>
        <w:t> </w:t>
      </w:r>
      <w:r>
        <w:rPr>
          <w:spacing w:val="42"/>
        </w:rPr>
      </w:r>
      <w:r>
        <w:rPr>
          <w:spacing w:val="-3"/>
        </w:rPr>
        <w:t>行在亿美软通移动商务平台进行充值，再进行短彩信的发送，短彩信发送同时亿美软通即从预付费账户中进行扣费。</w:t>
      </w:r>
    </w:p>
    <w:p>
      <w:pPr>
        <w:pStyle w:val="BodyText"/>
        <w:spacing w:line="475" w:lineRule="auto" w:before="56"/>
        <w:ind w:left="513" w:right="1055"/>
        <w:jc w:val="left"/>
      </w:pPr>
      <w:r>
        <w:rPr>
          <w:rFonts w:ascii="宋体" w:hAnsi="宋体" w:cs="宋体" w:eastAsia="宋体" w:hint="default"/>
        </w:rPr>
        <w:t>3</w:t>
      </w:r>
      <w:r>
        <w:rPr/>
        <w:t>、盈利模式</w:t>
      </w:r>
      <w:r>
        <w:rPr>
          <w:spacing w:val="-87"/>
        </w:rPr>
        <w:t> </w:t>
      </w:r>
      <w:r>
        <w:rPr>
          <w:spacing w:val="-87"/>
        </w:rPr>
      </w:r>
      <w:r>
        <w:rPr>
          <w:spacing w:val="-3"/>
        </w:rPr>
        <w:t>亿美软通拥有跨地区增值电信业务经营许可证、电信与信息服务业务经营许可证（</w:t>
      </w:r>
      <w:r>
        <w:rPr>
          <w:rFonts w:ascii="宋体" w:hAnsi="宋体" w:cs="宋体" w:eastAsia="宋体" w:hint="default"/>
          <w:spacing w:val="-3"/>
        </w:rPr>
        <w:t>ICP</w:t>
      </w:r>
      <w:r>
        <w:rPr>
          <w:spacing w:val="-3"/>
        </w:rPr>
        <w:t>证书）等移动信息化服务资质，</w:t>
      </w:r>
    </w:p>
    <w:p>
      <w:pPr>
        <w:pStyle w:val="BodyText"/>
        <w:spacing w:line="475" w:lineRule="auto" w:before="59"/>
        <w:ind w:right="1124"/>
        <w:jc w:val="both"/>
      </w:pPr>
      <w:r>
        <w:rPr>
          <w:spacing w:val="-4"/>
        </w:rPr>
        <w:t>与三大运营商都缔结了业务合作协议，具备完善移动信息化业务准入资格，盈利模式以短彩信业务销售和运营商业务酬金为</w:t>
      </w:r>
      <w:r>
        <w:rPr>
          <w:spacing w:val="43"/>
        </w:rPr>
        <w:t> </w:t>
      </w:r>
      <w:r>
        <w:rPr>
          <w:spacing w:val="43"/>
        </w:rPr>
      </w:r>
      <w:r>
        <w:rPr>
          <w:spacing w:val="-3"/>
        </w:rPr>
        <w:t>主。报告期内，亿美软通移动信息服务业务的经营模式未发生重大变化。</w:t>
      </w:r>
    </w:p>
    <w:p>
      <w:pPr>
        <w:pStyle w:val="BodyText"/>
        <w:spacing w:line="475" w:lineRule="auto" w:before="58"/>
        <w:ind w:left="513" w:right="1055"/>
        <w:jc w:val="left"/>
      </w:pPr>
      <w:r>
        <w:rPr>
          <w:spacing w:val="-3"/>
        </w:rPr>
        <w:t>（三）主要业绩驱动因素</w:t>
      </w:r>
      <w:r>
        <w:rPr>
          <w:spacing w:val="-56"/>
        </w:rPr>
        <w:t> </w:t>
      </w:r>
      <w:r>
        <w:rPr>
          <w:spacing w:val="-56"/>
        </w:rPr>
      </w:r>
      <w:r>
        <w:rPr>
          <w:spacing w:val="-4"/>
        </w:rPr>
        <w:t>移动信息服务的业绩驱动因素，从行业角度来看，随着经济持续增长和移动互联网时代的发展，在移动信息服务业的整</w:t>
      </w:r>
    </w:p>
    <w:p>
      <w:pPr>
        <w:pStyle w:val="BodyText"/>
        <w:spacing w:line="475" w:lineRule="auto" w:before="59"/>
        <w:ind w:right="1124"/>
        <w:jc w:val="both"/>
      </w:pPr>
      <w:r>
        <w:rPr>
          <w:spacing w:val="-3"/>
        </w:rPr>
        <w:t>体带动下，</w:t>
      </w:r>
      <w:r>
        <w:rPr>
          <w:rFonts w:ascii="宋体" w:hAnsi="宋体" w:cs="宋体" w:eastAsia="宋体" w:hint="default"/>
          <w:spacing w:val="-3"/>
        </w:rPr>
        <w:t>B2C</w:t>
      </w:r>
      <w:r>
        <w:rPr>
          <w:spacing w:val="-3"/>
        </w:rPr>
        <w:t>的短信业务维持稳定增长的态势，由此带动公司的移动信息服务业务保持增长。从公司子公司亿美软通的市</w:t>
      </w:r>
      <w:r>
        <w:rPr>
          <w:spacing w:val="73"/>
        </w:rPr>
        <w:t> </w:t>
      </w:r>
      <w:r>
        <w:rPr>
          <w:spacing w:val="73"/>
        </w:rPr>
      </w:r>
      <w:r>
        <w:rPr>
          <w:spacing w:val="-4"/>
        </w:rPr>
        <w:t>场竞争优势来看，亿美软通的移动信息平台稳定性和服务质量、多年积累的品牌形象、广泛的客户基础等因素使亿美软通在</w:t>
      </w:r>
      <w:r>
        <w:rPr>
          <w:spacing w:val="43"/>
        </w:rPr>
        <w:t> </w:t>
      </w:r>
      <w:r>
        <w:rPr>
          <w:spacing w:val="43"/>
        </w:rPr>
      </w:r>
      <w:r>
        <w:rPr>
          <w:spacing w:val="-4"/>
        </w:rPr>
        <w:t>行业竞争中具备核心竞争优势；同时，本公司在金融行业积累的银行客户基础，可以与亿美软通的移动信息业务产生业务协</w:t>
      </w:r>
      <w:r>
        <w:rPr>
          <w:spacing w:val="43"/>
        </w:rPr>
        <w:t> </w:t>
      </w:r>
      <w:r>
        <w:rPr>
          <w:spacing w:val="43"/>
        </w:rPr>
      </w:r>
      <w:r>
        <w:rPr>
          <w:spacing w:val="-3"/>
        </w:rPr>
        <w:t>同效应，帮助亿美软通提升市场份额和经营业绩。</w:t>
      </w:r>
    </w:p>
    <w:p>
      <w:pPr>
        <w:pStyle w:val="BodyText"/>
        <w:spacing w:line="240" w:lineRule="auto" w:before="59"/>
        <w:ind w:left="513" w:right="1055"/>
        <w:jc w:val="left"/>
      </w:pPr>
      <w:r>
        <w:rPr>
          <w:spacing w:val="-3"/>
        </w:rPr>
        <w:t>（四）行业特点及发展趋势</w:t>
      </w:r>
    </w:p>
    <w:p>
      <w:pPr>
        <w:spacing w:after="0" w:line="240" w:lineRule="auto"/>
        <w:jc w:val="left"/>
        <w:sectPr>
          <w:footerReference w:type="default" r:id="rId14"/>
          <w:pgSz w:w="11910" w:h="16840"/>
          <w:pgMar w:footer="1479" w:header="871" w:top="1100" w:bottom="1660" w:left="980" w:right="0"/>
          <w:pgNumType w:start="13"/>
        </w:sectPr>
      </w:pPr>
    </w:p>
    <w:p>
      <w:pPr>
        <w:spacing w:line="240" w:lineRule="auto" w:before="1"/>
        <w:rPr>
          <w:rFonts w:ascii="宋体" w:hAnsi="宋体" w:cs="宋体" w:eastAsia="宋体" w:hint="default"/>
          <w:sz w:val="28"/>
          <w:szCs w:val="28"/>
        </w:rPr>
      </w:pPr>
    </w:p>
    <w:p>
      <w:pPr>
        <w:pStyle w:val="BodyText"/>
        <w:spacing w:line="477" w:lineRule="auto" w:before="46"/>
        <w:ind w:right="1055"/>
        <w:jc w:val="left"/>
      </w:pPr>
      <w:r>
        <w:rPr>
          <w:spacing w:val="-3"/>
        </w:rPr>
        <w:t>成</w:t>
      </w:r>
      <w:r>
        <w:rPr>
          <w:rFonts w:ascii="宋体" w:hAnsi="宋体" w:cs="宋体" w:eastAsia="宋体" w:hint="default"/>
          <w:spacing w:val="-3"/>
        </w:rPr>
        <w:t>392</w:t>
      </w:r>
      <w:r>
        <w:rPr>
          <w:spacing w:val="-3"/>
        </w:rPr>
        <w:t>亿元，同比增长</w:t>
      </w:r>
      <w:r>
        <w:rPr>
          <w:rFonts w:ascii="宋体" w:hAnsi="宋体" w:cs="宋体" w:eastAsia="宋体" w:hint="default"/>
          <w:spacing w:val="-3"/>
        </w:rPr>
        <w:t>9%</w:t>
      </w:r>
      <w:r>
        <w:rPr>
          <w:spacing w:val="-3"/>
        </w:rPr>
        <w:t>。在移动信息服务业，目前虽然由于微信等即时通讯工具在相当程度上取代了传统的个人的点对点</w:t>
      </w:r>
      <w:r>
        <w:rPr>
          <w:spacing w:val="76"/>
        </w:rPr>
        <w:t> </w:t>
      </w:r>
      <w:r>
        <w:rPr>
          <w:spacing w:val="76"/>
        </w:rPr>
      </w:r>
      <w:r>
        <w:rPr>
          <w:spacing w:val="-3"/>
        </w:rPr>
        <w:t>短信业务，但随着电子商务、移动互联网、终端智能化的发展，又进一步衍生出了大量的企业</w:t>
      </w:r>
      <w:r>
        <w:rPr>
          <w:rFonts w:ascii="宋体" w:hAnsi="宋体" w:cs="宋体" w:eastAsia="宋体" w:hint="default"/>
          <w:spacing w:val="-3"/>
        </w:rPr>
        <w:t>B2C</w:t>
      </w:r>
      <w:r>
        <w:rPr>
          <w:spacing w:val="-3"/>
        </w:rPr>
        <w:t>短信的刚性需求。由于短</w:t>
      </w:r>
      <w:r>
        <w:rPr>
          <w:spacing w:val="73"/>
        </w:rPr>
        <w:t> </w:t>
      </w:r>
      <w:r>
        <w:rPr>
          <w:spacing w:val="73"/>
        </w:rPr>
      </w:r>
      <w:r>
        <w:rPr>
          <w:spacing w:val="-3"/>
        </w:rPr>
        <w:t>彩信通讯方式具有信息传递简单直接、稳定可靠、及时性强、接受方完全免费等特点，因此在</w:t>
      </w:r>
      <w:r>
        <w:rPr>
          <w:rFonts w:ascii="宋体" w:hAnsi="宋体" w:cs="宋体" w:eastAsia="宋体" w:hint="default"/>
          <w:spacing w:val="-3"/>
        </w:rPr>
        <w:t>B2C</w:t>
      </w:r>
      <w:r>
        <w:rPr>
          <w:spacing w:val="-3"/>
        </w:rPr>
        <w:t>商业信息服务领域，短彩</w:t>
      </w:r>
      <w:r>
        <w:rPr>
          <w:spacing w:val="73"/>
        </w:rPr>
        <w:t> </w:t>
      </w:r>
      <w:r>
        <w:rPr>
          <w:spacing w:val="73"/>
        </w:rPr>
      </w:r>
      <w:r>
        <w:rPr>
          <w:spacing w:val="-4"/>
        </w:rPr>
        <w:t>信通讯方式与微信等即时通讯工具相比具有独特的优势，短彩信仍然是企业移动信息服务的主流方式之一，行业市场容量仍</w:t>
      </w:r>
      <w:r>
        <w:rPr>
          <w:spacing w:val="43"/>
        </w:rPr>
        <w:t> </w:t>
      </w:r>
      <w:r>
        <w:rPr>
          <w:spacing w:val="43"/>
        </w:rPr>
      </w:r>
      <w:r>
        <w:rPr>
          <w:spacing w:val="-3"/>
        </w:rPr>
        <w:t>处在稳步增长的阶段。同时，移动信息服务行业经过多年的发展，市场竞争呈现相对稳定的格局。随着移动互联网的发展，</w:t>
      </w:r>
      <w:r>
        <w:rPr>
          <w:spacing w:val="67"/>
        </w:rPr>
        <w:t> </w:t>
      </w:r>
      <w:r>
        <w:rPr>
          <w:spacing w:val="67"/>
        </w:rPr>
      </w:r>
      <w:r>
        <w:rPr>
          <w:spacing w:val="-4"/>
        </w:rPr>
        <w:t>移动社交平台、移动支付、电子商务、手游、互联网金融等应用日渐普及，移动信息服务企业逐步开始拓展数据流量与营销</w:t>
      </w:r>
      <w:r>
        <w:rPr>
          <w:spacing w:val="40"/>
        </w:rPr>
        <w:t> </w:t>
      </w:r>
      <w:r>
        <w:rPr>
          <w:spacing w:val="40"/>
        </w:rPr>
      </w:r>
      <w:r>
        <w:rPr>
          <w:spacing w:val="-3"/>
        </w:rPr>
        <w:t>等增值服务，数据流量与营销能力的经营已迈入价值提升期。</w:t>
      </w:r>
    </w:p>
    <w:p>
      <w:pPr>
        <w:pStyle w:val="BodyText"/>
        <w:spacing w:line="480" w:lineRule="auto" w:before="52"/>
        <w:ind w:left="513" w:right="1055"/>
        <w:jc w:val="left"/>
      </w:pPr>
      <w:r>
        <w:rPr/>
        <w:t>（五）公司的行业地位</w:t>
      </w:r>
      <w:r>
        <w:rPr>
          <w:spacing w:val="-86"/>
        </w:rPr>
        <w:t> </w:t>
      </w:r>
      <w:r>
        <w:rPr>
          <w:spacing w:val="-86"/>
        </w:rPr>
      </w:r>
      <w:r>
        <w:rPr>
          <w:spacing w:val="-4"/>
        </w:rPr>
        <w:t>亿美软通是具备国际水准的移动信息平台技术和应用方案提供商。自</w:t>
      </w:r>
      <w:r>
        <w:rPr>
          <w:rFonts w:ascii="宋体" w:hAnsi="宋体" w:cs="宋体" w:eastAsia="宋体" w:hint="default"/>
          <w:spacing w:val="-4"/>
        </w:rPr>
        <w:t>2001</w:t>
      </w:r>
      <w:r>
        <w:rPr>
          <w:spacing w:val="-4"/>
        </w:rPr>
        <w:t>年成立以来，亿美软通始终致力于为国内外企</w:t>
      </w:r>
    </w:p>
    <w:p>
      <w:pPr>
        <w:pStyle w:val="BodyText"/>
        <w:spacing w:line="477" w:lineRule="auto" w:before="50"/>
        <w:ind w:right="1055"/>
        <w:jc w:val="left"/>
      </w:pPr>
      <w:r>
        <w:rPr>
          <w:spacing w:val="-3"/>
        </w:rPr>
        <w:t>业提供移动个性客服、移动数据采集、移动高效管理等方面的各类移动商务产品和通讯服务，业务服务覆盖超过</w:t>
      </w:r>
      <w:r>
        <w:rPr>
          <w:rFonts w:ascii="宋体" w:hAnsi="宋体" w:cs="宋体" w:eastAsia="宋体" w:hint="default"/>
          <w:spacing w:val="-3"/>
        </w:rPr>
        <w:t>7</w:t>
      </w:r>
      <w:r>
        <w:rPr>
          <w:spacing w:val="-3"/>
        </w:rPr>
        <w:t>亿手机用</w:t>
      </w:r>
      <w:r>
        <w:rPr>
          <w:spacing w:val="71"/>
        </w:rPr>
        <w:t> </w:t>
      </w:r>
      <w:r>
        <w:rPr>
          <w:spacing w:val="71"/>
        </w:rPr>
      </w:r>
      <w:r>
        <w:rPr>
          <w:spacing w:val="-6"/>
        </w:rPr>
        <w:t>户。目前，亿美软通已拥有包括阿里巴巴、支付宝、中信银行、浦发银行、万达集团、嘉实基金、大众点评、美团、当当网、</w:t>
      </w:r>
      <w:r>
        <w:rPr>
          <w:spacing w:val="63"/>
        </w:rPr>
        <w:t> </w:t>
      </w:r>
      <w:r>
        <w:rPr>
          <w:spacing w:val="63"/>
        </w:rPr>
      </w:r>
      <w:r>
        <w:rPr>
          <w:spacing w:val="-4"/>
        </w:rPr>
        <w:t>优衣库、华为、顺丰集团、肯德基、必胜客等众多国内外知名客户。亿美软通已在全国建立七大直营分公司，销售和服务网</w:t>
      </w:r>
      <w:r>
        <w:rPr>
          <w:spacing w:val="40"/>
        </w:rPr>
        <w:t> </w:t>
      </w:r>
      <w:r>
        <w:rPr>
          <w:spacing w:val="40"/>
        </w:rPr>
      </w:r>
      <w:r>
        <w:rPr>
          <w:spacing w:val="-3"/>
        </w:rPr>
        <w:t>络覆盖</w:t>
      </w:r>
      <w:r>
        <w:rPr>
          <w:rFonts w:ascii="宋体" w:hAnsi="宋体" w:cs="宋体" w:eastAsia="宋体" w:hint="default"/>
          <w:spacing w:val="-3"/>
        </w:rPr>
        <w:t>31</w:t>
      </w:r>
      <w:r>
        <w:rPr>
          <w:spacing w:val="-3"/>
        </w:rPr>
        <w:t>个省、市、自治区，产品覆盖全国</w:t>
      </w:r>
      <w:r>
        <w:rPr>
          <w:rFonts w:ascii="宋体" w:hAnsi="宋体" w:cs="宋体" w:eastAsia="宋体" w:hint="default"/>
          <w:spacing w:val="-3"/>
        </w:rPr>
        <w:t>200</w:t>
      </w:r>
      <w:r>
        <w:rPr>
          <w:spacing w:val="-3"/>
        </w:rPr>
        <w:t>个城市的</w:t>
      </w:r>
      <w:r>
        <w:rPr>
          <w:rFonts w:ascii="宋体" w:hAnsi="宋体" w:cs="宋体" w:eastAsia="宋体" w:hint="default"/>
          <w:spacing w:val="-3"/>
        </w:rPr>
        <w:t>30</w:t>
      </w:r>
      <w:r>
        <w:rPr>
          <w:spacing w:val="-3"/>
        </w:rPr>
        <w:t>余个行业的超过</w:t>
      </w:r>
      <w:r>
        <w:rPr>
          <w:rFonts w:ascii="宋体" w:hAnsi="宋体" w:cs="宋体" w:eastAsia="宋体" w:hint="default"/>
          <w:spacing w:val="-3"/>
        </w:rPr>
        <w:t>50</w:t>
      </w:r>
      <w:r>
        <w:rPr>
          <w:spacing w:val="-3"/>
        </w:rPr>
        <w:t>万家企业客户，成为目前中国移动信息服务领</w:t>
      </w:r>
      <w:r>
        <w:rPr>
          <w:spacing w:val="82"/>
        </w:rPr>
        <w:t> </w:t>
      </w:r>
      <w:r>
        <w:rPr>
          <w:spacing w:val="82"/>
        </w:rPr>
      </w:r>
      <w:r>
        <w:rPr>
          <w:spacing w:val="-3"/>
        </w:rPr>
        <w:t>域产品线齐全、营销覆盖广泛、服务与技术经验丰富的领先的移动信息服务商。</w:t>
      </w:r>
    </w:p>
    <w:p>
      <w:pPr>
        <w:pStyle w:val="BodyText"/>
        <w:spacing w:line="240" w:lineRule="auto" w:before="56"/>
        <w:ind w:left="513" w:right="1055"/>
        <w:jc w:val="left"/>
      </w:pPr>
      <w:r>
        <w:rPr/>
        <w:t>三、电子商务</w:t>
      </w:r>
    </w:p>
    <w:p>
      <w:pPr>
        <w:spacing w:line="240" w:lineRule="auto" w:before="8"/>
        <w:rPr>
          <w:rFonts w:ascii="宋体" w:hAnsi="宋体" w:cs="宋体" w:eastAsia="宋体" w:hint="default"/>
          <w:sz w:val="17"/>
          <w:szCs w:val="17"/>
        </w:rPr>
      </w:pPr>
    </w:p>
    <w:p>
      <w:pPr>
        <w:pStyle w:val="BodyText"/>
        <w:spacing w:line="480" w:lineRule="auto"/>
        <w:ind w:left="513" w:right="1055"/>
        <w:jc w:val="left"/>
      </w:pPr>
      <w:r>
        <w:rPr/>
        <w:t>（一）主要业务和产品</w:t>
      </w:r>
      <w:r>
        <w:rPr>
          <w:spacing w:val="-86"/>
        </w:rPr>
        <w:t> </w:t>
      </w:r>
      <w:r>
        <w:rPr>
          <w:spacing w:val="-86"/>
        </w:rPr>
      </w:r>
      <w:r>
        <w:rPr>
          <w:spacing w:val="-4"/>
        </w:rPr>
        <w:t>在电子商务服务领域，公司旗下控股子公司安科创新提供跨境电子商务服务，主营产品包括家居安防产品、智能家居附</w:t>
      </w:r>
    </w:p>
    <w:p>
      <w:pPr>
        <w:pStyle w:val="BodyText"/>
        <w:spacing w:line="477" w:lineRule="auto" w:before="50"/>
        <w:ind w:right="1055"/>
        <w:jc w:val="left"/>
      </w:pPr>
      <w:r>
        <w:rPr>
          <w:spacing w:val="-2"/>
        </w:rPr>
        <w:t>件等，通过线上第三方平台，如</w:t>
      </w:r>
      <w:r>
        <w:rPr>
          <w:rFonts w:ascii="宋体" w:hAnsi="宋体" w:cs="宋体" w:eastAsia="宋体" w:hint="default"/>
          <w:spacing w:val="-2"/>
        </w:rPr>
        <w:t>Amazon</w:t>
      </w:r>
      <w:r>
        <w:rPr>
          <w:spacing w:val="-2"/>
        </w:rPr>
        <w:t>、</w:t>
      </w:r>
      <w:r>
        <w:rPr>
          <w:rFonts w:ascii="宋体" w:hAnsi="宋体" w:cs="宋体" w:eastAsia="宋体" w:hint="default"/>
          <w:spacing w:val="-2"/>
        </w:rPr>
        <w:t>Ebay</w:t>
      </w:r>
      <w:r>
        <w:rPr>
          <w:spacing w:val="-2"/>
        </w:rPr>
        <w:t>、</w:t>
      </w:r>
      <w:r>
        <w:rPr>
          <w:rFonts w:ascii="宋体" w:hAnsi="宋体" w:cs="宋体" w:eastAsia="宋体" w:hint="default"/>
          <w:spacing w:val="-2"/>
        </w:rPr>
        <w:t>AliExpress</w:t>
      </w:r>
      <w:r>
        <w:rPr>
          <w:spacing w:val="-2"/>
        </w:rPr>
        <w:t>、</w:t>
      </w:r>
      <w:r>
        <w:rPr>
          <w:rFonts w:ascii="宋体" w:hAnsi="宋体" w:cs="宋体" w:eastAsia="宋体" w:hint="default"/>
          <w:spacing w:val="-2"/>
        </w:rPr>
        <w:t>Walmart</w:t>
      </w:r>
      <w:r>
        <w:rPr>
          <w:spacing w:val="-2"/>
        </w:rPr>
        <w:t>等，和自营平台</w:t>
      </w:r>
      <w:r>
        <w:rPr>
          <w:rFonts w:ascii="宋体" w:hAnsi="宋体" w:cs="宋体" w:eastAsia="宋体" w:hint="default"/>
          <w:spacing w:val="-2"/>
        </w:rPr>
        <w:t>Annkestore.com</w:t>
      </w:r>
      <w:r>
        <w:rPr>
          <w:spacing w:val="-2"/>
        </w:rPr>
        <w:t>、</w:t>
      </w:r>
      <w:r>
        <w:rPr>
          <w:rFonts w:ascii="宋体" w:hAnsi="宋体" w:cs="宋体" w:eastAsia="宋体" w:hint="default"/>
          <w:spacing w:val="-2"/>
        </w:rPr>
        <w:t>Sanncestore.com</w:t>
      </w:r>
      <w:r>
        <w:rPr>
          <w:rFonts w:ascii="宋体" w:hAnsi="宋体" w:cs="宋体" w:eastAsia="宋体" w:hint="default"/>
          <w:spacing w:val="68"/>
        </w:rPr>
        <w:t> </w:t>
      </w:r>
      <w:r>
        <w:rPr>
          <w:rFonts w:ascii="宋体" w:hAnsi="宋体" w:cs="宋体" w:eastAsia="宋体" w:hint="default"/>
          <w:spacing w:val="68"/>
        </w:rPr>
      </w:r>
      <w:r>
        <w:rPr>
          <w:spacing w:val="-4"/>
        </w:rPr>
        <w:t>及</w:t>
      </w:r>
      <w:r>
        <w:rPr>
          <w:rFonts w:ascii="宋体" w:hAnsi="宋体" w:cs="宋体" w:eastAsia="宋体" w:hint="default"/>
          <w:spacing w:val="-4"/>
        </w:rPr>
        <w:t>Annkesecurity.com</w:t>
      </w:r>
      <w:r>
        <w:rPr>
          <w:spacing w:val="-4"/>
        </w:rPr>
        <w:t>，以</w:t>
      </w:r>
      <w:r>
        <w:rPr>
          <w:rFonts w:ascii="宋体" w:hAnsi="宋体" w:cs="宋体" w:eastAsia="宋体" w:hint="default"/>
          <w:spacing w:val="-4"/>
        </w:rPr>
        <w:t>B2C</w:t>
      </w:r>
      <w:r>
        <w:rPr>
          <w:spacing w:val="-4"/>
        </w:rPr>
        <w:t>的业务模式向家庭、企业、商铺等客户提供产品销售。同时，随着安科创新经营的跨境电子商</w:t>
      </w:r>
      <w:r>
        <w:rPr>
          <w:spacing w:val="79"/>
        </w:rPr>
        <w:t> </w:t>
      </w:r>
      <w:r>
        <w:rPr>
          <w:spacing w:val="79"/>
        </w:rPr>
      </w:r>
      <w:r>
        <w:rPr>
          <w:spacing w:val="-3"/>
        </w:rPr>
        <w:t>务的产品品类不断增加，除家居安防产品以外，开始逐渐向日用</w:t>
      </w:r>
      <w:r>
        <w:rPr>
          <w:rFonts w:ascii="宋体" w:hAnsi="宋体" w:cs="宋体" w:eastAsia="宋体" w:hint="default"/>
          <w:spacing w:val="-3"/>
        </w:rPr>
        <w:t>3C</w:t>
      </w:r>
      <w:r>
        <w:rPr>
          <w:spacing w:val="-3"/>
        </w:rPr>
        <w:t>产品品类扩展。</w:t>
      </w:r>
    </w:p>
    <w:p>
      <w:pPr>
        <w:pStyle w:val="BodyText"/>
        <w:spacing w:line="240" w:lineRule="auto" w:before="57"/>
        <w:ind w:left="513" w:right="1055"/>
        <w:jc w:val="left"/>
      </w:pPr>
      <w:r>
        <w:rPr>
          <w:spacing w:val="-3"/>
        </w:rPr>
        <w:t>报告期内，安科创新的主营业务未发生重大变化。</w:t>
      </w:r>
    </w:p>
    <w:p>
      <w:pPr>
        <w:spacing w:line="240" w:lineRule="auto" w:before="8"/>
        <w:rPr>
          <w:rFonts w:ascii="宋体" w:hAnsi="宋体" w:cs="宋体" w:eastAsia="宋体" w:hint="default"/>
          <w:sz w:val="17"/>
          <w:szCs w:val="17"/>
        </w:rPr>
      </w:pPr>
    </w:p>
    <w:p>
      <w:pPr>
        <w:pStyle w:val="BodyText"/>
        <w:spacing w:line="480" w:lineRule="auto"/>
        <w:ind w:left="513" w:right="1055"/>
        <w:jc w:val="left"/>
      </w:pPr>
      <w:r>
        <w:rPr>
          <w:spacing w:val="-3"/>
        </w:rPr>
        <w:t>（二）经营模式</w:t>
      </w:r>
      <w:r>
        <w:rPr>
          <w:spacing w:val="-68"/>
        </w:rPr>
        <w:t> </w:t>
      </w:r>
      <w:r>
        <w:rPr>
          <w:spacing w:val="-68"/>
        </w:rPr>
      </w:r>
      <w:r>
        <w:rPr>
          <w:spacing w:val="-5"/>
        </w:rPr>
        <w:t>安科创新是以自主品牌的产品创新为经营理念的跨境电子商务公司。安科创新拥有专业的产品研发团队，根据产品和市</w:t>
      </w:r>
    </w:p>
    <w:p>
      <w:pPr>
        <w:pStyle w:val="BodyText"/>
        <w:spacing w:line="477" w:lineRule="auto" w:before="50"/>
        <w:ind w:right="1123"/>
        <w:jc w:val="both"/>
      </w:pPr>
      <w:r>
        <w:rPr>
          <w:spacing w:val="-3"/>
        </w:rPr>
        <w:t>场经验，研发适合海外用户需求的家居安防以及日用</w:t>
      </w:r>
      <w:r>
        <w:rPr>
          <w:rFonts w:ascii="宋体" w:hAnsi="宋体" w:cs="宋体" w:eastAsia="宋体" w:hint="default"/>
          <w:spacing w:val="-3"/>
        </w:rPr>
        <w:t>3C</w:t>
      </w:r>
      <w:r>
        <w:rPr>
          <w:spacing w:val="-3"/>
        </w:rPr>
        <w:t>电子产品等，并建立</w:t>
      </w:r>
      <w:r>
        <w:rPr>
          <w:rFonts w:ascii="宋体" w:hAnsi="宋体" w:cs="宋体" w:eastAsia="宋体" w:hint="default"/>
          <w:spacing w:val="-3"/>
        </w:rPr>
        <w:t>ANNKE</w:t>
      </w:r>
      <w:r>
        <w:rPr>
          <w:spacing w:val="-3"/>
        </w:rPr>
        <w:t>、</w:t>
      </w:r>
      <w:r>
        <w:rPr>
          <w:rFonts w:ascii="宋体" w:hAnsi="宋体" w:cs="宋体" w:eastAsia="宋体" w:hint="default"/>
          <w:spacing w:val="-3"/>
        </w:rPr>
        <w:t>SANNCE</w:t>
      </w:r>
      <w:r>
        <w:rPr>
          <w:spacing w:val="-3"/>
        </w:rPr>
        <w:t>等自主品牌，通过外协厂商的方</w:t>
      </w:r>
      <w:r>
        <w:rPr>
          <w:spacing w:val="1"/>
        </w:rPr>
        <w:t> </w:t>
      </w:r>
      <w:r>
        <w:rPr>
          <w:spacing w:val="1"/>
        </w:rPr>
      </w:r>
      <w:r>
        <w:rPr>
          <w:spacing w:val="-4"/>
        </w:rPr>
        <w:t>式完成产品生产，利用第三方线上平台和自营平台打开销售渠道，提高用户的认知度，逐步建立品牌影响力，进而进军线下</w:t>
      </w:r>
      <w:r>
        <w:rPr>
          <w:spacing w:val="40"/>
        </w:rPr>
        <w:t> </w:t>
      </w:r>
      <w:r>
        <w:rPr>
          <w:spacing w:val="40"/>
        </w:rPr>
      </w:r>
      <w:r>
        <w:rPr>
          <w:spacing w:val="-4"/>
        </w:rPr>
        <w:t>商场超市、线下代理等渠道，形成线上线下结合的经营模式。公司销售区域包括北美、欧洲、澳洲等全球重要市场区域的数</w:t>
      </w:r>
      <w:r>
        <w:rPr>
          <w:spacing w:val="40"/>
        </w:rPr>
        <w:t> </w:t>
      </w:r>
      <w:r>
        <w:rPr>
          <w:spacing w:val="40"/>
        </w:rPr>
      </w:r>
      <w:r>
        <w:rPr>
          <w:spacing w:val="-3"/>
        </w:rPr>
        <w:t>十个国家，并已经建立多个当地办事处和仓库，保证服务及供应链的及时性。</w:t>
      </w:r>
    </w:p>
    <w:p>
      <w:pPr>
        <w:pStyle w:val="BodyText"/>
        <w:spacing w:line="480" w:lineRule="auto" w:before="52"/>
        <w:ind w:left="513" w:right="1055"/>
        <w:jc w:val="left"/>
      </w:pPr>
      <w:r>
        <w:rPr>
          <w:spacing w:val="-3"/>
        </w:rPr>
        <w:t>（三）主要业绩驱动因素</w:t>
      </w:r>
      <w:r>
        <w:rPr>
          <w:spacing w:val="-56"/>
        </w:rPr>
        <w:t> </w:t>
      </w:r>
      <w:r>
        <w:rPr>
          <w:spacing w:val="-56"/>
        </w:rPr>
      </w:r>
      <w:r>
        <w:rPr>
          <w:spacing w:val="-4"/>
        </w:rPr>
        <w:t>安科创新属于跨境出口电子商务行业。近年来，随着我国进出口贸易规模的和国内跨境采购需求的增长，跨境电子商务</w:t>
      </w:r>
    </w:p>
    <w:p>
      <w:pPr>
        <w:spacing w:after="0" w:line="480" w:lineRule="auto"/>
        <w:jc w:val="left"/>
        <w:sectPr>
          <w:footerReference w:type="default" r:id="rId15"/>
          <w:pgSz w:w="11910" w:h="16840"/>
          <w:pgMar w:footer="1479" w:header="871" w:top="1100" w:bottom="1660" w:left="980" w:right="0"/>
          <w:pgNumType w:start="14"/>
        </w:sectPr>
      </w:pPr>
    </w:p>
    <w:p>
      <w:pPr>
        <w:spacing w:line="240" w:lineRule="auto" w:before="1"/>
        <w:rPr>
          <w:rFonts w:ascii="宋体" w:hAnsi="宋体" w:cs="宋体" w:eastAsia="宋体" w:hint="default"/>
          <w:sz w:val="28"/>
          <w:szCs w:val="28"/>
        </w:rPr>
      </w:pPr>
    </w:p>
    <w:p>
      <w:pPr>
        <w:pStyle w:val="BodyText"/>
        <w:spacing w:line="477" w:lineRule="auto" w:before="46"/>
        <w:ind w:right="1121"/>
        <w:jc w:val="both"/>
      </w:pPr>
      <w:r>
        <w:rPr>
          <w:spacing w:val="-4"/>
        </w:rPr>
        <w:t>为跨境电子商务业务打下坚实的产业基础。从国家政策的角度看，国务院于</w:t>
      </w:r>
      <w:r>
        <w:rPr>
          <w:rFonts w:ascii="宋体" w:hAnsi="宋体" w:cs="宋体" w:eastAsia="宋体" w:hint="default"/>
          <w:spacing w:val="-4"/>
        </w:rPr>
        <w:t>2018</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21</w:t>
      </w:r>
      <w:r>
        <w:rPr>
          <w:spacing w:val="-4"/>
        </w:rPr>
        <w:t>日召开常务会议，决定延续和完善</w:t>
      </w:r>
      <w:r>
        <w:rPr>
          <w:spacing w:val="59"/>
        </w:rPr>
        <w:t> </w:t>
      </w:r>
      <w:r>
        <w:rPr>
          <w:spacing w:val="59"/>
        </w:rPr>
      </w:r>
      <w:r>
        <w:rPr>
          <w:spacing w:val="-4"/>
        </w:rPr>
        <w:t>跨境电子商务零售进口政策并扩大适用范围，扩大开放更大激发消费潜力；部署推进物流枢纽布局建设，促进提高国民经济</w:t>
      </w:r>
      <w:r>
        <w:rPr>
          <w:spacing w:val="43"/>
        </w:rPr>
        <w:t> </w:t>
      </w:r>
      <w:r>
        <w:rPr>
          <w:spacing w:val="43"/>
        </w:rPr>
      </w:r>
      <w:r>
        <w:rPr>
          <w:spacing w:val="-4"/>
        </w:rPr>
        <w:t>运行质量和效率。从跨境电商交易效率看，相较传统跨境贸易，跨境电商可以缩短部分交易中间环节，提高交易效率，有利</w:t>
      </w:r>
      <w:r>
        <w:rPr>
          <w:spacing w:val="40"/>
        </w:rPr>
        <w:t> </w:t>
      </w:r>
      <w:r>
        <w:rPr>
          <w:spacing w:val="40"/>
        </w:rPr>
      </w:r>
      <w:r>
        <w:rPr>
          <w:spacing w:val="-4"/>
        </w:rPr>
        <w:t>于终端消费者以及供应商。从安科创新自身的经营情况看，经过近几年的发展，安科创新依靠产品和市场经验，已经在家居</w:t>
      </w:r>
      <w:r>
        <w:rPr>
          <w:spacing w:val="41"/>
        </w:rPr>
        <w:t> </w:t>
      </w:r>
      <w:r>
        <w:rPr>
          <w:spacing w:val="41"/>
        </w:rPr>
      </w:r>
      <w:r>
        <w:rPr>
          <w:spacing w:val="-4"/>
        </w:rPr>
        <w:t>安防等产品领域建立了品牌和渠道的优势，并逐步开拓海外线下渠道，形成比较稳定的销售流量。同时，安科创新的日用</w:t>
      </w:r>
      <w:r>
        <w:rPr>
          <w:rFonts w:ascii="宋体" w:hAnsi="宋体" w:cs="宋体" w:eastAsia="宋体" w:hint="default"/>
          <w:spacing w:val="-4"/>
        </w:rPr>
        <w:t>3C</w:t>
      </w:r>
      <w:r>
        <w:rPr>
          <w:rFonts w:ascii="宋体" w:hAnsi="宋体" w:cs="宋体" w:eastAsia="宋体" w:hint="default"/>
          <w:spacing w:val="46"/>
        </w:rPr>
        <w:t> </w:t>
      </w:r>
      <w:r>
        <w:rPr>
          <w:spacing w:val="-3"/>
        </w:rPr>
        <w:t>电子产品等其他产品品类的业务也在发展之中，进一步提升业务规模和盈利的增长空间。</w:t>
      </w:r>
    </w:p>
    <w:p>
      <w:pPr>
        <w:pStyle w:val="BodyText"/>
        <w:spacing w:line="475" w:lineRule="auto" w:before="57"/>
        <w:ind w:left="513" w:right="1055"/>
        <w:jc w:val="left"/>
      </w:pPr>
      <w:r>
        <w:rPr>
          <w:spacing w:val="-3"/>
        </w:rPr>
        <w:t>（四）行业特点及发展趋势</w:t>
      </w:r>
      <w:r>
        <w:rPr>
          <w:spacing w:val="-51"/>
        </w:rPr>
        <w:t> </w:t>
      </w:r>
      <w:r>
        <w:rPr>
          <w:spacing w:val="-51"/>
        </w:rPr>
      </w:r>
      <w:r>
        <w:rPr>
          <w:spacing w:val="-3"/>
        </w:rPr>
        <w:t>跨境电商行业整体呈现较为快速增长的发展趋势。中国国内的跨境出口电商持续高速增长的背后是海外电商的快速发</w:t>
      </w:r>
    </w:p>
    <w:p>
      <w:pPr>
        <w:pStyle w:val="BodyText"/>
        <w:spacing w:line="475" w:lineRule="auto" w:before="58"/>
        <w:ind w:right="1123"/>
        <w:jc w:val="both"/>
      </w:pPr>
      <w:r>
        <w:rPr>
          <w:spacing w:val="-3"/>
        </w:rPr>
        <w:t>展。据艾媒咨询统计，</w:t>
      </w:r>
      <w:r>
        <w:rPr>
          <w:rFonts w:ascii="宋体" w:hAnsi="宋体" w:cs="宋体" w:eastAsia="宋体" w:hint="default"/>
          <w:spacing w:val="-3"/>
        </w:rPr>
        <w:t>2018</w:t>
      </w:r>
      <w:r>
        <w:rPr>
          <w:spacing w:val="-3"/>
        </w:rPr>
        <w:t>年跨境电商交易规模有望增至</w:t>
      </w:r>
      <w:r>
        <w:rPr>
          <w:rFonts w:ascii="宋体" w:hAnsi="宋体" w:cs="宋体" w:eastAsia="宋体" w:hint="default"/>
          <w:spacing w:val="-3"/>
        </w:rPr>
        <w:t>9.0</w:t>
      </w:r>
      <w:r>
        <w:rPr>
          <w:spacing w:val="-3"/>
        </w:rPr>
        <w:t>万亿元。在“新消费”观念和消费升级潮流的冲击下，随着平</w:t>
      </w:r>
      <w:r>
        <w:rPr>
          <w:spacing w:val="79"/>
        </w:rPr>
        <w:t> </w:t>
      </w:r>
      <w:r>
        <w:rPr>
          <w:spacing w:val="79"/>
        </w:rPr>
      </w:r>
      <w:r>
        <w:rPr>
          <w:spacing w:val="-4"/>
        </w:rPr>
        <w:t>台物流水平和供应链打造逐渐完善，未来跨境电商的市场有望得到进一步扩大。安科创新正是按照自有品牌跨境出口电商的</w:t>
      </w:r>
      <w:r>
        <w:rPr>
          <w:spacing w:val="42"/>
        </w:rPr>
        <w:t> </w:t>
      </w:r>
      <w:r>
        <w:rPr>
          <w:spacing w:val="42"/>
        </w:rPr>
      </w:r>
      <w:r>
        <w:rPr>
          <w:spacing w:val="-4"/>
        </w:rPr>
        <w:t>发展思路开展经营，未来发展空间广阔。此外，随着中美贸易谈判的进展，如果出现对跨境出口电商不利的局面，将可能对</w:t>
      </w:r>
      <w:r>
        <w:rPr>
          <w:spacing w:val="40"/>
        </w:rPr>
        <w:t> </w:t>
      </w:r>
      <w:r>
        <w:rPr>
          <w:spacing w:val="40"/>
        </w:rPr>
      </w:r>
      <w:r>
        <w:rPr>
          <w:spacing w:val="-3"/>
        </w:rPr>
        <w:t>安科创新的业务产生一定的影响，但整体而言对安科创新的经营影响有限。</w:t>
      </w:r>
    </w:p>
    <w:p>
      <w:pPr>
        <w:pStyle w:val="BodyText"/>
        <w:spacing w:line="475" w:lineRule="auto" w:before="58"/>
        <w:ind w:left="513" w:right="1055"/>
        <w:jc w:val="left"/>
      </w:pPr>
      <w:r>
        <w:rPr/>
        <w:t>（五）公司的行业地位</w:t>
      </w:r>
      <w:r>
        <w:rPr>
          <w:spacing w:val="-86"/>
        </w:rPr>
        <w:t> </w:t>
      </w:r>
      <w:r>
        <w:rPr>
          <w:spacing w:val="-86"/>
        </w:rPr>
      </w:r>
      <w:r>
        <w:rPr>
          <w:spacing w:val="-4"/>
        </w:rPr>
        <w:t>近年来，凭借更有效率及性价比的商业模式，我国跨境电商已实现较快的规模增长，跨境出口电商的数量也逐年快速增</w:t>
      </w:r>
    </w:p>
    <w:p>
      <w:pPr>
        <w:pStyle w:val="BodyText"/>
        <w:spacing w:line="475" w:lineRule="auto" w:before="58"/>
        <w:ind w:right="1123"/>
        <w:jc w:val="both"/>
      </w:pPr>
      <w:r>
        <w:rPr>
          <w:spacing w:val="-4"/>
        </w:rPr>
        <w:t>加。安科创新发展时间较短，业务规模在行业中不具有显著优势。但在具体产品品类，如家居安防产品市场上，安科创新在</w:t>
      </w:r>
      <w:r>
        <w:rPr>
          <w:spacing w:val="40"/>
        </w:rPr>
        <w:t> </w:t>
      </w:r>
      <w:r>
        <w:rPr>
          <w:spacing w:val="40"/>
        </w:rPr>
      </w:r>
      <w:r>
        <w:rPr>
          <w:rFonts w:ascii="宋体" w:hAnsi="宋体" w:cs="宋体" w:eastAsia="宋体" w:hint="default"/>
          <w:spacing w:val="-4"/>
        </w:rPr>
        <w:t>Amazon</w:t>
      </w:r>
      <w:r>
        <w:rPr>
          <w:spacing w:val="-4"/>
        </w:rPr>
        <w:t>、</w:t>
      </w:r>
      <w:r>
        <w:rPr>
          <w:rFonts w:ascii="宋体" w:hAnsi="宋体" w:cs="宋体" w:eastAsia="宋体" w:hint="default"/>
          <w:spacing w:val="-4"/>
        </w:rPr>
        <w:t>Ebay</w:t>
      </w:r>
      <w:r>
        <w:rPr>
          <w:spacing w:val="-4"/>
        </w:rPr>
        <w:t>等多家国际第三方电商平台上均处于名列前茅的位置。借助在产品解决方案方面的优势，安科创新的产品服务</w:t>
      </w:r>
      <w:r>
        <w:rPr>
          <w:spacing w:val="62"/>
        </w:rPr>
        <w:t> </w:t>
      </w:r>
      <w:r>
        <w:rPr>
          <w:spacing w:val="62"/>
        </w:rPr>
      </w:r>
      <w:r>
        <w:rPr>
          <w:spacing w:val="-4"/>
        </w:rPr>
        <w:t>区域已覆盖美国、英国、德国、法国、澳大利亚、西班牙和俄罗斯等</w:t>
      </w:r>
      <w:r>
        <w:rPr>
          <w:rFonts w:ascii="宋体" w:hAnsi="宋体" w:cs="宋体" w:eastAsia="宋体" w:hint="default"/>
          <w:spacing w:val="-4"/>
        </w:rPr>
        <w:t>30</w:t>
      </w:r>
      <w:r>
        <w:rPr>
          <w:spacing w:val="-4"/>
        </w:rPr>
        <w:t>多个国家和地区，是北美、澳洲及欧洲等地区家居安</w:t>
      </w:r>
      <w:r>
        <w:rPr>
          <w:spacing w:val="40"/>
        </w:rPr>
        <w:t> </w:t>
      </w:r>
      <w:r>
        <w:rPr>
          <w:spacing w:val="40"/>
        </w:rPr>
      </w:r>
      <w:r>
        <w:rPr>
          <w:spacing w:val="-3"/>
        </w:rPr>
        <w:t>防在线市场的领先品牌。</w:t>
      </w:r>
    </w:p>
    <w:p>
      <w:pPr>
        <w:pStyle w:val="BodyText"/>
        <w:spacing w:line="240" w:lineRule="auto" w:before="58"/>
        <w:ind w:left="513" w:right="1055"/>
        <w:jc w:val="left"/>
      </w:pPr>
      <w:r>
        <w:rPr/>
        <w:t>四、公司其他业务情况</w:t>
      </w:r>
    </w:p>
    <w:p>
      <w:pPr>
        <w:spacing w:line="240" w:lineRule="auto" w:before="8"/>
        <w:rPr>
          <w:rFonts w:ascii="宋体" w:hAnsi="宋体" w:cs="宋体" w:eastAsia="宋体" w:hint="default"/>
          <w:sz w:val="17"/>
          <w:szCs w:val="17"/>
        </w:rPr>
      </w:pPr>
    </w:p>
    <w:p>
      <w:pPr>
        <w:pStyle w:val="BodyText"/>
        <w:spacing w:line="480" w:lineRule="auto"/>
        <w:ind w:left="513" w:right="1055"/>
        <w:jc w:val="left"/>
      </w:pPr>
      <w:r>
        <w:rPr/>
        <w:t>（一）互联网保险业务</w:t>
      </w:r>
      <w:r>
        <w:rPr>
          <w:spacing w:val="-86"/>
        </w:rPr>
        <w:t> </w:t>
      </w:r>
      <w:r>
        <w:rPr>
          <w:spacing w:val="-86"/>
        </w:rPr>
      </w:r>
      <w:r>
        <w:rPr>
          <w:spacing w:val="-3"/>
        </w:rPr>
        <w:t>易安保险是本公司和光汇石油等</w:t>
      </w:r>
      <w:r>
        <w:rPr>
          <w:rFonts w:ascii="宋体" w:hAnsi="宋体" w:cs="宋体" w:eastAsia="宋体" w:hint="default"/>
          <w:spacing w:val="-3"/>
        </w:rPr>
        <w:t>7</w:t>
      </w:r>
      <w:r>
        <w:rPr>
          <w:spacing w:val="-3"/>
        </w:rPr>
        <w:t>家公司共同发起设立的财产保险公司，注册资本人民币</w:t>
      </w:r>
      <w:r>
        <w:rPr>
          <w:rFonts w:ascii="宋体" w:hAnsi="宋体" w:cs="宋体" w:eastAsia="宋体" w:hint="default"/>
          <w:spacing w:val="-3"/>
        </w:rPr>
        <w:t>10</w:t>
      </w:r>
      <w:r>
        <w:rPr>
          <w:spacing w:val="-3"/>
        </w:rPr>
        <w:t>亿元。本公司出资</w:t>
      </w:r>
      <w:r>
        <w:rPr>
          <w:rFonts w:ascii="宋体" w:hAnsi="宋体" w:cs="宋体" w:eastAsia="宋体" w:hint="default"/>
          <w:spacing w:val="-3"/>
        </w:rPr>
        <w:t>1.5</w:t>
      </w:r>
      <w:r>
        <w:rPr>
          <w:spacing w:val="-3"/>
        </w:rPr>
        <w:t>亿元，</w:t>
      </w:r>
    </w:p>
    <w:p>
      <w:pPr>
        <w:pStyle w:val="BodyText"/>
        <w:spacing w:line="477" w:lineRule="auto" w:before="50"/>
        <w:ind w:right="1123"/>
        <w:jc w:val="both"/>
      </w:pPr>
      <w:r>
        <w:rPr>
          <w:spacing w:val="-4"/>
        </w:rPr>
        <w:t>持股权比例</w:t>
      </w:r>
      <w:r>
        <w:rPr>
          <w:rFonts w:ascii="宋体" w:hAnsi="宋体" w:cs="宋体" w:eastAsia="宋体" w:hint="default"/>
          <w:spacing w:val="-4"/>
        </w:rPr>
        <w:t>15%</w:t>
      </w:r>
      <w:r>
        <w:rPr>
          <w:spacing w:val="-4"/>
        </w:rPr>
        <w:t>。</w:t>
      </w:r>
      <w:r>
        <w:rPr>
          <w:rFonts w:ascii="宋体" w:hAnsi="宋体" w:cs="宋体" w:eastAsia="宋体" w:hint="default"/>
          <w:spacing w:val="-4"/>
        </w:rPr>
        <w:t>2016</w:t>
      </w:r>
      <w:r>
        <w:rPr>
          <w:spacing w:val="-4"/>
        </w:rPr>
        <w:t>年</w:t>
      </w:r>
      <w:r>
        <w:rPr>
          <w:rFonts w:ascii="宋体" w:hAnsi="宋体" w:cs="宋体" w:eastAsia="宋体" w:hint="default"/>
          <w:spacing w:val="-4"/>
        </w:rPr>
        <w:t>2</w:t>
      </w:r>
      <w:r>
        <w:rPr>
          <w:spacing w:val="-4"/>
        </w:rPr>
        <w:t>月，易安保险经中国保监会批准正式开业运营，是目前国内四家经中国保监会批准开展“与互联网</w:t>
      </w:r>
      <w:r>
        <w:rPr>
          <w:spacing w:val="56"/>
        </w:rPr>
        <w:t> </w:t>
      </w:r>
      <w:r>
        <w:rPr>
          <w:spacing w:val="56"/>
        </w:rPr>
      </w:r>
      <w:r>
        <w:rPr>
          <w:spacing w:val="-5"/>
        </w:rPr>
        <w:t>交易直接相关的”保险业务（“互联网保险”）的财产保险公司之一。易安保险的营业范围包括与互联网交易直接相关的企</w:t>
      </w:r>
      <w:r>
        <w:rPr>
          <w:spacing w:val="3"/>
        </w:rPr>
        <w:t> </w:t>
      </w:r>
      <w:r>
        <w:rPr>
          <w:spacing w:val="3"/>
        </w:rPr>
      </w:r>
      <w:r>
        <w:rPr>
          <w:spacing w:val="-4"/>
        </w:rPr>
        <w:t>业</w:t>
      </w:r>
      <w:r>
        <w:rPr>
          <w:rFonts w:ascii="宋体" w:hAnsi="宋体" w:cs="宋体" w:eastAsia="宋体" w:hint="default"/>
          <w:spacing w:val="-4"/>
        </w:rPr>
        <w:t>/</w:t>
      </w:r>
      <w:r>
        <w:rPr>
          <w:spacing w:val="-4"/>
        </w:rPr>
        <w:t>家庭财产保险、货运保险、责任保险、信用保证保险、短期健康</w:t>
      </w:r>
      <w:r>
        <w:rPr>
          <w:rFonts w:ascii="宋体" w:hAnsi="宋体" w:cs="宋体" w:eastAsia="宋体" w:hint="default"/>
          <w:spacing w:val="-4"/>
        </w:rPr>
        <w:t>/</w:t>
      </w:r>
      <w:r>
        <w:rPr>
          <w:spacing w:val="-4"/>
        </w:rPr>
        <w:t>意外伤害保险；上述业务的再保险分出和再保险分入业</w:t>
      </w:r>
      <w:r>
        <w:rPr>
          <w:spacing w:val="40"/>
        </w:rPr>
        <w:t> </w:t>
      </w:r>
      <w:r>
        <w:rPr>
          <w:spacing w:val="40"/>
        </w:rPr>
      </w:r>
      <w:r>
        <w:rPr>
          <w:spacing w:val="-3"/>
        </w:rPr>
        <w:t>务（仅限临时分保分入）；国家法律、法规允许的保险资金运用业务；经中国保险监督管理委员会批准的其他业务。</w:t>
      </w:r>
    </w:p>
    <w:p>
      <w:pPr>
        <w:pStyle w:val="BodyText"/>
        <w:spacing w:line="480" w:lineRule="auto" w:before="52"/>
        <w:ind w:left="513" w:right="1055"/>
        <w:jc w:val="left"/>
      </w:pPr>
      <w:r>
        <w:rPr>
          <w:spacing w:val="-3"/>
        </w:rPr>
        <w:t>（二）个人征信业务</w:t>
      </w:r>
      <w:r>
        <w:rPr>
          <w:spacing w:val="-62"/>
        </w:rPr>
        <w:t> </w:t>
      </w:r>
      <w:r>
        <w:rPr>
          <w:spacing w:val="-62"/>
        </w:rPr>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15</w:t>
      </w:r>
      <w:r>
        <w:rPr>
          <w:spacing w:val="-3"/>
        </w:rPr>
        <w:t>日《征信业管理条例》正式实施，标志着我国个人征信行业进入了市场化发展的新时代。同年</w:t>
      </w:r>
      <w:r>
        <w:rPr>
          <w:rFonts w:ascii="宋体" w:hAnsi="宋体" w:cs="宋体" w:eastAsia="宋体" w:hint="default"/>
          <w:spacing w:val="-3"/>
        </w:rPr>
        <w:t>12</w:t>
      </w:r>
      <w:r>
        <w:rPr>
          <w:spacing w:val="-3"/>
        </w:rPr>
        <w:t>月，公司</w:t>
      </w:r>
    </w:p>
    <w:p>
      <w:pPr>
        <w:pStyle w:val="BodyText"/>
        <w:spacing w:line="240" w:lineRule="auto" w:before="50"/>
        <w:ind w:right="0"/>
        <w:jc w:val="both"/>
      </w:pPr>
      <w:r>
        <w:rPr>
          <w:spacing w:val="-3"/>
        </w:rPr>
        <w:t>作为第一大股东投资设立了华道征信。</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月，华道征信经中国人民银行批准开展个人征信业务准备工作。</w:t>
      </w:r>
      <w:r>
        <w:rPr>
          <w:rFonts w:ascii="宋体" w:hAnsi="宋体" w:cs="宋体" w:eastAsia="宋体" w:hint="default"/>
          <w:spacing w:val="-3"/>
        </w:rPr>
        <w:t>2017</w:t>
      </w:r>
      <w:r>
        <w:rPr>
          <w:spacing w:val="-3"/>
        </w:rPr>
        <w:t>年，华</w:t>
      </w:r>
    </w:p>
    <w:p>
      <w:pPr>
        <w:pStyle w:val="BodyText"/>
        <w:spacing w:line="460" w:lineRule="atLeast" w:before="11"/>
        <w:ind w:right="1044"/>
        <w:jc w:val="both"/>
      </w:pPr>
      <w:r>
        <w:rPr>
          <w:spacing w:val="-6"/>
        </w:rPr>
        <w:t>道征信与其他发起人共同发起设立百行征信有限公司。</w:t>
      </w:r>
      <w:r>
        <w:rPr>
          <w:rFonts w:ascii="宋体" w:hAnsi="宋体" w:cs="宋体" w:eastAsia="宋体" w:hint="default"/>
          <w:spacing w:val="-6"/>
        </w:rPr>
        <w:t>2018</w:t>
      </w:r>
      <w:r>
        <w:rPr>
          <w:spacing w:val="-6"/>
        </w:rPr>
        <w:t>年</w:t>
      </w:r>
      <w:r>
        <w:rPr>
          <w:rFonts w:ascii="宋体" w:hAnsi="宋体" w:cs="宋体" w:eastAsia="宋体" w:hint="default"/>
          <w:spacing w:val="-6"/>
        </w:rPr>
        <w:t>2</w:t>
      </w:r>
      <w:r>
        <w:rPr>
          <w:spacing w:val="-6"/>
        </w:rPr>
        <w:t>月</w:t>
      </w:r>
      <w:r>
        <w:rPr>
          <w:rFonts w:ascii="宋体" w:hAnsi="宋体" w:cs="宋体" w:eastAsia="宋体" w:hint="default"/>
          <w:spacing w:val="-6"/>
        </w:rPr>
        <w:t>22</w:t>
      </w:r>
      <w:r>
        <w:rPr>
          <w:spacing w:val="-6"/>
        </w:rPr>
        <w:t>日，百行征信已经中国人民银行“银征信许准予字</w:t>
      </w:r>
      <w:r>
        <w:rPr>
          <w:rFonts w:ascii="宋体" w:hAnsi="宋体" w:cs="宋体" w:eastAsia="宋体" w:hint="default"/>
          <w:spacing w:val="-6"/>
        </w:rPr>
        <w:t>[2018]</w:t>
      </w:r>
      <w:r>
        <w:rPr>
          <w:rFonts w:ascii="宋体" w:hAnsi="宋体" w:cs="宋体" w:eastAsia="宋体" w:hint="default"/>
          <w:spacing w:val="15"/>
        </w:rPr>
        <w:t> </w:t>
      </w:r>
      <w:r>
        <w:rPr>
          <w:rFonts w:ascii="宋体" w:hAnsi="宋体" w:cs="宋体" w:eastAsia="宋体" w:hint="default"/>
          <w:spacing w:val="15"/>
        </w:rPr>
      </w:r>
      <w:r>
        <w:rPr>
          <w:spacing w:val="-3"/>
        </w:rPr>
        <w:t>第</w:t>
      </w:r>
      <w:r>
        <w:rPr>
          <w:rFonts w:ascii="宋体" w:hAnsi="宋体" w:cs="宋体" w:eastAsia="宋体" w:hint="default"/>
          <w:spacing w:val="-3"/>
        </w:rPr>
        <w:t>1</w:t>
      </w:r>
      <w:r>
        <w:rPr>
          <w:spacing w:val="-3"/>
        </w:rPr>
        <w:t>号”批准获得个人征信机构设立许可，是目前国内唯一经中国人民银行批准开展个人业务的征信公司。</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23</w:t>
      </w:r>
      <w:r>
        <w:rPr>
          <w:spacing w:val="-3"/>
        </w:rPr>
        <w:t>日，</w:t>
      </w:r>
      <w:r>
        <w:rPr/>
      </w:r>
    </w:p>
    <w:p>
      <w:pPr>
        <w:spacing w:after="0" w:line="460" w:lineRule="atLeast"/>
        <w:jc w:val="both"/>
        <w:sectPr>
          <w:footerReference w:type="default" r:id="rId16"/>
          <w:pgSz w:w="11910" w:h="16840"/>
          <w:pgMar w:footer="1186" w:header="871" w:top="1100" w:bottom="1380" w:left="980" w:right="0"/>
          <w:pgNumType w:start="15"/>
        </w:sectPr>
      </w:pPr>
    </w:p>
    <w:p>
      <w:pPr>
        <w:spacing w:line="240" w:lineRule="auto" w:before="1"/>
        <w:rPr>
          <w:rFonts w:ascii="宋体" w:hAnsi="宋体" w:cs="宋体" w:eastAsia="宋体" w:hint="default"/>
          <w:sz w:val="28"/>
          <w:szCs w:val="28"/>
        </w:rPr>
      </w:pPr>
    </w:p>
    <w:p>
      <w:pPr>
        <w:pStyle w:val="BodyText"/>
        <w:spacing w:line="475" w:lineRule="auto" w:before="46"/>
        <w:ind w:right="1121"/>
        <w:jc w:val="both"/>
      </w:pPr>
      <w:r>
        <w:rPr>
          <w:spacing w:val="-6"/>
        </w:rPr>
        <w:t>百行征信在深圳正式挂牌成立。截至</w:t>
      </w:r>
      <w:r>
        <w:rPr>
          <w:rFonts w:ascii="宋体" w:hAnsi="宋体" w:cs="宋体" w:eastAsia="宋体" w:hint="default"/>
          <w:spacing w:val="-6"/>
        </w:rPr>
        <w:t>2019</w:t>
      </w:r>
      <w:r>
        <w:rPr>
          <w:spacing w:val="-6"/>
        </w:rPr>
        <w:t>年</w:t>
      </w:r>
      <w:r>
        <w:rPr>
          <w:rFonts w:ascii="宋体" w:hAnsi="宋体" w:cs="宋体" w:eastAsia="宋体" w:hint="default"/>
          <w:spacing w:val="-6"/>
        </w:rPr>
        <w:t>3</w:t>
      </w:r>
      <w:r>
        <w:rPr>
          <w:spacing w:val="-6"/>
        </w:rPr>
        <w:t>月，百行征信已经推出了个人信用报告等</w:t>
      </w:r>
      <w:r>
        <w:rPr>
          <w:rFonts w:ascii="宋体" w:hAnsi="宋体" w:cs="宋体" w:eastAsia="宋体" w:hint="default"/>
          <w:spacing w:val="-6"/>
        </w:rPr>
        <w:t>3</w:t>
      </w:r>
      <w:r>
        <w:rPr>
          <w:spacing w:val="-6"/>
        </w:rPr>
        <w:t>款征信服务产品，并已签约接入了</w:t>
      </w:r>
      <w:r>
        <w:rPr>
          <w:rFonts w:ascii="宋体" w:hAnsi="宋体" w:cs="宋体" w:eastAsia="宋体" w:hint="default"/>
          <w:spacing w:val="-6"/>
        </w:rPr>
        <w:t>600</w:t>
      </w:r>
      <w:r>
        <w:rPr>
          <w:rFonts w:ascii="宋体" w:hAnsi="宋体" w:cs="宋体" w:eastAsia="宋体" w:hint="default"/>
          <w:spacing w:val="1"/>
        </w:rPr>
        <w:t> </w:t>
      </w:r>
      <w:r>
        <w:rPr>
          <w:rFonts w:ascii="宋体" w:hAnsi="宋体" w:cs="宋体" w:eastAsia="宋体" w:hint="default"/>
          <w:spacing w:val="1"/>
        </w:rPr>
      </w:r>
      <w:r>
        <w:rPr>
          <w:spacing w:val="-4"/>
        </w:rPr>
        <w:t>多家机构的信用信息，实现了业务的良好开局。百行征信的获批筹建是我国个人征信业务领域里程碑式的重要进展，是推进</w:t>
      </w:r>
      <w:r>
        <w:rPr>
          <w:spacing w:val="45"/>
        </w:rPr>
        <w:t> </w:t>
      </w:r>
      <w:r>
        <w:rPr>
          <w:spacing w:val="45"/>
        </w:rPr>
      </w:r>
      <w:r>
        <w:rPr>
          <w:spacing w:val="-4"/>
        </w:rPr>
        <w:t>社会信用体系建设、建立健全社会征信体系的重要举措，标志着我国个人征信行业将迎来历史性的发展机遇。华道征信作为</w:t>
      </w:r>
      <w:r>
        <w:rPr>
          <w:spacing w:val="43"/>
        </w:rPr>
        <w:t> </w:t>
      </w:r>
      <w:r>
        <w:rPr>
          <w:spacing w:val="43"/>
        </w:rPr>
      </w:r>
      <w:r>
        <w:rPr>
          <w:spacing w:val="-3"/>
        </w:rPr>
        <w:t>股东和董事单位，与百行征信共建共赢，积极支持、配合百行征信各项工作的开展。</w:t>
      </w:r>
    </w:p>
    <w:p>
      <w:pPr>
        <w:pStyle w:val="BodyText"/>
        <w:spacing w:line="475" w:lineRule="auto" w:before="58"/>
        <w:ind w:left="513" w:right="1055"/>
        <w:jc w:val="left"/>
        <w:rPr>
          <w:rFonts w:ascii="宋体" w:hAnsi="宋体" w:cs="宋体" w:eastAsia="宋体" w:hint="default"/>
        </w:rPr>
      </w:pPr>
      <w:r>
        <w:rPr>
          <w:spacing w:val="-3"/>
        </w:rPr>
        <w:t>（三）证券业务</w:t>
      </w:r>
      <w:r>
        <w:rPr>
          <w:spacing w:val="-68"/>
        </w:rPr>
        <w:t> </w:t>
      </w:r>
      <w:r>
        <w:rPr>
          <w:spacing w:val="-68"/>
        </w:rPr>
      </w:r>
      <w:r>
        <w:rPr>
          <w:rFonts w:ascii="宋体" w:hAnsi="宋体" w:cs="宋体" w:eastAsia="宋体" w:hint="default"/>
          <w:spacing w:val="-4"/>
        </w:rPr>
        <w:t>2016</w:t>
      </w:r>
      <w:r>
        <w:rPr>
          <w:spacing w:val="-4"/>
        </w:rPr>
        <w:t>年</w:t>
      </w:r>
      <w:r>
        <w:rPr>
          <w:rFonts w:ascii="宋体" w:hAnsi="宋体" w:cs="宋体" w:eastAsia="宋体" w:hint="default"/>
          <w:spacing w:val="-4"/>
        </w:rPr>
        <w:t>4</w:t>
      </w:r>
      <w:r>
        <w:rPr>
          <w:spacing w:val="-4"/>
        </w:rPr>
        <w:t>月，公司与东亚银行及其他出资人共同发起设立东亚前海证券有限责任公司，公司使用自有资金出资</w:t>
      </w:r>
      <w:r>
        <w:rPr>
          <w:rFonts w:ascii="宋体" w:hAnsi="宋体" w:cs="宋体" w:eastAsia="宋体" w:hint="default"/>
          <w:spacing w:val="-4"/>
        </w:rPr>
        <w:t>39,150.00</w:t>
      </w:r>
    </w:p>
    <w:p>
      <w:pPr>
        <w:pStyle w:val="BodyText"/>
        <w:spacing w:line="475" w:lineRule="auto" w:before="59"/>
        <w:ind w:right="1055"/>
        <w:jc w:val="left"/>
      </w:pPr>
      <w:r>
        <w:rPr>
          <w:spacing w:val="-3"/>
        </w:rPr>
        <w:t>万元，出资后占东亚前海证券注册资本的</w:t>
      </w:r>
      <w:r>
        <w:rPr>
          <w:rFonts w:ascii="宋体" w:hAnsi="宋体" w:cs="宋体" w:eastAsia="宋体" w:hint="default"/>
          <w:spacing w:val="-3"/>
        </w:rPr>
        <w:t>26.10%</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月，经中国证监会批准东亚前海证券获批筹建。</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4</w:t>
      </w:r>
      <w:r>
        <w:rPr>
          <w:spacing w:val="-3"/>
        </w:rPr>
        <w:t>日，</w:t>
      </w:r>
      <w:r>
        <w:rPr>
          <w:spacing w:val="6"/>
        </w:rPr>
        <w:t> </w:t>
      </w:r>
      <w:r>
        <w:rPr>
          <w:spacing w:val="-4"/>
        </w:rPr>
        <w:t>东亚前海证券获得中国证监会颁发的《经营证券期货业务许可证》，正式对外开展业务，业务经营范围包括证券经纪、证券</w:t>
      </w:r>
      <w:r>
        <w:rPr>
          <w:spacing w:val="41"/>
        </w:rPr>
        <w:t> </w:t>
      </w:r>
      <w:r>
        <w:rPr>
          <w:spacing w:val="41"/>
        </w:rPr>
      </w:r>
      <w:r>
        <w:rPr>
          <w:spacing w:val="-4"/>
        </w:rPr>
        <w:t>承销与保荐、证券自营与证券资产管理。公司充分利用已有的技术和业务资源，助力东亚前海证券发展成为科技驱动的新型</w:t>
      </w:r>
      <w:r>
        <w:rPr>
          <w:spacing w:val="43"/>
        </w:rPr>
        <w:t> </w:t>
      </w:r>
      <w:r>
        <w:rPr>
          <w:spacing w:val="43"/>
        </w:rPr>
      </w:r>
      <w:r>
        <w:rPr>
          <w:spacing w:val="-3"/>
        </w:rPr>
        <w:t>券商，推动东亚前海证券业务快速发展。</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477" w:lineRule="auto"/>
        <w:ind w:right="1123" w:firstLine="360"/>
        <w:jc w:val="both"/>
      </w:pPr>
      <w:r>
        <w:rPr>
          <w:spacing w:val="-4"/>
        </w:rPr>
        <w:t>通过以上各主营业务的开展，以及对金融基础服务和金融机构的战略投资，公司已经逐步在金融科技创新领域形成了比</w:t>
      </w:r>
      <w:r>
        <w:rPr>
          <w:w w:val="101"/>
        </w:rPr>
        <w:t> </w:t>
      </w:r>
      <w:r>
        <w:rPr>
          <w:spacing w:val="-4"/>
        </w:rPr>
        <w:t>较完整的业务布局，构建了以金融</w:t>
      </w:r>
      <w:r>
        <w:rPr>
          <w:rFonts w:ascii="宋体" w:hAnsi="宋体" w:cs="宋体" w:eastAsia="宋体" w:hint="default"/>
          <w:spacing w:val="-4"/>
        </w:rPr>
        <w:t>IT</w:t>
      </w:r>
      <w:r>
        <w:rPr>
          <w:spacing w:val="-4"/>
        </w:rPr>
        <w:t>、征信、大数据、支付技术为基石，通过整合资源、协同创新向客户提供软件开发、系</w:t>
      </w:r>
      <w:r>
        <w:rPr>
          <w:spacing w:val="44"/>
        </w:rPr>
        <w:t> </w:t>
      </w:r>
      <w:r>
        <w:rPr>
          <w:spacing w:val="44"/>
        </w:rPr>
      </w:r>
      <w:r>
        <w:rPr>
          <w:spacing w:val="-3"/>
        </w:rPr>
        <w:t>统运维、数据分析服务等综合服务的战略业务格局，为公司以金融科技为核心的业务发展开创了广阔的发展空间。</w:t>
      </w:r>
    </w:p>
    <w:p>
      <w:pPr>
        <w:spacing w:line="240" w:lineRule="auto" w:before="1"/>
        <w:rPr>
          <w:rFonts w:ascii="宋体" w:hAnsi="宋体" w:cs="宋体" w:eastAsia="宋体" w:hint="default"/>
          <w:sz w:val="12"/>
          <w:szCs w:val="12"/>
        </w:rPr>
      </w:pPr>
    </w:p>
    <w:p>
      <w:pPr>
        <w:spacing w:line="4310" w:lineRule="exact"/>
        <w:ind w:left="1758"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467873" cy="273710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467873" cy="2737104"/>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2"/>
        <w:spacing w:line="240" w:lineRule="auto"/>
        <w:ind w:right="1055"/>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4"/>
        <w:gridCol w:w="6877"/>
      </w:tblGrid>
      <w:tr>
        <w:trPr>
          <w:trHeight w:val="187"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8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6"/>
              <w:jc w:val="center"/>
              <w:rPr>
                <w:rFonts w:ascii="宋体" w:hAnsi="宋体" w:cs="宋体" w:eastAsia="宋体" w:hint="default"/>
                <w:sz w:val="18"/>
                <w:szCs w:val="18"/>
              </w:rPr>
            </w:pPr>
            <w:r>
              <w:rPr>
                <w:rFonts w:ascii="宋体" w:hAnsi="宋体" w:cs="宋体" w:eastAsia="宋体" w:hint="default"/>
                <w:sz w:val="18"/>
                <w:szCs w:val="18"/>
              </w:rPr>
              <w:t>期末余额较年初余额减少 </w:t>
            </w:r>
            <w:r>
              <w:rPr>
                <w:rFonts w:ascii="Times New Roman" w:hAnsi="Times New Roman" w:cs="Times New Roman" w:eastAsia="Times New Roman" w:hint="default"/>
                <w:sz w:val="18"/>
                <w:szCs w:val="18"/>
              </w:rPr>
              <w:t>70,012,544.44 </w:t>
            </w:r>
            <w:r>
              <w:rPr>
                <w:rFonts w:ascii="宋体" w:hAnsi="宋体" w:cs="宋体" w:eastAsia="宋体" w:hint="default"/>
                <w:sz w:val="18"/>
                <w:szCs w:val="18"/>
              </w:rPr>
              <w:t>元，下降</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11.53%</w:t>
            </w:r>
            <w:r>
              <w:rPr>
                <w:rFonts w:ascii="宋体" w:hAnsi="宋体" w:cs="宋体" w:eastAsia="宋体" w:hint="default"/>
                <w:spacing w:val="-3"/>
                <w:sz w:val="18"/>
                <w:szCs w:val="18"/>
              </w:rPr>
              <w:t>，主要原因系报告期内公司及</w:t>
            </w:r>
          </w:p>
        </w:tc>
      </w:tr>
    </w:tbl>
    <w:p>
      <w:pPr>
        <w:spacing w:after="0" w:line="240"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94"/>
        <w:gridCol w:w="6877"/>
      </w:tblGrid>
      <w:tr>
        <w:trPr>
          <w:trHeight w:val="36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子公司投资设立的东亚前海证券、易安保险、华道征信等形成的损益。</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77,297.97</w:t>
            </w:r>
            <w:r>
              <w:rPr>
                <w:rFonts w:ascii="Times New Roman" w:hAnsi="Times New Roman" w:cs="Times New Roman" w:eastAsia="Times New Roman" w:hint="default"/>
                <w:spacing w:val="19"/>
                <w:sz w:val="18"/>
                <w:szCs w:val="18"/>
              </w:rPr>
              <w:t> </w:t>
            </w:r>
            <w:r>
              <w:rPr>
                <w:rFonts w:ascii="宋体" w:hAnsi="宋体" w:cs="宋体" w:eastAsia="宋体" w:hint="default"/>
                <w:spacing w:val="-12"/>
                <w:sz w:val="18"/>
                <w:szCs w:val="18"/>
              </w:rPr>
              <w:t>元，增长</w:t>
            </w:r>
            <w:r>
              <w:rPr>
                <w:rFonts w:ascii="宋体" w:hAnsi="宋体" w:cs="宋体" w:eastAsia="宋体" w:hint="default"/>
                <w:spacing w:val="-26"/>
                <w:sz w:val="18"/>
                <w:szCs w:val="18"/>
              </w:rPr>
              <w:t> </w:t>
            </w:r>
            <w:r>
              <w:rPr>
                <w:rFonts w:ascii="Times New Roman" w:hAnsi="Times New Roman" w:cs="Times New Roman" w:eastAsia="Times New Roman" w:hint="default"/>
                <w:spacing w:val="-5"/>
                <w:sz w:val="18"/>
                <w:szCs w:val="18"/>
              </w:rPr>
              <w:t>0.57%</w:t>
            </w:r>
            <w:r>
              <w:rPr>
                <w:rFonts w:ascii="宋体" w:hAnsi="宋体" w:cs="宋体" w:eastAsia="宋体" w:hint="default"/>
                <w:spacing w:val="-5"/>
                <w:sz w:val="18"/>
                <w:szCs w:val="18"/>
              </w:rPr>
              <w:t>，主要原因系报告期内购置生产经营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或研究开发所需的设备增加所致。</w:t>
            </w:r>
          </w:p>
        </w:tc>
      </w:tr>
      <w:tr>
        <w:trPr>
          <w:trHeight w:val="71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70"/>
              <w:jc w:val="left"/>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10,608,652.79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元，下降</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16.84%</w:t>
            </w:r>
            <w:r>
              <w:rPr>
                <w:rFonts w:ascii="宋体" w:hAnsi="宋体" w:cs="宋体" w:eastAsia="宋体" w:hint="default"/>
                <w:spacing w:val="-3"/>
                <w:sz w:val="18"/>
                <w:szCs w:val="18"/>
              </w:rPr>
              <w:t>，主要原因系报告期内按会计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政策逐年摊销无形资产原值所致。</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期末余额较年初增加</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86,461,208.75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元，增长</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28.50%</w:t>
            </w:r>
            <w:r>
              <w:rPr>
                <w:rFonts w:ascii="宋体" w:hAnsi="宋体" w:cs="宋体" w:eastAsia="宋体" w:hint="default"/>
                <w:spacing w:val="-3"/>
                <w:sz w:val="18"/>
                <w:szCs w:val="18"/>
              </w:rPr>
              <w:t>，主要原因系报告期内公司金融信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息化业务客户回款增加和公司子公司亿美软通移动信息服务收到酬金增加所致。</w:t>
            </w:r>
          </w:p>
        </w:tc>
      </w:tr>
      <w:tr>
        <w:trPr>
          <w:trHeight w:val="1023"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98,142,538.99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元，增长</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33.97%</w:t>
            </w:r>
            <w:r>
              <w:rPr>
                <w:rFonts w:ascii="宋体" w:hAnsi="宋体" w:cs="宋体" w:eastAsia="宋体" w:hint="default"/>
                <w:spacing w:val="-3"/>
                <w:sz w:val="18"/>
                <w:szCs w:val="18"/>
              </w:rPr>
              <w:t>，主要原因系报告期内公司金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融信息化业务增长引起的货款增加和公司子公司亿美软通移动信息服务大额、后付费客</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户增加所致。</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期末余额较年初减少</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26,991,749.91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元，下降</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18.20%</w:t>
            </w:r>
            <w:r>
              <w:rPr>
                <w:rFonts w:ascii="宋体" w:hAnsi="宋体" w:cs="宋体" w:eastAsia="宋体" w:hint="default"/>
                <w:spacing w:val="-3"/>
                <w:sz w:val="18"/>
                <w:szCs w:val="18"/>
              </w:rPr>
              <w:t>，主要原因系公司为储备货物上期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预付供应商货款在本期实现货物销售，本期采购降低所致。</w:t>
            </w:r>
          </w:p>
        </w:tc>
      </w:tr>
      <w:tr>
        <w:trPr>
          <w:trHeight w:val="716"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70"/>
              <w:jc w:val="left"/>
              <w:rPr>
                <w:rFonts w:ascii="宋体" w:hAnsi="宋体" w:cs="宋体" w:eastAsia="宋体" w:hint="default"/>
                <w:sz w:val="18"/>
                <w:szCs w:val="18"/>
              </w:rPr>
            </w:pPr>
            <w:r>
              <w:rPr>
                <w:rFonts w:ascii="宋体" w:hAnsi="宋体" w:cs="宋体" w:eastAsia="宋体" w:hint="default"/>
                <w:sz w:val="18"/>
                <w:szCs w:val="18"/>
              </w:rPr>
              <w:t>期末余额较年初增加</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10,331,271.64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元，增长</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30.78%</w:t>
            </w:r>
            <w:r>
              <w:rPr>
                <w:rFonts w:ascii="宋体" w:hAnsi="宋体" w:cs="宋体" w:eastAsia="宋体" w:hint="default"/>
                <w:spacing w:val="-3"/>
                <w:sz w:val="18"/>
                <w:szCs w:val="18"/>
              </w:rPr>
              <w:t>，主要原因系报告期内公司支付的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往来款增加和公司子公司亿美软通支付往来款增加所致。</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期末余额较年初减少</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27,388,902.41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元，下降</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17.68%</w:t>
            </w:r>
            <w:r>
              <w:rPr>
                <w:rFonts w:ascii="宋体" w:hAnsi="宋体" w:cs="宋体" w:eastAsia="宋体" w:hint="default"/>
                <w:spacing w:val="-3"/>
                <w:sz w:val="18"/>
                <w:szCs w:val="18"/>
              </w:rPr>
              <w:t>，主要原因系报告期内公司子公司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安科创新加强存货管理，清理库存所致。</w:t>
            </w:r>
          </w:p>
        </w:tc>
      </w:tr>
      <w:tr>
        <w:trPr>
          <w:trHeight w:val="1023"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both"/>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87,269,045.90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元，下降</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26.70%</w:t>
            </w:r>
            <w:r>
              <w:rPr>
                <w:rFonts w:ascii="宋体" w:hAnsi="宋体" w:cs="宋体" w:eastAsia="宋体" w:hint="default"/>
                <w:spacing w:val="-3"/>
                <w:sz w:val="18"/>
                <w:szCs w:val="18"/>
              </w:rPr>
              <w:t>，主要原因系报告期内公司子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公司亿美软通退还业务保证金和回收酬金、以及公司子公司安科创新出口退税款项减少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所致。</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27"/>
              <w:jc w:val="left"/>
              <w:rPr>
                <w:rFonts w:ascii="宋体" w:hAnsi="宋体" w:cs="宋体" w:eastAsia="宋体" w:hint="default"/>
                <w:sz w:val="18"/>
                <w:szCs w:val="18"/>
              </w:rPr>
            </w:pPr>
            <w:r>
              <w:rPr>
                <w:rFonts w:ascii="宋体" w:hAnsi="宋体" w:cs="宋体" w:eastAsia="宋体" w:hint="default"/>
                <w:sz w:val="18"/>
                <w:szCs w:val="18"/>
              </w:rPr>
              <w:t>期末余额较年初余额减少</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38,231,716.23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元，下降</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，主要原因系报告期内公司出售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房产所致。</w:t>
            </w:r>
          </w:p>
        </w:tc>
      </w:tr>
      <w:tr>
        <w:trPr>
          <w:trHeight w:val="716"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8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期末余额较年初余额增加</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2,558,254.66</w:t>
            </w:r>
            <w:r>
              <w:rPr>
                <w:rFonts w:ascii="Times New Roman" w:hAnsi="Times New Roman" w:cs="Times New Roman" w:eastAsia="Times New Roman" w:hint="default"/>
                <w:spacing w:val="21"/>
                <w:sz w:val="18"/>
                <w:szCs w:val="18"/>
              </w:rPr>
              <w:t> </w:t>
            </w:r>
            <w:r>
              <w:rPr>
                <w:rFonts w:ascii="宋体" w:hAnsi="宋体" w:cs="宋体" w:eastAsia="宋体" w:hint="default"/>
                <w:spacing w:val="-7"/>
                <w:sz w:val="18"/>
                <w:szCs w:val="18"/>
              </w:rPr>
              <w:t>元，增长</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59.19%</w:t>
            </w:r>
            <w:r>
              <w:rPr>
                <w:rFonts w:ascii="宋体" w:hAnsi="宋体" w:cs="宋体" w:eastAsia="宋体" w:hint="default"/>
                <w:spacing w:val="-4"/>
                <w:sz w:val="18"/>
                <w:szCs w:val="18"/>
              </w:rPr>
              <w:t>，主要原因系报告期内增加了用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于长期售后服务的备机费用所致。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055"/>
        <w:jc w:val="left"/>
        <w:rPr>
          <w:b w:val="0"/>
          <w:bCs w:val="0"/>
        </w:rPr>
      </w:pPr>
      <w:r>
        <w:rPr/>
        <w:t>三、核心竞争力分析</w:t>
      </w:r>
      <w:r>
        <w:rPr>
          <w:b w:val="0"/>
          <w:bCs w:val="0"/>
        </w:rPr>
      </w:r>
    </w:p>
    <w:p>
      <w:pPr>
        <w:spacing w:line="240" w:lineRule="auto" w:before="6"/>
        <w:rPr>
          <w:rFonts w:ascii="宋体" w:hAnsi="宋体" w:cs="宋体" w:eastAsia="宋体" w:hint="default"/>
          <w:b/>
          <w:bCs/>
          <w:sz w:val="33"/>
          <w:szCs w:val="33"/>
        </w:rPr>
      </w:pPr>
    </w:p>
    <w:p>
      <w:pPr>
        <w:pStyle w:val="BodyText"/>
        <w:spacing w:line="475" w:lineRule="auto"/>
        <w:ind w:left="513" w:right="1055"/>
        <w:jc w:val="left"/>
      </w:pPr>
      <w:r>
        <w:rPr>
          <w:rFonts w:ascii="宋体" w:hAnsi="宋体" w:cs="宋体" w:eastAsia="宋体" w:hint="default"/>
        </w:rPr>
        <w:t>1.</w:t>
      </w:r>
      <w:r>
        <w:rPr/>
        <w:t>技术与行业经验优势</w:t>
      </w:r>
      <w:r>
        <w:rPr>
          <w:spacing w:val="-86"/>
        </w:rPr>
        <w:t> </w:t>
      </w:r>
      <w:r>
        <w:rPr>
          <w:spacing w:val="-86"/>
        </w:rPr>
      </w:r>
      <w:r>
        <w:rPr>
          <w:spacing w:val="-4"/>
        </w:rPr>
        <w:t>公司在所从事的主要业务领域有长期的专业化积累，使公司在全行业内保持技术领先和行业经验领先的优势。本公司在</w:t>
      </w:r>
    </w:p>
    <w:p>
      <w:pPr>
        <w:pStyle w:val="BodyText"/>
        <w:spacing w:line="475" w:lineRule="auto" w:before="59"/>
        <w:ind w:right="1055"/>
        <w:jc w:val="left"/>
      </w:pPr>
      <w:r>
        <w:rPr>
          <w:spacing w:val="-3"/>
        </w:rPr>
        <w:t>金融信息化领域已经有长达</w:t>
      </w:r>
      <w:r>
        <w:rPr>
          <w:rFonts w:ascii="宋体" w:hAnsi="宋体" w:cs="宋体" w:eastAsia="宋体" w:hint="default"/>
          <w:spacing w:val="-3"/>
        </w:rPr>
        <w:t>21</w:t>
      </w:r>
      <w:r>
        <w:rPr>
          <w:spacing w:val="-3"/>
        </w:rPr>
        <w:t>年的行业经验，主要全资子公司亿美软通在移动信息服务领域也有长达</w:t>
      </w:r>
      <w:r>
        <w:rPr>
          <w:rFonts w:ascii="宋体" w:hAnsi="宋体" w:cs="宋体" w:eastAsia="宋体" w:hint="default"/>
          <w:spacing w:val="-3"/>
        </w:rPr>
        <w:t>18</w:t>
      </w:r>
      <w:r>
        <w:rPr>
          <w:spacing w:val="-3"/>
        </w:rPr>
        <w:t>年的行业经验积累，</w:t>
      </w:r>
      <w:r>
        <w:rPr>
          <w:spacing w:val="73"/>
        </w:rPr>
        <w:t> </w:t>
      </w:r>
      <w:r>
        <w:rPr>
          <w:spacing w:val="73"/>
        </w:rPr>
      </w:r>
      <w:r>
        <w:rPr>
          <w:spacing w:val="-4"/>
        </w:rPr>
        <w:t>使得公司在图像处理、模式识别、机器视觉、工作流引擎技术，以及大数据分析处理、互联网应用等技术领域具有行业领先</w:t>
      </w:r>
      <w:r>
        <w:rPr>
          <w:spacing w:val="40"/>
        </w:rPr>
        <w:t> </w:t>
      </w:r>
      <w:r>
        <w:rPr>
          <w:spacing w:val="40"/>
        </w:rPr>
      </w:r>
      <w:r>
        <w:rPr>
          <w:spacing w:val="-3"/>
        </w:rPr>
        <w:t>地位。截至报告期末，公司及控股子公司已获得软件著作权</w:t>
      </w:r>
      <w:r>
        <w:rPr>
          <w:rFonts w:ascii="宋体" w:hAnsi="宋体" w:cs="宋体" w:eastAsia="宋体" w:hint="default"/>
          <w:spacing w:val="-3"/>
        </w:rPr>
        <w:t>177</w:t>
      </w:r>
      <w:r>
        <w:rPr>
          <w:spacing w:val="-3"/>
        </w:rPr>
        <w:t>项、专利授权</w:t>
      </w:r>
      <w:r>
        <w:rPr>
          <w:rFonts w:ascii="宋体" w:hAnsi="宋体" w:cs="宋体" w:eastAsia="宋体" w:hint="default"/>
          <w:spacing w:val="-3"/>
        </w:rPr>
        <w:t>39</w:t>
      </w:r>
      <w:r>
        <w:rPr>
          <w:spacing w:val="-3"/>
        </w:rPr>
        <w:t>项（其中发明专利</w:t>
      </w:r>
      <w:r>
        <w:rPr>
          <w:rFonts w:ascii="宋体" w:hAnsi="宋体" w:cs="宋体" w:eastAsia="宋体" w:hint="default"/>
          <w:spacing w:val="-3"/>
        </w:rPr>
        <w:t>8</w:t>
      </w:r>
      <w:r>
        <w:rPr>
          <w:spacing w:val="-3"/>
        </w:rPr>
        <w:t>项、实用新型专利</w:t>
      </w:r>
      <w:r>
        <w:rPr>
          <w:rFonts w:ascii="宋体" w:hAnsi="宋体" w:cs="宋体" w:eastAsia="宋体" w:hint="default"/>
          <w:spacing w:val="-3"/>
        </w:rPr>
        <w:t>12</w:t>
      </w:r>
      <w:r>
        <w:rPr>
          <w:spacing w:val="-3"/>
        </w:rPr>
        <w:t>项、</w:t>
      </w:r>
      <w:r>
        <w:rPr>
          <w:spacing w:val="74"/>
        </w:rPr>
        <w:t> </w:t>
      </w:r>
      <w:r>
        <w:rPr>
          <w:spacing w:val="-3"/>
        </w:rPr>
        <w:t>外观设计专利</w:t>
      </w:r>
      <w:r>
        <w:rPr>
          <w:rFonts w:ascii="宋体" w:hAnsi="宋体" w:cs="宋体" w:eastAsia="宋体" w:hint="default"/>
          <w:spacing w:val="-3"/>
        </w:rPr>
        <w:t>19</w:t>
      </w:r>
      <w:r>
        <w:rPr>
          <w:spacing w:val="-3"/>
        </w:rPr>
        <w:t>项）。依靠以上核心技术的领先优势，公司在行业的竞争力日益增强。</w:t>
      </w:r>
    </w:p>
    <w:p>
      <w:pPr>
        <w:pStyle w:val="BodyText"/>
        <w:spacing w:line="240" w:lineRule="auto" w:before="59"/>
        <w:ind w:left="513" w:right="1055"/>
        <w:jc w:val="left"/>
      </w:pPr>
      <w:r>
        <w:rPr>
          <w:rFonts w:ascii="宋体" w:hAnsi="宋体" w:cs="宋体" w:eastAsia="宋体" w:hint="default"/>
        </w:rPr>
        <w:t>2.</w:t>
      </w:r>
      <w:r>
        <w:rPr/>
        <w:t>客户资源优势</w:t>
      </w:r>
    </w:p>
    <w:p>
      <w:pPr>
        <w:spacing w:line="240" w:lineRule="auto" w:before="8"/>
        <w:rPr>
          <w:rFonts w:ascii="宋体" w:hAnsi="宋体" w:cs="宋体" w:eastAsia="宋体" w:hint="default"/>
          <w:sz w:val="17"/>
          <w:szCs w:val="17"/>
        </w:rPr>
      </w:pPr>
    </w:p>
    <w:p>
      <w:pPr>
        <w:pStyle w:val="BodyText"/>
        <w:spacing w:line="240" w:lineRule="auto"/>
        <w:ind w:left="513" w:right="1055"/>
        <w:jc w:val="left"/>
      </w:pPr>
      <w:r>
        <w:rPr>
          <w:spacing w:val="-4"/>
        </w:rPr>
        <w:t>公司在主营业务涉及的各行业领域客户积累了比较明显的客户资源优势。在金融信息化行业，公司合作客户包括遍及国</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1033"/>
        <w:jc w:val="left"/>
      </w:pPr>
      <w:r>
        <w:rPr>
          <w:spacing w:val="-3"/>
        </w:rPr>
        <w:t>内</w:t>
      </w:r>
      <w:r>
        <w:rPr>
          <w:rFonts w:ascii="宋体" w:hAnsi="宋体" w:cs="宋体" w:eastAsia="宋体" w:hint="default"/>
          <w:spacing w:val="-3"/>
        </w:rPr>
        <w:t>31</w:t>
      </w:r>
      <w:r>
        <w:rPr>
          <w:spacing w:val="-3"/>
        </w:rPr>
        <w:t>个省、市、自治区的</w:t>
      </w:r>
      <w:r>
        <w:rPr>
          <w:rFonts w:ascii="宋体" w:hAnsi="宋体" w:cs="宋体" w:eastAsia="宋体" w:hint="default"/>
          <w:spacing w:val="-3"/>
        </w:rPr>
        <w:t>360</w:t>
      </w:r>
      <w:r>
        <w:rPr>
          <w:spacing w:val="-3"/>
        </w:rPr>
        <w:t>余家银行或分行，涵盖政策性银行、大型国有商业银行、主要全国性股份制银行以及部分城市</w:t>
      </w:r>
      <w:r>
        <w:rPr>
          <w:spacing w:val="76"/>
        </w:rPr>
        <w:t> </w:t>
      </w:r>
      <w:r>
        <w:rPr>
          <w:spacing w:val="76"/>
        </w:rPr>
      </w:r>
      <w:r>
        <w:rPr>
          <w:spacing w:val="-7"/>
          <w:w w:val="101"/>
        </w:rPr>
        <w:t>商业银行、农村商业银行和农村信用联社，用户覆盖超过</w:t>
      </w:r>
      <w:r>
        <w:rPr>
          <w:rFonts w:ascii="宋体" w:hAnsi="宋体" w:cs="宋体" w:eastAsia="宋体" w:hint="default"/>
          <w:spacing w:val="-7"/>
          <w:w w:val="101"/>
        </w:rPr>
        <w:t>10</w:t>
      </w:r>
      <w:r>
        <w:rPr>
          <w:spacing w:val="-7"/>
          <w:w w:val="101"/>
        </w:rPr>
        <w:t>万个银行营业网点，约占全国银行业金融机构营业网点总数的</w:t>
      </w:r>
      <w:r>
        <w:rPr>
          <w:rFonts w:ascii="宋体" w:hAnsi="宋体" w:cs="宋体" w:eastAsia="宋体" w:hint="default"/>
          <w:spacing w:val="-7"/>
          <w:w w:val="101"/>
        </w:rPr>
        <w:t>45%</w:t>
      </w:r>
      <w:r>
        <w:rPr>
          <w:spacing w:val="-7"/>
          <w:w w:val="101"/>
        </w:rPr>
        <w:t>。</w:t>
      </w:r>
      <w:r>
        <w:rPr>
          <w:spacing w:val="-86"/>
          <w:w w:val="101"/>
        </w:rPr>
        <w:t> </w:t>
      </w:r>
      <w:r>
        <w:rPr>
          <w:spacing w:val="-6"/>
        </w:rPr>
        <w:t>在移动信息服务领域，公司子公司亿美软通已为银行、酒店、航空、旅游、电商、商超等超过</w:t>
      </w:r>
      <w:r>
        <w:rPr>
          <w:rFonts w:ascii="宋体" w:hAnsi="宋体" w:cs="宋体" w:eastAsia="宋体" w:hint="default"/>
          <w:spacing w:val="-6"/>
        </w:rPr>
        <w:t>50</w:t>
      </w:r>
      <w:r>
        <w:rPr>
          <w:spacing w:val="-6"/>
        </w:rPr>
        <w:t>万家企业提供移动信息通讯、</w:t>
      </w:r>
      <w:r>
        <w:rPr>
          <w:spacing w:val="70"/>
        </w:rPr>
        <w:t> </w:t>
      </w:r>
      <w:r>
        <w:rPr>
          <w:spacing w:val="70"/>
        </w:rPr>
      </w:r>
      <w:r>
        <w:rPr>
          <w:spacing w:val="-3"/>
        </w:rPr>
        <w:t>移动互联网应用服务，服务数据覆盖约</w:t>
      </w:r>
      <w:r>
        <w:rPr>
          <w:rFonts w:ascii="宋体" w:hAnsi="宋体" w:cs="宋体" w:eastAsia="宋体" w:hint="default"/>
          <w:spacing w:val="-3"/>
        </w:rPr>
        <w:t>7</w:t>
      </w:r>
      <w:r>
        <w:rPr>
          <w:spacing w:val="-3"/>
        </w:rPr>
        <w:t>亿人群。公司的客户资源在同行业中居于领先地位，使公司具备了较强的市场竞争</w:t>
      </w:r>
      <w:r>
        <w:rPr>
          <w:spacing w:val="71"/>
        </w:rPr>
        <w:t> </w:t>
      </w:r>
      <w:r>
        <w:rPr>
          <w:spacing w:val="71"/>
        </w:rPr>
      </w:r>
      <w:r>
        <w:rPr>
          <w:spacing w:val="-3"/>
        </w:rPr>
        <w:t>优势，优质的客户资源为公司今后业务的持续发展提供了坚实的客户基础保障。</w:t>
      </w:r>
    </w:p>
    <w:p>
      <w:pPr>
        <w:pStyle w:val="BodyText"/>
        <w:spacing w:line="480" w:lineRule="auto" w:before="52"/>
        <w:ind w:left="513" w:right="1055"/>
        <w:jc w:val="left"/>
      </w:pPr>
      <w:r>
        <w:rPr>
          <w:rFonts w:ascii="宋体" w:hAnsi="宋体" w:cs="宋体" w:eastAsia="宋体" w:hint="default"/>
        </w:rPr>
        <w:t>3.</w:t>
      </w:r>
      <w:r>
        <w:rPr/>
        <w:t>业务牌照资源优势</w:t>
      </w:r>
      <w:r>
        <w:rPr>
          <w:w w:val="101"/>
        </w:rPr>
        <w:t> </w:t>
      </w:r>
      <w:r>
        <w:rPr>
          <w:spacing w:val="-4"/>
        </w:rPr>
        <w:t>公司一直坚持以国家政策导向为指引确定战略业务发展规划，在国家主管部门的监管下合法、合规地开展业务。在此指</w:t>
      </w:r>
    </w:p>
    <w:p>
      <w:pPr>
        <w:pStyle w:val="BodyText"/>
        <w:spacing w:line="477" w:lineRule="auto" w:before="50"/>
        <w:ind w:right="1055"/>
        <w:jc w:val="left"/>
      </w:pPr>
      <w:r>
        <w:rPr>
          <w:spacing w:val="-4"/>
        </w:rPr>
        <w:t>导思想下，公司已经取得了开展主要业务及创新业务的牌照许可。公司子公司华道征信与其他发起人共同发起设立百行征信</w:t>
      </w:r>
      <w:r>
        <w:rPr>
          <w:spacing w:val="43"/>
        </w:rPr>
        <w:t> </w:t>
      </w:r>
      <w:r>
        <w:rPr>
          <w:spacing w:val="43"/>
        </w:rPr>
      </w:r>
      <w:r>
        <w:rPr>
          <w:spacing w:val="-3"/>
        </w:rPr>
        <w:t>有限公司，百行征信已于</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月获得中国人民银行颁发的《个人征信业务经营许可证》，是目前国内唯一经中国人民银</w:t>
      </w:r>
      <w:r>
        <w:rPr>
          <w:spacing w:val="75"/>
        </w:rPr>
        <w:t> </w:t>
      </w:r>
      <w:r>
        <w:rPr>
          <w:spacing w:val="75"/>
        </w:rPr>
      </w:r>
      <w:r>
        <w:rPr>
          <w:spacing w:val="-4"/>
        </w:rPr>
        <w:t>行批准开展个人业务的征信公司。公司发起设立的易安保险已于</w:t>
      </w:r>
      <w:r>
        <w:rPr>
          <w:rFonts w:ascii="宋体" w:hAnsi="宋体" w:cs="宋体" w:eastAsia="宋体" w:hint="default"/>
          <w:spacing w:val="-4"/>
        </w:rPr>
        <w:t>2018</w:t>
      </w:r>
      <w:r>
        <w:rPr>
          <w:spacing w:val="-4"/>
        </w:rPr>
        <w:t>年</w:t>
      </w:r>
      <w:r>
        <w:rPr>
          <w:rFonts w:ascii="宋体" w:hAnsi="宋体" w:cs="宋体" w:eastAsia="宋体" w:hint="default"/>
          <w:spacing w:val="-4"/>
        </w:rPr>
        <w:t>2</w:t>
      </w:r>
      <w:r>
        <w:rPr>
          <w:spacing w:val="-4"/>
        </w:rPr>
        <w:t>月获得中国保监会核发的《保险公司法人许可证》，</w:t>
      </w:r>
      <w:r>
        <w:rPr>
          <w:spacing w:val="56"/>
        </w:rPr>
        <w:t> </w:t>
      </w:r>
      <w:r>
        <w:rPr>
          <w:spacing w:val="56"/>
        </w:rPr>
      </w:r>
      <w:r>
        <w:rPr>
          <w:spacing w:val="-4"/>
        </w:rPr>
        <w:t>并正式开业运营。公司与东亚银行等股东发起设立的东亚前海证券已于</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月获得中国证监会颁发的《经营证券期货业</w:t>
      </w:r>
      <w:r>
        <w:rPr>
          <w:spacing w:val="56"/>
        </w:rPr>
        <w:t> </w:t>
      </w:r>
      <w:r>
        <w:rPr>
          <w:spacing w:val="56"/>
        </w:rPr>
      </w:r>
      <w:r>
        <w:rPr>
          <w:spacing w:val="-3"/>
        </w:rPr>
        <w:t>务许可证》。以上经营许可牌照均具有非常高的稀缺性，因此具有很强的核心竞争优势。</w:t>
      </w:r>
    </w:p>
    <w:p>
      <w:pPr>
        <w:pStyle w:val="BodyText"/>
        <w:spacing w:line="475" w:lineRule="auto" w:before="56"/>
        <w:ind w:left="513" w:right="1055"/>
        <w:jc w:val="left"/>
      </w:pPr>
      <w:r>
        <w:rPr>
          <w:rFonts w:ascii="宋体" w:hAnsi="宋体" w:cs="宋体" w:eastAsia="宋体" w:hint="default"/>
        </w:rPr>
        <w:t>4. </w:t>
      </w:r>
      <w:r>
        <w:rPr>
          <w:spacing w:val="-3"/>
        </w:rPr>
        <w:t>产业生态布局的协同发展优势</w:t>
      </w:r>
      <w:r>
        <w:rPr>
          <w:spacing w:val="-47"/>
        </w:rPr>
        <w:t> </w:t>
      </w:r>
      <w:r>
        <w:rPr>
          <w:spacing w:val="-47"/>
        </w:rPr>
      </w:r>
      <w:r>
        <w:rPr>
          <w:spacing w:val="-5"/>
        </w:rPr>
        <w:t>近年来，按照公司战略发展规划，公司的主营业务已经从金融信息化向互联网金融领域延伸发展。目前，公司主营业务</w:t>
      </w:r>
    </w:p>
    <w:p>
      <w:pPr>
        <w:pStyle w:val="BodyText"/>
        <w:spacing w:line="477" w:lineRule="auto" w:before="58"/>
        <w:ind w:right="1121"/>
        <w:jc w:val="both"/>
      </w:pPr>
      <w:r>
        <w:rPr>
          <w:spacing w:val="-4"/>
        </w:rPr>
        <w:t>已经涉及金融信息化、移动信息服务、电子商务等多个行业领域，并且投资和布局个人征信服务、互联网保险、证券等业务</w:t>
      </w:r>
      <w:r>
        <w:rPr>
          <w:spacing w:val="40"/>
        </w:rPr>
        <w:t> </w:t>
      </w:r>
      <w:r>
        <w:rPr>
          <w:spacing w:val="40"/>
        </w:rPr>
      </w:r>
      <w:r>
        <w:rPr>
          <w:spacing w:val="-4"/>
        </w:rPr>
        <w:t>领域，逐步构建了以金融科技为基础的综合金融生态服务体系。随着以上产业链布局的推进，公司在产业生态布局方面的协</w:t>
      </w:r>
      <w:r>
        <w:rPr>
          <w:spacing w:val="45"/>
        </w:rPr>
        <w:t> </w:t>
      </w:r>
      <w:r>
        <w:rPr>
          <w:spacing w:val="45"/>
        </w:rPr>
      </w:r>
      <w:r>
        <w:rPr>
          <w:spacing w:val="-3"/>
        </w:rPr>
        <w:t>同优势明显，使公司的整体竞争实力大为增强。</w:t>
      </w:r>
    </w:p>
    <w:p>
      <w:pPr>
        <w:pStyle w:val="BodyText"/>
        <w:spacing w:line="480" w:lineRule="auto" w:before="52"/>
        <w:ind w:left="513" w:right="1055"/>
        <w:jc w:val="left"/>
      </w:pPr>
      <w:r>
        <w:rPr>
          <w:rFonts w:ascii="宋体" w:hAnsi="宋体" w:cs="宋体" w:eastAsia="宋体" w:hint="default"/>
        </w:rPr>
        <w:t>5.</w:t>
      </w:r>
      <w:r>
        <w:rPr/>
        <w:t>人才优势</w:t>
      </w:r>
      <w:r>
        <w:rPr>
          <w:w w:val="101"/>
        </w:rPr>
        <w:t> </w:t>
      </w:r>
      <w:r>
        <w:rPr>
          <w:spacing w:val="-5"/>
        </w:rPr>
        <w:t>经过多年的发展，公司逐步汇集了一批技术、市场、管理、资本领域的专业人才，其中不乏专业水平突出、行业经验丰</w:t>
      </w:r>
    </w:p>
    <w:p>
      <w:pPr>
        <w:pStyle w:val="BodyText"/>
        <w:spacing w:line="480" w:lineRule="auto" w:before="50"/>
        <w:ind w:right="1055"/>
        <w:jc w:val="left"/>
      </w:pPr>
      <w:r>
        <w:rPr>
          <w:spacing w:val="-4"/>
        </w:rPr>
        <w:t>富的复合型人才。公司管理团队团结稳定、勤勉务实、积极进取，并高度重视人才梯队建设工作。随着企业经营规模不断扩</w:t>
      </w:r>
      <w:r>
        <w:rPr>
          <w:spacing w:val="40"/>
        </w:rPr>
        <w:t> </w:t>
      </w:r>
      <w:r>
        <w:rPr>
          <w:spacing w:val="40"/>
        </w:rPr>
      </w:r>
      <w:r>
        <w:rPr>
          <w:spacing w:val="-3"/>
        </w:rPr>
        <w:t>大，公司仍将继续完善公司的人才战略，以人为本，广纳贤才，努力把人才优势转化为公司长远发展的推动力。</w:t>
      </w:r>
    </w:p>
    <w:p>
      <w:pPr>
        <w:spacing w:after="0" w:line="48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1"/>
        <w:spacing w:line="240" w:lineRule="auto"/>
        <w:ind w:left="2967" w:right="1055"/>
        <w:jc w:val="left"/>
        <w:rPr>
          <w:b w:val="0"/>
          <w:bCs w:val="0"/>
        </w:rPr>
      </w:pPr>
      <w:bookmarkStart w:name="_bookmark2" w:id="3"/>
      <w:bookmarkEnd w:id="3"/>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55"/>
        <w:jc w:val="left"/>
        <w:rPr>
          <w:b w:val="0"/>
          <w:bCs w:val="0"/>
        </w:rPr>
      </w:pPr>
      <w:r>
        <w:rPr/>
        <w:t>一、概述</w:t>
      </w:r>
      <w:r>
        <w:rPr>
          <w:b w:val="0"/>
          <w:bCs w:val="0"/>
        </w:rPr>
      </w:r>
    </w:p>
    <w:p>
      <w:pPr>
        <w:spacing w:line="240" w:lineRule="auto" w:before="1"/>
        <w:rPr>
          <w:rFonts w:ascii="宋体" w:hAnsi="宋体" w:cs="宋体" w:eastAsia="宋体" w:hint="default"/>
          <w:b/>
          <w:bCs/>
          <w:sz w:val="33"/>
          <w:szCs w:val="33"/>
        </w:rPr>
      </w:pPr>
    </w:p>
    <w:p>
      <w:pPr>
        <w:pStyle w:val="BodyText"/>
        <w:spacing w:line="477" w:lineRule="auto"/>
        <w:ind w:right="1223" w:firstLine="360"/>
        <w:jc w:val="both"/>
      </w:pPr>
      <w:r>
        <w:rPr>
          <w:spacing w:val="-3"/>
        </w:rPr>
        <w:t>2018年度，公司按照既定的业务发展规划开展经营。报告期内，公司金融信息化、移动信息服务、电子商务三大主营</w:t>
      </w:r>
      <w:r>
        <w:rPr>
          <w:w w:val="101"/>
        </w:rPr>
        <w:t> </w:t>
      </w:r>
      <w:r>
        <w:rPr>
          <w:spacing w:val="-3"/>
        </w:rPr>
        <w:t>业务经营情况良好。同时报告期内，公司在金融服务领域的业务延伸发展也取得了重要进展，综合金融生态服务体系的业</w:t>
      </w:r>
      <w:r>
        <w:rPr>
          <w:spacing w:val="66"/>
        </w:rPr>
        <w:t> </w:t>
      </w:r>
      <w:r>
        <w:rPr>
          <w:spacing w:val="66"/>
        </w:rPr>
      </w:r>
      <w:r>
        <w:rPr>
          <w:spacing w:val="-3"/>
        </w:rPr>
        <w:t>务布局日趋完善，为公司业务的长远发展打下了坚实的基础。</w:t>
      </w:r>
    </w:p>
    <w:p>
      <w:pPr>
        <w:pStyle w:val="BodyText"/>
        <w:spacing w:line="475" w:lineRule="auto" w:before="56"/>
        <w:ind w:right="1055" w:firstLine="360"/>
        <w:jc w:val="left"/>
      </w:pPr>
      <w:r>
        <w:rPr>
          <w:spacing w:val="-4"/>
        </w:rPr>
        <w:t>报告期公司实现营业总收入129,925.12万元，比上年同期增长13.21%；营业利润2,979.87万元，比上年同期下降9.32%；</w:t>
      </w:r>
      <w:r>
        <w:rPr>
          <w:w w:val="101"/>
        </w:rPr>
        <w:t> </w:t>
      </w:r>
      <w:r>
        <w:rPr/>
        <w:t>利润总额3,262.58万元，比上年同期下降5.34%；归属于上市公司股东的净利润3,575.07万元，比上年同期增长60.76%。</w:t>
      </w:r>
    </w:p>
    <w:p>
      <w:pPr>
        <w:pStyle w:val="BodyText"/>
        <w:spacing w:line="477" w:lineRule="auto" w:before="59"/>
        <w:ind w:left="513" w:right="1055"/>
        <w:jc w:val="left"/>
      </w:pPr>
      <w:r>
        <w:rPr>
          <w:spacing w:val="-3"/>
        </w:rPr>
        <w:t>（一）主营业务收入及净利润</w:t>
      </w:r>
      <w:r>
        <w:rPr>
          <w:spacing w:val="-50"/>
        </w:rPr>
        <w:t> </w:t>
      </w:r>
      <w:r>
        <w:rPr>
          <w:spacing w:val="-50"/>
        </w:rPr>
      </w:r>
      <w:r>
        <w:rPr>
          <w:spacing w:val="-3"/>
        </w:rPr>
        <w:t>报告期内，公司主营业务收入主要来自于金融信息化、移动信息服务和电子商务等业务领域。</w:t>
      </w:r>
      <w:r>
        <w:rPr>
          <w:spacing w:val="32"/>
        </w:rPr>
        <w:t> </w:t>
      </w:r>
      <w:r>
        <w:rPr>
          <w:spacing w:val="32"/>
        </w:rPr>
      </w:r>
      <w:r>
        <w:rPr>
          <w:spacing w:val="-5"/>
        </w:rPr>
        <w:t>在金融信息化业务领域，公司依托在银行业的客户资源优势，深入挖掘客户需求，保持持续创新能力，推动金融软、硬</w:t>
      </w:r>
    </w:p>
    <w:p>
      <w:pPr>
        <w:pStyle w:val="BodyText"/>
        <w:spacing w:line="477" w:lineRule="auto" w:before="52"/>
        <w:ind w:right="1055"/>
        <w:jc w:val="left"/>
      </w:pPr>
      <w:r>
        <w:rPr>
          <w:spacing w:val="-4"/>
        </w:rPr>
        <w:t>件产品和服务在大型国有银行、股份制银行和城市商业银行的市场销售。报告期内，金融硬件产品方面，公司中标中国农业</w:t>
      </w:r>
      <w:r>
        <w:rPr>
          <w:spacing w:val="40"/>
        </w:rPr>
        <w:t> </w:t>
      </w:r>
      <w:r>
        <w:rPr>
          <w:spacing w:val="40"/>
        </w:rPr>
      </w:r>
      <w:r>
        <w:rPr>
          <w:spacing w:val="-3"/>
        </w:rPr>
        <w:t>银行总行印控仪项目约2.3亿元的大额订单，并2018年度内基本实施完成，推动公司金融信息化业务销售收入实现增长；金</w:t>
      </w:r>
      <w:r>
        <w:rPr>
          <w:spacing w:val="79"/>
        </w:rPr>
        <w:t> </w:t>
      </w:r>
      <w:r>
        <w:rPr>
          <w:spacing w:val="79"/>
        </w:rPr>
      </w:r>
      <w:r>
        <w:rPr>
          <w:spacing w:val="-3"/>
        </w:rPr>
        <w:t>融软件方面，公司逐步拓展为金融机构数字化转型提供数字金融解决方案的服务能力，产品和服务内容进一步拓展和丰富。</w:t>
      </w:r>
      <w:r>
        <w:rPr>
          <w:spacing w:val="66"/>
        </w:rPr>
        <w:t> </w:t>
      </w:r>
      <w:r>
        <w:rPr>
          <w:spacing w:val="66"/>
        </w:rPr>
      </w:r>
      <w:r>
        <w:rPr/>
        <w:t>报告期内，金融信息化业务实现营业收入30,600.99万元，较上年同期大幅增长243.08%。</w:t>
      </w:r>
    </w:p>
    <w:p>
      <w:pPr>
        <w:pStyle w:val="BodyText"/>
        <w:spacing w:line="477" w:lineRule="auto" w:before="52"/>
        <w:ind w:right="1055" w:firstLine="360"/>
        <w:jc w:val="left"/>
      </w:pPr>
      <w:r>
        <w:rPr>
          <w:spacing w:val="-3"/>
        </w:rPr>
        <w:t>在移动信息服务领域，公司营业收入主要来自于公司全资子公司亿美软通的移动信息服务和移动互联网应用服务业务。</w:t>
      </w:r>
      <w:r>
        <w:rPr>
          <w:w w:val="101"/>
        </w:rPr>
        <w:t> </w:t>
      </w:r>
      <w:r>
        <w:rPr>
          <w:spacing w:val="-4"/>
        </w:rPr>
        <w:t>本报告期，亿美软通充分发挥与公司金融行业客户资源的协同优势，移动信息服务业务继续保持稳定的营业利润。同时，为</w:t>
      </w:r>
      <w:r>
        <w:rPr>
          <w:spacing w:val="40"/>
        </w:rPr>
        <w:t> </w:t>
      </w:r>
      <w:r>
        <w:rPr>
          <w:spacing w:val="40"/>
        </w:rPr>
      </w:r>
      <w:r>
        <w:rPr>
          <w:spacing w:val="-4"/>
        </w:rPr>
        <w:t>了持续提升短信市场的占有率，亿美软通借助公司综合金融服务平台的协同优势，不断为客户提供增值创新业务，保持并保</w:t>
      </w:r>
      <w:r>
        <w:rPr>
          <w:spacing w:val="43"/>
        </w:rPr>
        <w:t> </w:t>
      </w:r>
      <w:r>
        <w:rPr>
          <w:spacing w:val="43"/>
        </w:rPr>
      </w:r>
      <w:r>
        <w:rPr>
          <w:spacing w:val="-4"/>
        </w:rPr>
        <w:t>证充分的市场竞争力。亿美软通以优质的价格服务于大型客户，形成了收入增加、毛利率降低的变动情况。同时，富媒体通</w:t>
      </w:r>
      <w:r>
        <w:rPr>
          <w:spacing w:val="40"/>
        </w:rPr>
        <w:t> </w:t>
      </w:r>
      <w:r>
        <w:rPr>
          <w:spacing w:val="40"/>
        </w:rPr>
      </w:r>
      <w:r>
        <w:rPr>
          <w:spacing w:val="-5"/>
        </w:rPr>
        <w:t>信服务、智能语音等创新业务逐步成长。报告期内，移动信息服务业务实现营业收入61,272.55万元，较上年同期下降3.63%。</w:t>
      </w:r>
    </w:p>
    <w:p>
      <w:pPr>
        <w:pStyle w:val="BodyText"/>
        <w:spacing w:line="475" w:lineRule="auto" w:before="56"/>
        <w:ind w:right="1055" w:firstLine="360"/>
        <w:jc w:val="left"/>
      </w:pPr>
      <w:r>
        <w:rPr>
          <w:spacing w:val="-3"/>
        </w:rPr>
        <w:t>在电子商务服务领域，公司营业收入主要来自于控股子公司安科创新以家居安防产品为主要产品的跨境电子商务业务。</w:t>
      </w:r>
      <w:r>
        <w:rPr>
          <w:w w:val="101"/>
        </w:rPr>
        <w:t> </w:t>
      </w:r>
      <w:r>
        <w:rPr>
          <w:spacing w:val="-6"/>
        </w:rPr>
        <w:t>报告期内，安科创新着力加大自主品牌的市场宣传和推广，服务区域已辐射全球30多个国家和地区，包括美国、英国、德国、</w:t>
      </w:r>
      <w:r>
        <w:rPr>
          <w:spacing w:val="73"/>
        </w:rPr>
        <w:t> </w:t>
      </w:r>
      <w:r>
        <w:rPr>
          <w:spacing w:val="73"/>
        </w:rPr>
      </w:r>
      <w:r>
        <w:rPr>
          <w:spacing w:val="-3"/>
        </w:rPr>
        <w:t>法国、澳大利亚、西班牙等。受产品品类调整的影响，报告期内电子商务服务业务实现营业收入37,617.23万元，较上年同</w:t>
      </w:r>
      <w:r>
        <w:rPr>
          <w:spacing w:val="82"/>
        </w:rPr>
        <w:t> </w:t>
      </w:r>
      <w:r>
        <w:rPr>
          <w:spacing w:val="82"/>
        </w:rPr>
      </w:r>
      <w:r>
        <w:rPr/>
        <w:t>期下降10.11%。</w:t>
      </w:r>
    </w:p>
    <w:p>
      <w:pPr>
        <w:pStyle w:val="BodyText"/>
        <w:spacing w:line="475" w:lineRule="auto" w:before="58"/>
        <w:ind w:left="513" w:right="6932"/>
        <w:jc w:val="left"/>
      </w:pPr>
      <w:r>
        <w:rPr>
          <w:spacing w:val="-3"/>
        </w:rPr>
        <w:t>（二）战略布局创新业务的经营情况</w:t>
      </w:r>
      <w:r>
        <w:rPr>
          <w:spacing w:val="-39"/>
        </w:rPr>
        <w:t> </w:t>
      </w:r>
      <w:r>
        <w:rPr>
          <w:spacing w:val="-39"/>
        </w:rPr>
      </w:r>
      <w:r>
        <w:rPr/>
        <w:t>1.个人征信相关业务</w:t>
      </w:r>
    </w:p>
    <w:p>
      <w:pPr>
        <w:pStyle w:val="BodyText"/>
        <w:spacing w:line="475" w:lineRule="auto" w:before="58"/>
        <w:ind w:right="1055" w:firstLine="360"/>
        <w:jc w:val="left"/>
      </w:pPr>
      <w:r>
        <w:rPr>
          <w:spacing w:val="-3"/>
        </w:rPr>
        <w:t>2015年1月，公司子公司华道征信经中国人民银行批准开展个人征信业务准备工作。2017年，华道征信与其他发起人共</w:t>
      </w:r>
      <w:r>
        <w:rPr>
          <w:w w:val="101"/>
        </w:rPr>
        <w:t> </w:t>
      </w:r>
      <w:r>
        <w:rPr>
          <w:spacing w:val="-3"/>
        </w:rPr>
        <w:t>同发起设立百行征信有限公司。2018年2月22日，百行征信已经中国人民银行“银征信许准予字[2018]第1号”批准获得个</w:t>
      </w:r>
    </w:p>
    <w:p>
      <w:pPr>
        <w:pStyle w:val="BodyText"/>
        <w:spacing w:line="240" w:lineRule="auto" w:before="58"/>
        <w:ind w:right="1055"/>
        <w:jc w:val="left"/>
      </w:pPr>
      <w:r>
        <w:rPr>
          <w:spacing w:val="-3"/>
        </w:rPr>
        <w:t>人征信机构设立许可，是目前国内唯一经中国人民银行批准开展个人业务的征信公司。截至2019年3月，百行征信已经推出</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31"/>
        <w:jc w:val="left"/>
      </w:pPr>
      <w:r>
        <w:rPr>
          <w:spacing w:val="-3"/>
        </w:rPr>
        <w:t>了个人信用报告等3款征信服务产品，并已签约接入了600多家机构的信用信息，实现了业务的良好开局。报告期内，华道</w:t>
      </w:r>
      <w:r>
        <w:rPr>
          <w:spacing w:val="72"/>
        </w:rPr>
        <w:t> </w:t>
      </w:r>
      <w:r>
        <w:rPr>
          <w:spacing w:val="72"/>
        </w:rPr>
      </w:r>
      <w:r>
        <w:rPr>
          <w:spacing w:val="-3"/>
        </w:rPr>
        <w:t>征信作为百行征信的股东单位，支持百行征信的业务发展，开展个人征信相关的行业研究和技术开发，由于相关业务尚处</w:t>
      </w:r>
      <w:r>
        <w:rPr>
          <w:spacing w:val="66"/>
        </w:rPr>
        <w:t> </w:t>
      </w:r>
      <w:r>
        <w:rPr>
          <w:spacing w:val="66"/>
        </w:rPr>
      </w:r>
      <w:r>
        <w:rPr>
          <w:spacing w:val="-3"/>
        </w:rPr>
        <w:t>于业务开展初期，尚未实现盈利。报告期内，华道征信实现营业收入2,936.49万元，净利润</w:t>
      </w:r>
      <w:r>
        <w:rPr>
          <w:rFonts w:ascii="宋体" w:hAnsi="宋体" w:cs="宋体" w:eastAsia="宋体" w:hint="default"/>
          <w:spacing w:val="-3"/>
        </w:rPr>
        <w:t>-</w:t>
      </w:r>
      <w:r>
        <w:rPr>
          <w:spacing w:val="-3"/>
        </w:rPr>
        <w:t>1,905.33万元，对公司投资收</w:t>
      </w:r>
      <w:r>
        <w:rPr>
          <w:spacing w:val="8"/>
        </w:rPr>
        <w:t> </w:t>
      </w:r>
      <w:r>
        <w:rPr>
          <w:spacing w:val="8"/>
        </w:rPr>
      </w:r>
      <w:r>
        <w:rPr/>
        <w:t>益的影响为</w:t>
      </w:r>
      <w:r>
        <w:rPr>
          <w:rFonts w:ascii="宋体" w:hAnsi="宋体" w:cs="宋体" w:eastAsia="宋体" w:hint="default"/>
        </w:rPr>
        <w:t>-</w:t>
      </w:r>
      <w:r>
        <w:rPr/>
        <w:t>762.13万元。</w:t>
      </w:r>
    </w:p>
    <w:p>
      <w:pPr>
        <w:pStyle w:val="BodyText"/>
        <w:spacing w:line="475" w:lineRule="auto" w:before="58"/>
        <w:ind w:left="513" w:right="1055"/>
        <w:jc w:val="left"/>
      </w:pPr>
      <w:r>
        <w:rPr/>
        <w:t>2.互联网保险业务</w:t>
      </w:r>
      <w:r>
        <w:rPr>
          <w:spacing w:val="-86"/>
        </w:rPr>
        <w:t> </w:t>
      </w:r>
      <w:r>
        <w:rPr>
          <w:spacing w:val="-86"/>
        </w:rPr>
      </w:r>
      <w:r>
        <w:rPr>
          <w:spacing w:val="-3"/>
        </w:rPr>
        <w:t>公司参股发起设立的互联网保险公司易安保险于2016年2月经中国保监会批准正式开业运营。易安保险是目前国内四家</w:t>
      </w:r>
    </w:p>
    <w:p>
      <w:pPr>
        <w:pStyle w:val="BodyText"/>
        <w:spacing w:line="475" w:lineRule="auto" w:before="59"/>
        <w:ind w:right="1132"/>
        <w:jc w:val="left"/>
      </w:pPr>
      <w:r>
        <w:rPr>
          <w:spacing w:val="-3"/>
        </w:rPr>
        <w:t>经中国保监会批准开展“与互联网交易直接相关的”保险业务（“互联网保险”）的财产保险公司之一。报告期内，易安</w:t>
      </w:r>
      <w:r>
        <w:rPr>
          <w:spacing w:val="66"/>
        </w:rPr>
        <w:t> </w:t>
      </w:r>
      <w:r>
        <w:rPr>
          <w:spacing w:val="66"/>
        </w:rPr>
      </w:r>
      <w:r>
        <w:rPr>
          <w:spacing w:val="-3"/>
        </w:rPr>
        <w:t>保险主要经营健康险、意外险、家庭财产保险、信用保证保险、责任保险、货运险等保险产品种类，实现原保险保费收入1</w:t>
      </w:r>
      <w:r>
        <w:rPr>
          <w:spacing w:val="71"/>
        </w:rPr>
        <w:t> </w:t>
      </w:r>
      <w:r>
        <w:rPr>
          <w:spacing w:val="71"/>
        </w:rPr>
      </w:r>
      <w:r>
        <w:rPr>
          <w:spacing w:val="-3"/>
        </w:rPr>
        <w:t>2.84亿元，较上年增长53.05%。主要受长久期业务提取的未到期责任准备金大幅增加而导致的暂时性核算亏损影响，易安</w:t>
      </w:r>
      <w:r>
        <w:rPr>
          <w:spacing w:val="81"/>
        </w:rPr>
        <w:t> </w:t>
      </w:r>
      <w:r>
        <w:rPr>
          <w:spacing w:val="81"/>
        </w:rPr>
      </w:r>
      <w:r>
        <w:rPr/>
        <w:t>保险2018年净利润为</w:t>
      </w:r>
      <w:r>
        <w:rPr>
          <w:rFonts w:ascii="宋体" w:hAnsi="宋体" w:cs="宋体" w:eastAsia="宋体" w:hint="default"/>
        </w:rPr>
        <w:t>-</w:t>
      </w:r>
      <w:r>
        <w:rPr/>
        <w:t>19,941.38万元，对公司投资收益的影响为</w:t>
      </w:r>
      <w:r>
        <w:rPr>
          <w:rFonts w:ascii="宋体" w:hAnsi="宋体" w:cs="宋体" w:eastAsia="宋体" w:hint="default"/>
        </w:rPr>
        <w:t>-</w:t>
      </w:r>
      <w:r>
        <w:rPr/>
        <w:t>2,991.21万元。</w:t>
      </w:r>
    </w:p>
    <w:p>
      <w:pPr>
        <w:pStyle w:val="BodyText"/>
        <w:spacing w:line="475" w:lineRule="auto" w:before="58"/>
        <w:ind w:left="513" w:right="1055"/>
        <w:jc w:val="left"/>
      </w:pPr>
      <w:r>
        <w:rPr/>
        <w:t>3.证券业务</w:t>
      </w:r>
      <w:r>
        <w:rPr>
          <w:w w:val="101"/>
        </w:rPr>
        <w:t> </w:t>
      </w:r>
      <w:r>
        <w:rPr>
          <w:spacing w:val="-4"/>
        </w:rPr>
        <w:t>公司参股发起设立的东亚前海证券于2017年12月获得中国证监会颁发的《经营证券期货业务许可证》，正式对外开展业</w:t>
      </w:r>
    </w:p>
    <w:p>
      <w:pPr>
        <w:pStyle w:val="BodyText"/>
        <w:spacing w:line="477" w:lineRule="auto" w:before="58"/>
        <w:ind w:right="1123"/>
        <w:jc w:val="both"/>
      </w:pPr>
      <w:r>
        <w:rPr>
          <w:spacing w:val="-4"/>
        </w:rPr>
        <w:t>务。公司占东亚前海证券注册资本的26.10%。截至本报告期末，东亚前海证券已全面开展证券经纪、投资银行、资产管理等</w:t>
      </w:r>
      <w:r>
        <w:rPr>
          <w:spacing w:val="52"/>
        </w:rPr>
        <w:t> </w:t>
      </w:r>
      <w:r>
        <w:rPr>
          <w:spacing w:val="52"/>
        </w:rPr>
      </w:r>
      <w:r>
        <w:rPr>
          <w:spacing w:val="-4"/>
        </w:rPr>
        <w:t>业务，并设立了深圳、北京和上海3家分公司，筹建广东分公司、湖北分公司、浙江分公司和江苏分公司等4家分公司。截至</w:t>
      </w:r>
      <w:r>
        <w:rPr>
          <w:spacing w:val="44"/>
        </w:rPr>
        <w:t> </w:t>
      </w:r>
      <w:r>
        <w:rPr>
          <w:spacing w:val="44"/>
        </w:rPr>
      </w:r>
      <w:r>
        <w:rPr>
          <w:spacing w:val="-2"/>
        </w:rPr>
        <w:t>2018年12月31日，东亚前海证券总资产人民币232,814.87万元，净资产140,033.47万元；2018年度营业收入人民币9,130.7</w:t>
      </w:r>
    </w:p>
    <w:p>
      <w:pPr>
        <w:pStyle w:val="BodyText"/>
        <w:spacing w:line="477" w:lineRule="auto" w:before="52"/>
        <w:ind w:left="513" w:right="1055" w:hanging="360"/>
        <w:jc w:val="left"/>
      </w:pPr>
      <w:r>
        <w:rPr/>
        <w:t>8万元，净利润</w:t>
      </w:r>
      <w:r>
        <w:rPr>
          <w:rFonts w:ascii="宋体" w:hAnsi="宋体" w:cs="宋体" w:eastAsia="宋体" w:hint="default"/>
        </w:rPr>
        <w:t>-</w:t>
      </w:r>
      <w:r>
        <w:rPr/>
        <w:t>5,609.21万元，对公司投资收益的影响为</w:t>
      </w:r>
      <w:r>
        <w:rPr>
          <w:rFonts w:ascii="宋体" w:hAnsi="宋体" w:cs="宋体" w:eastAsia="宋体" w:hint="default"/>
        </w:rPr>
        <w:t>-</w:t>
      </w:r>
      <w:r>
        <w:rPr/>
        <w:t>1,464.00万元。</w:t>
      </w:r>
      <w:r>
        <w:rPr>
          <w:w w:val="101"/>
        </w:rPr>
        <w:t> </w:t>
      </w:r>
      <w:r>
        <w:rPr>
          <w:spacing w:val="-3"/>
        </w:rPr>
        <w:t>公司需遵守《深圳证券交易所创业板行业信息披露指引第7号——上市公司从事电子商务业务》的披露要求：</w:t>
      </w:r>
      <w:r>
        <w:rPr>
          <w:w w:val="101"/>
        </w:rPr>
        <w:t> </w:t>
      </w:r>
      <w:r>
        <w:rPr>
          <w:spacing w:val="-3"/>
        </w:rPr>
        <w:t>公司子公司安科创新是从事以家居安防电子产品为主的出口跨境电商企业，其业务模式主要是在国内以ODM方式进行产</w:t>
      </w:r>
    </w:p>
    <w:p>
      <w:pPr>
        <w:pStyle w:val="BodyText"/>
        <w:spacing w:line="475" w:lineRule="auto" w:before="56"/>
        <w:ind w:right="1055"/>
        <w:jc w:val="left"/>
      </w:pPr>
      <w:r>
        <w:rPr>
          <w:spacing w:val="-2"/>
        </w:rPr>
        <w:t>品采购，运输到海外在海外仓备货，通过Amazon、Ebay、Aliexpress、Walmart等第三方平台或自营平台销售并配送给海内</w:t>
      </w:r>
      <w:r>
        <w:rPr>
          <w:spacing w:val="42"/>
        </w:rPr>
        <w:t> </w:t>
      </w:r>
      <w:r>
        <w:rPr>
          <w:spacing w:val="42"/>
        </w:rPr>
      </w:r>
      <w:r>
        <w:rPr>
          <w:spacing w:val="-3"/>
        </w:rPr>
        <w:t>外终端消费者。</w:t>
      </w:r>
    </w:p>
    <w:p>
      <w:pPr>
        <w:pStyle w:val="BodyText"/>
        <w:spacing w:line="475" w:lineRule="auto" w:before="59"/>
        <w:ind w:right="1055" w:firstLine="360"/>
        <w:jc w:val="left"/>
      </w:pPr>
      <w:r>
        <w:rPr>
          <w:spacing w:val="-3"/>
        </w:rPr>
        <w:t>一、按照《深圳证券交易所创业板行业信息披露指引第7号——上市公司从事电子商务业务》第三条，网站和移动端运</w:t>
      </w:r>
      <w:r>
        <w:rPr>
          <w:w w:val="101"/>
        </w:rPr>
        <w:t> </w:t>
      </w:r>
      <w:r>
        <w:rPr/>
        <w:t>行情况</w:t>
      </w:r>
    </w:p>
    <w:p>
      <w:pPr>
        <w:pStyle w:val="BodyText"/>
        <w:spacing w:line="477" w:lineRule="auto" w:before="58"/>
        <w:ind w:right="1055" w:firstLine="360"/>
        <w:jc w:val="left"/>
      </w:pPr>
      <w:r>
        <w:rPr>
          <w:spacing w:val="-3"/>
        </w:rPr>
        <w:t>目前，安科创新有自营网站销售平台，暂无移动端销售平台。报告期内，安科创新旗下自营平台“Annkestore.com”、</w:t>
      </w:r>
      <w:r>
        <w:rPr>
          <w:w w:val="101"/>
        </w:rPr>
        <w:t> </w:t>
      </w:r>
      <w:r>
        <w:rPr>
          <w:spacing w:val="-2"/>
        </w:rPr>
        <w:t>“Annkesecurity.com”、“Sanncestore.com”等PC端页面浏览量为4,119,502次，独立访问数123,714次，注册用户数11,</w:t>
      </w:r>
      <w:r>
        <w:rPr>
          <w:spacing w:val="69"/>
        </w:rPr>
        <w:t> </w:t>
      </w:r>
      <w:r>
        <w:rPr>
          <w:spacing w:val="69"/>
        </w:rPr>
      </w:r>
      <w:r>
        <w:rPr/>
        <w:t>624户，活跃用户数（一个月访问至少一次）1567户，付费用户数394,041户。</w:t>
      </w:r>
    </w:p>
    <w:p>
      <w:pPr>
        <w:pStyle w:val="BodyText"/>
        <w:spacing w:line="480" w:lineRule="auto" w:before="52"/>
        <w:ind w:right="1055" w:firstLine="360"/>
        <w:jc w:val="left"/>
      </w:pPr>
      <w:r>
        <w:rPr>
          <w:spacing w:val="-3"/>
        </w:rPr>
        <w:t>二、按照《深圳证券交易所创业板行业信息披露指引第7号——上市公司从事电子商务业务》第七条用户付费方式及收</w:t>
      </w:r>
      <w:r>
        <w:rPr>
          <w:w w:val="101"/>
        </w:rPr>
        <w:t> </w:t>
      </w:r>
      <w:r>
        <w:rPr/>
        <w:t>入的确认方法</w:t>
      </w:r>
    </w:p>
    <w:p>
      <w:pPr>
        <w:pStyle w:val="BodyText"/>
        <w:spacing w:line="480" w:lineRule="auto" w:before="50"/>
        <w:ind w:right="1055" w:firstLine="360"/>
        <w:jc w:val="left"/>
      </w:pPr>
      <w:r>
        <w:rPr>
          <w:spacing w:val="-3"/>
        </w:rPr>
        <w:t>安科创新电子商务业务的结算方式是以客户先支付货款，收到货款后再向客户交付产品，在仓库发货给第三方物流后</w:t>
      </w:r>
      <w:r>
        <w:rPr>
          <w:w w:val="101"/>
        </w:rPr>
        <w:t> </w:t>
      </w:r>
      <w:r>
        <w:rPr/>
        <w:t>确认收入。</w:t>
      </w:r>
    </w:p>
    <w:p>
      <w:pPr>
        <w:spacing w:after="0" w:line="480" w:lineRule="auto"/>
        <w:jc w:val="left"/>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1055"/>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3"/>
        <w:rPr>
          <w:rFonts w:ascii="宋体" w:hAnsi="宋体" w:cs="宋体" w:eastAsia="宋体" w:hint="default"/>
          <w:b/>
          <w:bCs/>
          <w:sz w:val="32"/>
          <w:szCs w:val="32"/>
        </w:rPr>
      </w:pPr>
    </w:p>
    <w:p>
      <w:pPr>
        <w:pStyle w:val="BodyText"/>
        <w:spacing w:line="240" w:lineRule="auto"/>
        <w:ind w:left="513" w:right="1055"/>
        <w:jc w:val="left"/>
      </w:pPr>
      <w:r>
        <w:rPr>
          <w:spacing w:val="-3"/>
        </w:rPr>
        <w:t>参见“经营情况讨论与分析”中的“一、概述”相关内容。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932"/>
        <w:jc w:val="left"/>
      </w:pPr>
      <w:r>
        <w:rPr>
          <w:spacing w:val="-3"/>
        </w:rPr>
        <w:t>公司是否需要遵守光伏产业链相关业的披露要求</w:t>
      </w:r>
      <w:r>
        <w:rPr>
          <w:spacing w:val="-27"/>
        </w:rPr>
        <w:t> </w:t>
      </w:r>
      <w:r>
        <w:rPr>
          <w:spacing w:val="-27"/>
        </w:rPr>
      </w:r>
      <w:r>
        <w:rPr/>
        <w:t>否</w:t>
      </w:r>
    </w:p>
    <w:p>
      <w:pPr>
        <w:pStyle w:val="BodyText"/>
        <w:spacing w:line="338" w:lineRule="auto" w:before="31"/>
        <w:ind w:right="1362"/>
        <w:jc w:val="left"/>
      </w:pPr>
      <w:r>
        <w:rPr>
          <w:spacing w:val="-3"/>
        </w:rPr>
        <w:t>公司是否需遵守《深圳证券交易所创业板行业信息披露指引第 </w:t>
      </w:r>
      <w:r>
        <w:rPr>
          <w:rFonts w:ascii="Times New Roman" w:hAnsi="Times New Roman" w:cs="Times New Roman" w:eastAsia="Times New Roman" w:hint="default"/>
        </w:rPr>
        <w:t>1 </w:t>
      </w:r>
      <w:r>
        <w:rPr>
          <w:spacing w:val="-3"/>
        </w:rPr>
        <w:t>号</w:t>
      </w:r>
      <w:r>
        <w:rPr>
          <w:rFonts w:ascii="Times New Roman" w:hAnsi="Times New Roman" w:cs="Times New Roman" w:eastAsia="Times New Roman" w:hint="default"/>
          <w:spacing w:val="-3"/>
        </w:rPr>
        <w:t>——</w:t>
      </w:r>
      <w:r>
        <w:rPr>
          <w:spacing w:val="-3"/>
        </w:rPr>
        <w:t>上市公司从事广播电影电视业务》的披露要求：</w:t>
      </w:r>
      <w:r>
        <w:rPr>
          <w:spacing w:val="-69"/>
        </w:rPr>
        <w:t> </w:t>
      </w:r>
      <w:r>
        <w:rPr>
          <w:spacing w:val="-69"/>
        </w:rPr>
      </w:r>
      <w:r>
        <w:rPr/>
        <w:t>否</w:t>
      </w:r>
    </w:p>
    <w:p>
      <w:pPr>
        <w:pStyle w:val="BodyText"/>
        <w:spacing w:line="343" w:lineRule="auto" w:before="41"/>
        <w:ind w:right="1641"/>
        <w:jc w:val="left"/>
      </w:pPr>
      <w:r>
        <w:rPr>
          <w:spacing w:val="-3"/>
        </w:rPr>
        <w:t>公司是否需遵守《深圳证券交易所创业板行业信息披露指引第 </w:t>
      </w:r>
      <w:r>
        <w:rPr>
          <w:rFonts w:ascii="Times New Roman" w:hAnsi="Times New Roman" w:cs="Times New Roman" w:eastAsia="Times New Roman" w:hint="default"/>
        </w:rPr>
        <w:t>5 </w:t>
      </w:r>
      <w:r>
        <w:rPr>
          <w:spacing w:val="-3"/>
        </w:rPr>
        <w:t>号</w:t>
      </w:r>
      <w:r>
        <w:rPr>
          <w:rFonts w:ascii="Times New Roman" w:hAnsi="Times New Roman" w:cs="Times New Roman" w:eastAsia="Times New Roman" w:hint="default"/>
          <w:spacing w:val="-3"/>
        </w:rPr>
        <w:t>——</w:t>
      </w:r>
      <w:r>
        <w:rPr>
          <w:spacing w:val="-3"/>
        </w:rPr>
        <w:t>上市公司从事互联网游戏业务》的披露要求：</w:t>
      </w:r>
      <w:r>
        <w:rPr>
          <w:spacing w:val="-29"/>
        </w:rPr>
        <w:t> </w:t>
      </w:r>
      <w:r>
        <w:rPr>
          <w:spacing w:val="-29"/>
        </w:rPr>
      </w:r>
      <w:r>
        <w:rPr/>
        <w:t>否</w:t>
      </w:r>
    </w:p>
    <w:p>
      <w:pPr>
        <w:pStyle w:val="BodyText"/>
        <w:spacing w:line="338" w:lineRule="auto" w:before="37"/>
        <w:ind w:right="1055"/>
        <w:jc w:val="left"/>
      </w:pPr>
      <w:r>
        <w:rPr>
          <w:spacing w:val="-3"/>
        </w:rPr>
        <w:t>公司是否需遵守《深圳证券交易所创业板行业信息披露指引第</w:t>
      </w:r>
      <w:r>
        <w:rPr>
          <w:spacing w:val="-21"/>
        </w:rPr>
        <w:t> </w:t>
      </w:r>
      <w:r>
        <w:rPr>
          <w:rFonts w:ascii="Times New Roman" w:hAnsi="Times New Roman" w:cs="Times New Roman" w:eastAsia="Times New Roman" w:hint="default"/>
        </w:rPr>
        <w:t>9</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w:t>
      </w:r>
      <w:r>
        <w:rPr>
          <w:spacing w:val="-13"/>
        </w:rPr>
        <w:t> </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28"/>
        </w:rPr>
        <w:t> </w:t>
      </w:r>
      <w:r>
        <w:rPr>
          <w:spacing w:val="-3"/>
        </w:rPr>
        <w:t>产业链相关业务》的披露要求：</w:t>
      </w:r>
      <w:r>
        <w:rPr>
          <w:spacing w:val="-77"/>
        </w:rPr>
        <w:t> </w:t>
      </w:r>
      <w:r>
        <w:rPr>
          <w:spacing w:val="-77"/>
        </w:rPr>
      </w:r>
      <w:r>
        <w:rPr/>
        <w:t>否</w:t>
      </w:r>
    </w:p>
    <w:p>
      <w:pPr>
        <w:pStyle w:val="BodyText"/>
        <w:spacing w:line="338" w:lineRule="auto" w:before="46"/>
        <w:ind w:right="1641"/>
        <w:jc w:val="left"/>
      </w:pPr>
      <w:r>
        <w:rPr>
          <w:spacing w:val="-3"/>
        </w:rPr>
        <w:t>公司是否需遵守《深圳证券交易所创业板行业信息披露指引第 </w:t>
      </w:r>
      <w:r>
        <w:rPr>
          <w:rFonts w:ascii="Times New Roman" w:hAnsi="Times New Roman" w:cs="Times New Roman" w:eastAsia="Times New Roman" w:hint="default"/>
        </w:rPr>
        <w:t>10 </w:t>
      </w:r>
      <w:r>
        <w:rPr>
          <w:spacing w:val="-3"/>
        </w:rPr>
        <w:t>号</w:t>
      </w:r>
      <w:r>
        <w:rPr>
          <w:rFonts w:ascii="Times New Roman" w:hAnsi="Times New Roman" w:cs="Times New Roman" w:eastAsia="Times New Roman" w:hint="default"/>
          <w:spacing w:val="-3"/>
        </w:rPr>
        <w:t>——</w:t>
      </w:r>
      <w:r>
        <w:rPr>
          <w:spacing w:val="-3"/>
        </w:rPr>
        <w:t>上市公司从事医疗器械业务》的披露要求：</w:t>
      </w:r>
      <w:r>
        <w:rPr>
          <w:spacing w:val="-28"/>
        </w:rPr>
        <w:t> </w:t>
      </w:r>
      <w:r>
        <w:rPr>
          <w:spacing w:val="-28"/>
        </w:rPr>
      </w:r>
      <w:r>
        <w:rPr/>
        <w:t>否</w:t>
      </w:r>
    </w:p>
    <w:p>
      <w:pPr>
        <w:pStyle w:val="BodyText"/>
        <w:spacing w:line="343" w:lineRule="auto" w:before="41"/>
        <w:ind w:right="1641"/>
        <w:jc w:val="left"/>
      </w:pPr>
      <w:r>
        <w:rPr>
          <w:spacing w:val="-3"/>
        </w:rPr>
        <w:t>公司是否需遵守《深圳证券交易所行业信息披露指引第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上市公司从软件与信息技术服务业务》的披露要求</w:t>
      </w:r>
      <w:r>
        <w:rPr>
          <w:spacing w:val="-28"/>
        </w:rPr>
        <w:t> </w:t>
      </w:r>
      <w:r>
        <w:rPr>
          <w:spacing w:val="-28"/>
        </w:rPr>
      </w:r>
      <w:r>
        <w:rPr/>
        <w:t>否</w:t>
      </w:r>
    </w:p>
    <w:p>
      <w:pPr>
        <w:pStyle w:val="BodyText"/>
        <w:spacing w:line="240" w:lineRule="auto" w:before="37"/>
        <w:ind w:right="1055"/>
        <w:jc w:val="left"/>
      </w:pPr>
      <w:r>
        <w:rPr/>
        <w:t>营业收入整体情况</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5"/>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1,299,251,173.43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1,147,678,765.17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13.21%</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306,009,896.40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89,195,236.33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243.08%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612,725,456.25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635,783,884.31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-3.63%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376,172,257.34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418,487,962.21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-10.11%</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4,343,563.44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4,211,682.32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51,581,286.33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47,211,616.45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3"/>
                <w:sz w:val="18"/>
              </w:rPr>
              <w:t>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9.26%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254,428,610.07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41,983,619.88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506.02%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短彩信通讯服务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520,073,357.96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447,122,253.54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16.32%</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移动流量业务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9,520,222.59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115,172,187.87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移动互联网应用服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83,131,875.70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73,489,442.90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13.12%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5"/>
        <w:gridCol w:w="1594"/>
      </w:tblGrid>
      <w:tr>
        <w:trPr>
          <w:trHeight w:val="36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376,172,257.34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418,487,962.21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-10.11%</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4,343,563.44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4,211,682.32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932,592,440.59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749,131,916.65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24.49%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366,658,732.84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398,546,848.52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w:t>
            </w:r>
          </w:p>
        </w:tc>
      </w:tr>
    </w:tbl>
    <w:p>
      <w:pPr>
        <w:spacing w:line="240" w:lineRule="auto" w:before="3"/>
        <w:rPr>
          <w:rFonts w:ascii="宋体" w:hAnsi="宋体" w:cs="宋体" w:eastAsia="宋体" w:hint="default"/>
          <w:sz w:val="19"/>
          <w:szCs w:val="19"/>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）占公司营业收入或营业利润</w:t>
      </w:r>
      <w:r>
        <w:rPr>
          <w:spacing w:val="-5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186" w:top="1100" w:bottom="1380" w:left="980" w:right="0"/>
        </w:sectPr>
      </w:pPr>
    </w:p>
    <w:p>
      <w:pPr>
        <w:pStyle w:val="BodyText"/>
        <w:spacing w:line="34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公司是否需要遵守特殊行业的披露要求</w:t>
      </w:r>
      <w:r>
        <w:rPr>
          <w:spacing w:val="-39"/>
        </w:rPr>
        <w:t> </w:t>
      </w:r>
      <w:r>
        <w:rPr>
          <w:spacing w:val="-39"/>
        </w:rPr>
      </w:r>
      <w:r>
        <w:rPr/>
        <w:t>是</w:t>
      </w:r>
    </w:p>
    <w:p>
      <w:pPr>
        <w:pStyle w:val="BodyText"/>
        <w:spacing w:line="240" w:lineRule="auto" w:before="39"/>
        <w:ind w:right="0"/>
        <w:jc w:val="left"/>
      </w:pPr>
      <w:r>
        <w:rPr/>
        <w:t>电子商务业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2" w:equalWidth="0">
            <w:col w:w="3217" w:space="5705"/>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9"/>
        <w:gridCol w:w="1369"/>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2" w:right="46" w:hanging="360"/>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306,009,896.40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189,326,802.31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243.08%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235.70%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612,725,456.25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440,162,156.00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-3.63%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-7.03%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376,172,257.34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253,527,629.47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-11.34%</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51,581,286.33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27,557,482.05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-11.42%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254,428,610.07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161,769,320.26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36.42%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506.02%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539.70%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短彩信通讯服务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520,073,357.96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412,751,853.98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移动流量业务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9,520,222.59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8,450,771.90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14.64%</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移动互联网应用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83,131,875.70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18,959,530.12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3.28%</w:t>
            </w:r>
            <w:r>
              <w:rPr>
                <w:rFonts w:ascii="Times New Roman"/>
                <w:sz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376,172,257.34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253,527,629.47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8.06%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-11.34%</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928,248,877.15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594,510,013.24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366,658,732.84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288,506,574.54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-21.55%</w:t>
            </w:r>
          </w:p>
        </w:tc>
      </w:tr>
    </w:tbl>
    <w:p>
      <w:pPr>
        <w:pStyle w:val="BodyText"/>
        <w:spacing w:line="240" w:lineRule="auto" w:before="53"/>
        <w:ind w:right="1055"/>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1"/>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580" w:bottom="70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报告期内，公司中标中国农业银行总行印控仪项目约</w:t>
      </w:r>
      <w:r>
        <w:rPr>
          <w:rFonts w:ascii="宋体" w:hAnsi="宋体" w:cs="宋体" w:eastAsia="宋体" w:hint="default"/>
          <w:spacing w:val="-4"/>
        </w:rPr>
        <w:t>2.45</w:t>
      </w:r>
      <w:r>
        <w:rPr>
          <w:spacing w:val="-4"/>
        </w:rPr>
        <w:t>亿元的大额订单。截至报告期末，该项目已实施的合同总金额</w:t>
      </w:r>
    </w:p>
    <w:p>
      <w:pPr>
        <w:pStyle w:val="BodyText"/>
        <w:spacing w:line="240" w:lineRule="auto" w:before="105"/>
        <w:ind w:right="1055"/>
        <w:jc w:val="left"/>
      </w:pPr>
      <w:r>
        <w:rPr/>
        <w:t>为</w:t>
      </w:r>
      <w:r>
        <w:rPr>
          <w:rFonts w:ascii="宋体" w:hAnsi="宋体" w:cs="宋体" w:eastAsia="宋体" w:hint="default"/>
        </w:rPr>
        <w:t>22,861.80</w:t>
      </w:r>
      <w:r>
        <w:rPr/>
        <w:t>万元，对</w:t>
      </w:r>
      <w:r>
        <w:rPr>
          <w:rFonts w:ascii="宋体" w:hAnsi="宋体" w:cs="宋体" w:eastAsia="宋体" w:hint="default"/>
        </w:rPr>
        <w:t>2018</w:t>
      </w:r>
      <w:r>
        <w:rPr/>
        <w:t>年度的经营业绩产生了积极的影响。</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055"/>
        <w:jc w:val="left"/>
      </w:pPr>
      <w:r>
        <w:rPr/>
        <w:t>产品分类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0"/>
        <w:gridCol w:w="1037"/>
        <w:gridCol w:w="1369"/>
        <w:gridCol w:w="1369"/>
        <w:gridCol w:w="1364"/>
        <w:gridCol w:w="1368"/>
        <w:gridCol w:w="1369"/>
      </w:tblGrid>
      <w:tr>
        <w:trPr>
          <w:trHeight w:val="403" w:hRule="exact"/>
        </w:trPr>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700" w:type="dxa"/>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6,145,733.03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4,106,933.08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49.64%</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金融软件</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21,411,749.02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27,002,472.15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159,220,091.23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23,664,825.03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572.81%</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金融专用设备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2,549,229.03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1,623,365.14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57.03%</w:t>
            </w:r>
          </w:p>
        </w:tc>
      </w:tr>
      <w:tr>
        <w:trPr>
          <w:trHeight w:val="39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短彩信通讯服务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运营商成本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412,751,853.98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335,182,727.26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23.14%</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移动流量业务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运营商成本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8,450,771.90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119,099,828.92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-92.90%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移动互联网应用服务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18,959,530.12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19,176,823.51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253,527,629.47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234,620,517.24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8.06%</w:t>
            </w:r>
          </w:p>
        </w:tc>
      </w:tr>
    </w:tbl>
    <w:p>
      <w:pPr>
        <w:spacing w:line="240" w:lineRule="auto" w:before="3"/>
        <w:rPr>
          <w:rFonts w:ascii="宋体" w:hAnsi="宋体" w:cs="宋体" w:eastAsia="宋体" w:hint="default"/>
          <w:sz w:val="19"/>
          <w:szCs w:val="19"/>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13"/>
          <w:szCs w:val="13"/>
        </w:rPr>
      </w:pPr>
    </w:p>
    <w:p>
      <w:pPr>
        <w:pStyle w:val="BodyText"/>
        <w:spacing w:line="477" w:lineRule="auto"/>
        <w:ind w:right="1128" w:firstLine="360"/>
        <w:jc w:val="both"/>
      </w:pPr>
      <w:r>
        <w:rPr>
          <w:spacing w:val="-3"/>
        </w:rPr>
        <w:t>报告期内，本公司设立全资子公司深圳银之杰拓扑技术有限公司，合并报表范围增加</w:t>
      </w:r>
      <w:r>
        <w:rPr>
          <w:rFonts w:ascii="宋体" w:hAnsi="宋体" w:cs="宋体" w:eastAsia="宋体" w:hint="default"/>
          <w:spacing w:val="-3"/>
        </w:rPr>
        <w:t>1</w:t>
      </w:r>
      <w:r>
        <w:rPr>
          <w:spacing w:val="-3"/>
        </w:rPr>
        <w:t>户；同时，全资子公司深圳市银</w:t>
      </w:r>
      <w:r>
        <w:rPr>
          <w:w w:val="101"/>
        </w:rPr>
        <w:t> </w:t>
      </w:r>
      <w:r>
        <w:rPr>
          <w:spacing w:val="-4"/>
          <w:w w:val="101"/>
        </w:rPr>
        <w:t>之杰金融设备有限公司的股东由本公司变更为全资子公司深圳银之杰智慧科技有限公司，深圳市银之杰金融设备有限公司变</w:t>
      </w:r>
      <w:r>
        <w:rPr>
          <w:w w:val="101"/>
        </w:rPr>
        <w:t> </w:t>
      </w:r>
      <w:r>
        <w:rPr>
          <w:spacing w:val="-3"/>
        </w:rPr>
        <w:t>更为公司全资孙公司，合并报表范围减少</w:t>
      </w:r>
      <w:r>
        <w:rPr>
          <w:rFonts w:ascii="宋体" w:hAnsi="宋体" w:cs="宋体" w:eastAsia="宋体" w:hint="default"/>
          <w:spacing w:val="-3"/>
        </w:rPr>
        <w:t>1</w:t>
      </w:r>
      <w:r>
        <w:rPr>
          <w:spacing w:val="-3"/>
        </w:rPr>
        <w:t>户。综上，报告期内有</w:t>
      </w:r>
      <w:r>
        <w:rPr>
          <w:rFonts w:ascii="宋体" w:hAnsi="宋体" w:cs="宋体" w:eastAsia="宋体" w:hint="default"/>
          <w:spacing w:val="-3"/>
        </w:rPr>
        <w:t>5</w:t>
      </w:r>
      <w:r>
        <w:rPr>
          <w:spacing w:val="-3"/>
        </w:rPr>
        <w:t>家子公司纳入本期合并财务报表范围。</w:t>
      </w:r>
    </w:p>
    <w:p>
      <w:pPr>
        <w:spacing w:line="240" w:lineRule="auto" w:before="3"/>
        <w:rPr>
          <w:rFonts w:ascii="宋体" w:hAnsi="宋体" w:cs="宋体" w:eastAsia="宋体" w:hint="default"/>
          <w:sz w:val="19"/>
          <w:szCs w:val="19"/>
        </w:rPr>
      </w:pPr>
    </w:p>
    <w:p>
      <w:pPr>
        <w:pStyle w:val="Heading3"/>
        <w:spacing w:line="240" w:lineRule="auto"/>
        <w:ind w:right="105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055"/>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167,757,568.06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before="46"/>
        <w:ind w:right="1055"/>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4019"/>
        <w:gridCol w:w="2377"/>
        <w:gridCol w:w="2372"/>
      </w:tblGrid>
      <w:tr>
        <w:trPr>
          <w:trHeight w:val="399"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上海汉涛信息咨询有限公司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54,475,279.00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上海浦东发展银行股份有限公司信用卡中心</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41,434,803.69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江西欣典文化传播有限公司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26,468,208.12</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1.92%</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广州农村商业银行股份有限公司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23,548,091.19</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1.70%</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21,831,186.06</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167,757,568.06</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12.18%</w:t>
            </w:r>
          </w:p>
        </w:tc>
      </w:tr>
    </w:tbl>
    <w:p>
      <w:pPr>
        <w:pStyle w:val="BodyText"/>
        <w:spacing w:line="240" w:lineRule="auto" w:before="53"/>
        <w:ind w:right="1055"/>
        <w:jc w:val="left"/>
      </w:pPr>
      <w:r>
        <w:rPr/>
        <w:t>主要客户其他情况说明</w:t>
      </w:r>
    </w:p>
    <w:p>
      <w:pPr>
        <w:pStyle w:val="BodyText"/>
        <w:spacing w:line="412" w:lineRule="auto" w:before="119"/>
        <w:ind w:left="513" w:right="1641"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公司前</w:t>
      </w:r>
      <w:r>
        <w:rPr>
          <w:rFonts w:ascii="宋体" w:hAnsi="宋体" w:cs="宋体" w:eastAsia="宋体" w:hint="default"/>
          <w:spacing w:val="-3"/>
        </w:rPr>
        <w:t>5</w:t>
      </w:r>
      <w:r>
        <w:rPr>
          <w:spacing w:val="-3"/>
        </w:rPr>
        <w:t>大客户中北京华道征信有限公司为公司参股子公司，公司与该参股子公司发生的交易为关联交易。</w:t>
      </w:r>
    </w:p>
    <w:p>
      <w:pPr>
        <w:pStyle w:val="BodyText"/>
        <w:spacing w:line="240" w:lineRule="auto" w:before="100"/>
        <w:ind w:left="513" w:right="1055"/>
        <w:jc w:val="left"/>
      </w:pPr>
      <w:r>
        <w:rPr>
          <w:spacing w:val="-3"/>
        </w:rPr>
        <w:t>前</w:t>
      </w:r>
      <w:r>
        <w:rPr>
          <w:rFonts w:ascii="宋体" w:hAnsi="宋体" w:cs="宋体" w:eastAsia="宋体" w:hint="default"/>
          <w:spacing w:val="-3"/>
        </w:rPr>
        <w:t>5</w:t>
      </w:r>
      <w:r>
        <w:rPr>
          <w:spacing w:val="-3"/>
        </w:rPr>
        <w:t>大客户中其他客户与公司不存在关联关系。</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1055"/>
        <w:jc w:val="left"/>
      </w:pPr>
      <w:r>
        <w:rPr>
          <w:spacing w:val="-3"/>
        </w:rPr>
        <w:t>公司主要供应商情况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821"/>
        <w:gridCol w:w="4749"/>
      </w:tblGrid>
      <w:tr>
        <w:trPr>
          <w:trHeight w:val="399"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509,969,300.00</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52.44%</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9"/>
        <w:rPr>
          <w:rFonts w:ascii="宋体" w:hAnsi="宋体" w:cs="宋体" w:eastAsia="宋体" w:hint="default"/>
          <w:sz w:val="27"/>
          <w:szCs w:val="27"/>
        </w:rPr>
      </w:pPr>
    </w:p>
    <w:p>
      <w:pPr>
        <w:pStyle w:val="BodyText"/>
        <w:spacing w:line="240" w:lineRule="auto" w:before="46"/>
        <w:ind w:right="1055"/>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7"/>
        <w:gridCol w:w="2876"/>
        <w:gridCol w:w="2881"/>
        <w:gridCol w:w="2876"/>
      </w:tblGrid>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9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23"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195,609,402.17</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20.11%</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129,040,240.54</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13.27%</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110,487,488.34</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11.36%</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40,537,954.40</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4.17%</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34,294,214.55</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3.53%</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509,969,300.00</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52.44%</w:t>
            </w:r>
          </w:p>
        </w:tc>
      </w:tr>
    </w:tbl>
    <w:p>
      <w:pPr>
        <w:pStyle w:val="BodyText"/>
        <w:spacing w:line="240" w:lineRule="auto" w:before="53"/>
        <w:ind w:right="1055"/>
        <w:jc w:val="left"/>
      </w:pPr>
      <w:r>
        <w:rPr>
          <w:spacing w:val="-3"/>
        </w:rPr>
        <w:t>主要供应商其他情况说明</w:t>
      </w:r>
    </w:p>
    <w:p>
      <w:pPr>
        <w:pStyle w:val="BodyText"/>
        <w:spacing w:line="410" w:lineRule="auto" w:before="120"/>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公司前</w:t>
      </w:r>
      <w:r>
        <w:rPr>
          <w:rFonts w:ascii="宋体" w:hAnsi="宋体" w:cs="宋体" w:eastAsia="宋体" w:hint="default"/>
          <w:spacing w:val="-3"/>
        </w:rPr>
        <w:t>5</w:t>
      </w:r>
      <w:r>
        <w:rPr>
          <w:spacing w:val="-3"/>
        </w:rPr>
        <w:t>名供应商与公司不存在关联关系，公司董事、监事、高级管理人员、核心技术人员、持股</w:t>
      </w:r>
      <w:r>
        <w:rPr>
          <w:rFonts w:ascii="宋体" w:hAnsi="宋体" w:cs="宋体" w:eastAsia="宋体" w:hint="default"/>
          <w:spacing w:val="-3"/>
        </w:rPr>
        <w:t>5%</w:t>
      </w:r>
      <w:r>
        <w:rPr>
          <w:spacing w:val="-3"/>
        </w:rPr>
        <w:t>以上股东、实际控</w:t>
      </w:r>
    </w:p>
    <w:p>
      <w:pPr>
        <w:pStyle w:val="BodyText"/>
        <w:spacing w:line="240" w:lineRule="auto" w:before="107"/>
        <w:ind w:right="1055"/>
        <w:jc w:val="left"/>
      </w:pPr>
      <w:r>
        <w:rPr>
          <w:spacing w:val="-3"/>
        </w:rPr>
        <w:t>制人和其他关联方在主要供应商中未直接或间接拥有权益。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580"/>
        <w:gridCol w:w="1575"/>
        <w:gridCol w:w="158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207,524,481.69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207,137,589.50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67,658,400.68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70,673,619.97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-4.27%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18,986,935.76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12,374,254.66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53.44%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2"/>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主要原因系报告期内公司贷款增加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而引起利息费用增加所致。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56,734,133.61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40,551,259.12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2"/>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主要原因系报告期内公司及公司子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公司亿美软通研发投入增多所致。</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4,125,026.87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2,736,671.31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82"/>
              <w:jc w:val="left"/>
              <w:rPr>
                <w:rFonts w:ascii="宋体" w:hAnsi="宋体" w:cs="宋体" w:eastAsia="宋体" w:hint="default"/>
                <w:sz w:val="18"/>
                <w:szCs w:val="18"/>
              </w:rPr>
            </w:pPr>
            <w:r>
              <w:rPr>
                <w:rFonts w:ascii="宋体" w:hAnsi="宋体" w:cs="宋体" w:eastAsia="宋体" w:hint="default"/>
                <w:spacing w:val="-3"/>
                <w:sz w:val="18"/>
                <w:szCs w:val="18"/>
              </w:rPr>
              <w:t>主要原因系公司业务增长随同各项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附加税费增加所致。</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11,673,592.72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3,974,133.34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193.74%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主要原因系报告期内公司业务增长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尚未回款，产生应收账款增加导致坏</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账准备计提增加所致。</w:t>
            </w: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-62,411,753.54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-17,316,800.62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-260.41%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主要原因系报告期内公司投资的易</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安财产保险、东亚前海证券及华道征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信在业务开展初期尚未实现盈利所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致。</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35,462,882.06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123,741.16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28,558.92%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2"/>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主要原因系报告期内公司出售房产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所致。</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8,180,393.80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5,456,876.69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2"/>
              <w:jc w:val="left"/>
              <w:rPr>
                <w:rFonts w:ascii="宋体" w:hAnsi="宋体" w:cs="宋体" w:eastAsia="宋体" w:hint="default"/>
                <w:sz w:val="18"/>
                <w:szCs w:val="18"/>
              </w:rPr>
            </w:pPr>
            <w:r>
              <w:rPr>
                <w:rFonts w:ascii="宋体" w:hAnsi="宋体" w:cs="宋体" w:eastAsia="宋体" w:hint="default"/>
                <w:spacing w:val="-3"/>
                <w:sz w:val="18"/>
                <w:szCs w:val="18"/>
              </w:rPr>
              <w:t>主要原因系公司及公司子公司安科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创新取得的政府补助增加所致。</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3,723,070.21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2,121,423.53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82"/>
              <w:jc w:val="both"/>
              <w:rPr>
                <w:rFonts w:ascii="宋体" w:hAnsi="宋体" w:cs="宋体" w:eastAsia="宋体" w:hint="default"/>
                <w:sz w:val="18"/>
                <w:szCs w:val="18"/>
              </w:rPr>
            </w:pPr>
            <w:r>
              <w:rPr>
                <w:rFonts w:ascii="宋体" w:hAnsi="宋体" w:cs="宋体" w:eastAsia="宋体" w:hint="default"/>
                <w:spacing w:val="-3"/>
                <w:sz w:val="18"/>
                <w:szCs w:val="18"/>
              </w:rPr>
              <w:t>主要原因系公司子公司亿美软通收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到侵权员工损失偿赔款和公司子公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司安科创新收到平台赔偿款所致。</w:t>
            </w:r>
          </w:p>
        </w:tc>
      </w:tr>
      <w:tr>
        <w:trPr>
          <w:trHeight w:val="1339"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895,980.64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514,865.62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主要原因系报告期内公司提前退租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损失的租赁押金及公司子公司安科</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创新办公楼提前退租损失的租赁押</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415" w:lineRule="auto"/>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金融行业业务创新层出不穷，市场需求日新月异。作为金融信息化和新兴金融服务领域的高新技术企业，公司一直十分</w:t>
      </w:r>
    </w:p>
    <w:p>
      <w:pPr>
        <w:pStyle w:val="BodyText"/>
        <w:spacing w:line="477" w:lineRule="auto" w:before="99"/>
        <w:ind w:right="1122"/>
        <w:jc w:val="both"/>
      </w:pPr>
      <w:r>
        <w:rPr>
          <w:spacing w:val="-4"/>
        </w:rPr>
        <w:t>重视研发投入，坚持以客户需求为导向，走自主创新的产品研发道路。为公司进一步丰富综合金融生态服务体系的产品和服</w:t>
      </w:r>
      <w:r>
        <w:rPr>
          <w:spacing w:val="43"/>
        </w:rPr>
        <w:t> </w:t>
      </w:r>
      <w:r>
        <w:rPr>
          <w:spacing w:val="43"/>
        </w:rPr>
      </w:r>
      <w:r>
        <w:rPr>
          <w:spacing w:val="-4"/>
        </w:rPr>
        <w:t>务，提升金融科技的服务能力和竞争能力。公司一方面努力做好提高、完善现有产品的各项技术和功能，另一方面不断丰富</w:t>
      </w:r>
      <w:r>
        <w:rPr>
          <w:spacing w:val="42"/>
        </w:rPr>
        <w:t> </w:t>
      </w:r>
      <w:r>
        <w:rPr>
          <w:spacing w:val="42"/>
        </w:rPr>
      </w:r>
      <w:r>
        <w:rPr>
          <w:spacing w:val="-3"/>
        </w:rPr>
        <w:t>研发人员的知识储备，密切关注创新业务的动态与潜在需求，加大新产品的研发力度、提升新兴业务的服务能力。</w:t>
      </w:r>
    </w:p>
    <w:p>
      <w:pPr>
        <w:pStyle w:val="BodyText"/>
        <w:spacing w:line="475" w:lineRule="auto" w:before="56"/>
        <w:ind w:right="1055" w:firstLine="360"/>
        <w:jc w:val="left"/>
      </w:pPr>
      <w:r>
        <w:rPr>
          <w:spacing w:val="-4"/>
        </w:rPr>
        <w:t>截至报告期末，公司及控股子公司已获得软件著作权</w:t>
      </w:r>
      <w:r>
        <w:rPr>
          <w:rFonts w:ascii="宋体" w:hAnsi="宋体" w:cs="宋体" w:eastAsia="宋体" w:hint="default"/>
          <w:spacing w:val="-4"/>
        </w:rPr>
        <w:t>177</w:t>
      </w:r>
      <w:r>
        <w:rPr>
          <w:spacing w:val="-4"/>
        </w:rPr>
        <w:t>项、专利授权</w:t>
      </w:r>
      <w:r>
        <w:rPr>
          <w:rFonts w:ascii="宋体" w:hAnsi="宋体" w:cs="宋体" w:eastAsia="宋体" w:hint="default"/>
          <w:spacing w:val="-4"/>
        </w:rPr>
        <w:t>39</w:t>
      </w:r>
      <w:r>
        <w:rPr>
          <w:spacing w:val="-4"/>
        </w:rPr>
        <w:t>项（其中发明专利</w:t>
      </w:r>
      <w:r>
        <w:rPr>
          <w:rFonts w:ascii="宋体" w:hAnsi="宋体" w:cs="宋体" w:eastAsia="宋体" w:hint="default"/>
          <w:spacing w:val="-4"/>
        </w:rPr>
        <w:t>8</w:t>
      </w:r>
      <w:r>
        <w:rPr>
          <w:spacing w:val="-4"/>
        </w:rPr>
        <w:t>项、实用新型专利</w:t>
      </w:r>
      <w:r>
        <w:rPr>
          <w:rFonts w:ascii="宋体" w:hAnsi="宋体" w:cs="宋体" w:eastAsia="宋体" w:hint="default"/>
          <w:spacing w:val="-4"/>
        </w:rPr>
        <w:t>12</w:t>
      </w:r>
      <w:r>
        <w:rPr>
          <w:spacing w:val="-4"/>
        </w:rPr>
        <w:t>项、外</w:t>
      </w:r>
      <w:r>
        <w:rPr>
          <w:w w:val="101"/>
        </w:rPr>
        <w:t> </w:t>
      </w:r>
      <w:r>
        <w:rPr/>
        <w:t>观设计专利</w:t>
      </w:r>
      <w:r>
        <w:rPr>
          <w:rFonts w:ascii="宋体" w:hAnsi="宋体" w:cs="宋体" w:eastAsia="宋体" w:hint="default"/>
        </w:rPr>
        <w:t>19</w:t>
      </w:r>
      <w:r>
        <w:rPr/>
        <w:t>项）。</w:t>
      </w:r>
    </w:p>
    <w:p>
      <w:pPr>
        <w:spacing w:after="0" w:line="475"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1055"/>
        <w:jc w:val="left"/>
      </w:pPr>
      <w:r>
        <w:rPr>
          <w:spacing w:val="-3"/>
        </w:rPr>
        <w:t>近三年公司研发投入金额及占营业收入的比例</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60,807,075.77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53,883,716.11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56,356,445.51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6,621,427.99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11,358,185.74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12,174,472.04</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21.60%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15.07%</w:t>
            </w:r>
          </w:p>
        </w:tc>
      </w:tr>
    </w:tbl>
    <w:p>
      <w:pPr>
        <w:pStyle w:val="BodyText"/>
        <w:spacing w:line="240" w:lineRule="auto" w:before="53"/>
        <w:ind w:right="1055"/>
        <w:jc w:val="left"/>
      </w:pPr>
      <w:r>
        <w:rPr>
          <w:spacing w:val="-3"/>
        </w:rPr>
        <w:t>研发投入总额占营业收入的比重较上年发生显著变化的原因</w:t>
      </w:r>
    </w:p>
    <w:p>
      <w:pPr>
        <w:pStyle w:val="BodyText"/>
        <w:spacing w:line="338" w:lineRule="auto" w:before="120"/>
        <w:ind w:right="58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1,339,685,937.60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1,215,993,896.69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10.17%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1,242,500,077.17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1,285,656,530.69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-3.36%</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97,185,860.43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-69,662,634.00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239.51%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484,570,617.60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3,036,352.41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15,858.97%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427,814,397.50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621,244,054.25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-31.14%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56,756,220.10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-618,207,701.84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109.18%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392,276,396.63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921,697,157.81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-57.44%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467,234,796.28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234,450,524.63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99.29%</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-74,958,399.65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687,246,633.18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-110.91%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76,591,706.86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-5,000,634.07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1,631.64%</w:t>
            </w:r>
          </w:p>
        </w:tc>
      </w:tr>
    </w:tbl>
    <w:p>
      <w:pPr>
        <w:pStyle w:val="BodyText"/>
        <w:spacing w:line="240" w:lineRule="auto" w:before="53"/>
        <w:ind w:right="1055"/>
        <w:jc w:val="left"/>
      </w:pPr>
      <w:r>
        <w:rPr>
          <w:spacing w:val="-3"/>
        </w:rPr>
        <w:t>相关数据同比发生重大变动的主要影响因素说明</w:t>
      </w:r>
    </w:p>
    <w:p>
      <w:pPr>
        <w:pStyle w:val="BodyText"/>
        <w:spacing w:line="417" w:lineRule="auto" w:before="115"/>
        <w:ind w:left="513" w:right="1055" w:hanging="360"/>
        <w:jc w:val="left"/>
        <w:rPr>
          <w:rFonts w:ascii="宋体" w:hAnsi="宋体" w:cs="宋体" w:eastAsia="宋体"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报告期内，经营活动现金流入增加</w:t>
      </w:r>
      <w:r>
        <w:rPr>
          <w:rFonts w:ascii="宋体" w:hAnsi="宋体" w:cs="宋体" w:eastAsia="宋体" w:hint="default"/>
          <w:spacing w:val="-2"/>
        </w:rPr>
        <w:t>12,369.20</w:t>
      </w:r>
      <w:r>
        <w:rPr>
          <w:spacing w:val="-2"/>
        </w:rPr>
        <w:t>万元，增长</w:t>
      </w:r>
      <w:r>
        <w:rPr>
          <w:rFonts w:ascii="宋体" w:hAnsi="宋体" w:cs="宋体" w:eastAsia="宋体" w:hint="default"/>
          <w:spacing w:val="-2"/>
        </w:rPr>
        <w:t>10.17%</w:t>
      </w:r>
      <w:r>
        <w:rPr>
          <w:spacing w:val="-2"/>
        </w:rPr>
        <w:t>，主要原因系报告期内公司收取销售款项增加</w:t>
      </w:r>
      <w:r>
        <w:rPr>
          <w:rFonts w:ascii="宋体" w:hAnsi="宋体" w:cs="宋体" w:eastAsia="宋体" w:hint="default"/>
          <w:spacing w:val="-2"/>
        </w:rPr>
        <w:t>9,639.80</w:t>
      </w:r>
    </w:p>
    <w:p>
      <w:pPr>
        <w:pStyle w:val="BodyText"/>
        <w:spacing w:line="240" w:lineRule="auto" w:before="96"/>
        <w:ind w:right="1055"/>
        <w:jc w:val="left"/>
      </w:pPr>
      <w:r>
        <w:rPr>
          <w:spacing w:val="-3"/>
        </w:rPr>
        <w:t>万元，占经营活动现金流入增加额的</w:t>
      </w:r>
      <w:r>
        <w:rPr>
          <w:rFonts w:ascii="宋体" w:hAnsi="宋体" w:cs="宋体" w:eastAsia="宋体" w:hint="default"/>
          <w:spacing w:val="-3"/>
        </w:rPr>
        <w:t>77.93%</w:t>
      </w:r>
      <w:r>
        <w:rPr>
          <w:spacing w:val="-3"/>
        </w:rPr>
        <w:t>；收取退税款项增加</w:t>
      </w:r>
      <w:r>
        <w:rPr>
          <w:rFonts w:ascii="宋体" w:hAnsi="宋体" w:cs="宋体" w:eastAsia="宋体" w:hint="default"/>
          <w:spacing w:val="-3"/>
        </w:rPr>
        <w:t>2,266.85</w:t>
      </w:r>
      <w:r>
        <w:rPr>
          <w:spacing w:val="-3"/>
        </w:rPr>
        <w:t>万元，占经营活动现金流入增加额的</w:t>
      </w:r>
      <w:r>
        <w:rPr>
          <w:rFonts w:ascii="宋体" w:hAnsi="宋体" w:cs="宋体" w:eastAsia="宋体" w:hint="default"/>
          <w:spacing w:val="-3"/>
        </w:rPr>
        <w:t>18.33%</w:t>
      </w:r>
      <w:r>
        <w:rPr>
          <w:spacing w:val="-3"/>
        </w:rPr>
        <w:t>。</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055" w:firstLine="360"/>
        <w:jc w:val="left"/>
      </w:pPr>
      <w:r>
        <w:rPr>
          <w:spacing w:val="-3"/>
        </w:rPr>
        <w:t>报告期内，经营活动现金流出减少</w:t>
      </w:r>
      <w:r>
        <w:rPr>
          <w:rFonts w:ascii="宋体" w:hAnsi="宋体" w:cs="宋体" w:eastAsia="宋体" w:hint="default"/>
          <w:spacing w:val="-3"/>
        </w:rPr>
        <w:t>4,315.65</w:t>
      </w:r>
      <w:r>
        <w:rPr>
          <w:spacing w:val="-3"/>
        </w:rPr>
        <w:t>万元，下降</w:t>
      </w:r>
      <w:r>
        <w:rPr>
          <w:rFonts w:ascii="宋体" w:hAnsi="宋体" w:cs="宋体" w:eastAsia="宋体" w:hint="default"/>
          <w:spacing w:val="-3"/>
        </w:rPr>
        <w:t>3.36%</w:t>
      </w:r>
      <w:r>
        <w:rPr>
          <w:spacing w:val="-3"/>
        </w:rPr>
        <w:t>，主要原因系报告期内公司子公司亿美软通移动信息业务</w:t>
      </w:r>
      <w:r>
        <w:rPr>
          <w:w w:val="101"/>
        </w:rPr>
        <w:t> </w:t>
      </w:r>
      <w:r>
        <w:rPr>
          <w:spacing w:val="-3"/>
        </w:rPr>
        <w:t>支付运营商成本、子公司安科创新支付电子商务商品成本减少所致。</w:t>
      </w:r>
    </w:p>
    <w:p>
      <w:pPr>
        <w:pStyle w:val="BodyText"/>
        <w:spacing w:line="475" w:lineRule="auto" w:before="59"/>
        <w:ind w:right="1055" w:firstLine="360"/>
        <w:jc w:val="left"/>
      </w:pPr>
      <w:r>
        <w:rPr>
          <w:spacing w:val="-4"/>
        </w:rPr>
        <w:t>报告期内，投资活动现金流入增加</w:t>
      </w:r>
      <w:r>
        <w:rPr>
          <w:rFonts w:ascii="宋体" w:hAnsi="宋体" w:cs="宋体" w:eastAsia="宋体" w:hint="default"/>
          <w:spacing w:val="-4"/>
        </w:rPr>
        <w:t>48,153.43</w:t>
      </w:r>
      <w:r>
        <w:rPr>
          <w:rFonts w:ascii="宋体" w:hAnsi="宋体" w:cs="宋体" w:eastAsia="宋体" w:hint="default"/>
          <w:spacing w:val="49"/>
        </w:rPr>
        <w:t> </w:t>
      </w:r>
      <w:r>
        <w:rPr>
          <w:spacing w:val="-4"/>
        </w:rPr>
        <w:t>万元，增加</w:t>
      </w:r>
      <w:r>
        <w:rPr>
          <w:rFonts w:ascii="宋体" w:hAnsi="宋体" w:cs="宋体" w:eastAsia="宋体" w:hint="default"/>
          <w:spacing w:val="-4"/>
        </w:rPr>
        <w:t>15,858.97%</w:t>
      </w:r>
      <w:r>
        <w:rPr>
          <w:spacing w:val="-4"/>
        </w:rPr>
        <w:t>，主要原因系报告期内公司募集资金现金管理赎回</w:t>
      </w:r>
      <w:r>
        <w:rPr>
          <w:w w:val="101"/>
        </w:rPr>
        <w:t> </w:t>
      </w:r>
      <w:r>
        <w:rPr/>
        <w:t>及公司出售房产所致。</w:t>
      </w:r>
    </w:p>
    <w:p>
      <w:pPr>
        <w:pStyle w:val="BodyText"/>
        <w:spacing w:line="475" w:lineRule="auto" w:before="58"/>
        <w:ind w:right="1055" w:firstLine="360"/>
        <w:jc w:val="left"/>
      </w:pPr>
      <w:r>
        <w:rPr>
          <w:spacing w:val="-3"/>
        </w:rPr>
        <w:t>报告期内，投资活动现金流出减少</w:t>
      </w:r>
      <w:r>
        <w:rPr>
          <w:rFonts w:ascii="宋体" w:hAnsi="宋体" w:cs="宋体" w:eastAsia="宋体" w:hint="default"/>
          <w:spacing w:val="-3"/>
        </w:rPr>
        <w:t>19,342.97</w:t>
      </w:r>
      <w:r>
        <w:rPr>
          <w:spacing w:val="-3"/>
        </w:rPr>
        <w:t>万元，下降</w:t>
      </w:r>
      <w:r>
        <w:rPr>
          <w:rFonts w:ascii="宋体" w:hAnsi="宋体" w:cs="宋体" w:eastAsia="宋体" w:hint="default"/>
          <w:spacing w:val="-3"/>
        </w:rPr>
        <w:t>31.14%</w:t>
      </w:r>
      <w:r>
        <w:rPr>
          <w:spacing w:val="-3"/>
        </w:rPr>
        <w:t>，主要原因是报告期内公司使用暂时闲置募集资金进行</w:t>
      </w:r>
      <w:r>
        <w:rPr>
          <w:w w:val="101"/>
        </w:rPr>
        <w:t> </w:t>
      </w:r>
      <w:r>
        <w:rPr>
          <w:spacing w:val="-3"/>
        </w:rPr>
        <w:t>现金管理减少，及公司本期较上年同期相比对外投资减少所致。</w:t>
      </w:r>
    </w:p>
    <w:p>
      <w:pPr>
        <w:pStyle w:val="BodyText"/>
        <w:spacing w:line="475" w:lineRule="auto" w:before="59"/>
        <w:ind w:right="1055" w:firstLine="360"/>
        <w:jc w:val="left"/>
      </w:pPr>
      <w:r>
        <w:rPr>
          <w:spacing w:val="-3"/>
        </w:rPr>
        <w:t>报告期内，筹资活动现金流入减少</w:t>
      </w:r>
      <w:r>
        <w:rPr>
          <w:rFonts w:ascii="宋体" w:hAnsi="宋体" w:cs="宋体" w:eastAsia="宋体" w:hint="default"/>
          <w:spacing w:val="-3"/>
        </w:rPr>
        <w:t>52,942.08</w:t>
      </w:r>
      <w:r>
        <w:rPr>
          <w:spacing w:val="-3"/>
        </w:rPr>
        <w:t>万元，下降</w:t>
      </w:r>
      <w:r>
        <w:rPr>
          <w:rFonts w:ascii="宋体" w:hAnsi="宋体" w:cs="宋体" w:eastAsia="宋体" w:hint="default"/>
          <w:spacing w:val="-3"/>
        </w:rPr>
        <w:t>57.44%</w:t>
      </w:r>
      <w:r>
        <w:rPr>
          <w:spacing w:val="-3"/>
        </w:rPr>
        <w:t>，主要原因系报告期内公司收回的银行承兑汇票保证金</w:t>
      </w:r>
      <w:r>
        <w:rPr>
          <w:w w:val="101"/>
        </w:rPr>
        <w:t> </w:t>
      </w:r>
      <w:r>
        <w:rPr/>
        <w:t>较上期减少所致。</w:t>
      </w:r>
    </w:p>
    <w:p>
      <w:pPr>
        <w:pStyle w:val="BodyText"/>
        <w:spacing w:line="475" w:lineRule="auto" w:before="58"/>
        <w:ind w:right="1055" w:firstLine="360"/>
        <w:jc w:val="left"/>
      </w:pPr>
      <w:r>
        <w:rPr>
          <w:spacing w:val="-3"/>
        </w:rPr>
        <w:t>报告期内，筹资活动现金流出增加</w:t>
      </w:r>
      <w:r>
        <w:rPr>
          <w:rFonts w:ascii="宋体" w:hAnsi="宋体" w:cs="宋体" w:eastAsia="宋体" w:hint="default"/>
          <w:spacing w:val="-3"/>
        </w:rPr>
        <w:t>23,278.43</w:t>
      </w:r>
      <w:r>
        <w:rPr>
          <w:spacing w:val="-3"/>
        </w:rPr>
        <w:t>万元，增长</w:t>
      </w:r>
      <w:r>
        <w:rPr>
          <w:rFonts w:ascii="宋体" w:hAnsi="宋体" w:cs="宋体" w:eastAsia="宋体" w:hint="default"/>
          <w:spacing w:val="-3"/>
        </w:rPr>
        <w:t>99.29%</w:t>
      </w:r>
      <w:r>
        <w:rPr>
          <w:spacing w:val="-3"/>
        </w:rPr>
        <w:t>，主要原因系报告期内公司支付的银行承兑保证金较上</w:t>
      </w:r>
      <w:r>
        <w:rPr>
          <w:w w:val="101"/>
        </w:rPr>
        <w:t> </w:t>
      </w:r>
      <w:r>
        <w:rPr/>
        <w:t>期增加所致。</w:t>
      </w:r>
    </w:p>
    <w:p>
      <w:pPr>
        <w:pStyle w:val="BodyText"/>
        <w:spacing w:line="240" w:lineRule="auto" w:before="58"/>
        <w:ind w:left="513" w:right="1055"/>
        <w:jc w:val="left"/>
      </w:pPr>
      <w:r>
        <w:rPr>
          <w:spacing w:val="-3"/>
        </w:rPr>
        <w:t>报告期内公司经营活动产生的现金净流量与本年度净利润存在重大差异的原因说明</w:t>
      </w:r>
    </w:p>
    <w:p>
      <w:pPr>
        <w:spacing w:line="240" w:lineRule="auto" w:before="8"/>
        <w:rPr>
          <w:rFonts w:ascii="宋体" w:hAnsi="宋体" w:cs="宋体" w:eastAsia="宋体" w:hint="default"/>
          <w:sz w:val="17"/>
          <w:szCs w:val="17"/>
        </w:rPr>
      </w:pPr>
    </w:p>
    <w:p>
      <w:pPr>
        <w:pStyle w:val="BodyText"/>
        <w:spacing w:line="477" w:lineRule="auto"/>
        <w:ind w:left="513" w:right="2850"/>
        <w:jc w:val="left"/>
      </w:pPr>
      <w:r>
        <w:rPr/>
        <w:t>√ </w:t>
      </w:r>
      <w:r>
        <w:rPr>
          <w:spacing w:val="-3"/>
        </w:rPr>
        <w:t>适用 </w:t>
      </w:r>
      <w:r>
        <w:rPr/>
        <w:t>□ 不适用</w:t>
      </w:r>
      <w:r>
        <w:rPr>
          <w:spacing w:val="-77"/>
        </w:rPr>
        <w:t> </w:t>
      </w:r>
      <w:r>
        <w:rPr>
          <w:spacing w:val="-77"/>
        </w:rPr>
      </w:r>
      <w:r>
        <w:rPr>
          <w:spacing w:val="-3"/>
        </w:rPr>
        <w:t>报告期内，公司经营活动的现金流量较本年度净利润增加</w:t>
      </w:r>
      <w:r>
        <w:rPr>
          <w:rFonts w:ascii="宋体" w:hAnsi="宋体" w:cs="宋体" w:eastAsia="宋体" w:hint="default"/>
          <w:spacing w:val="-3"/>
        </w:rPr>
        <w:t>7,551.21</w:t>
      </w:r>
      <w:r>
        <w:rPr>
          <w:spacing w:val="-3"/>
        </w:rPr>
        <w:t>万元，主要原因是：</w:t>
      </w:r>
      <w:r>
        <w:rPr>
          <w:spacing w:val="33"/>
        </w:rPr>
        <w:t> </w:t>
      </w:r>
      <w:r>
        <w:rPr>
          <w:spacing w:val="33"/>
        </w:rPr>
      </w:r>
      <w:r>
        <w:rPr>
          <w:rFonts w:ascii="宋体" w:hAnsi="宋体" w:cs="宋体" w:eastAsia="宋体" w:hint="default"/>
          <w:spacing w:val="-3"/>
        </w:rPr>
        <w:t>1</w:t>
      </w:r>
      <w:r>
        <w:rPr>
          <w:spacing w:val="-3"/>
        </w:rPr>
        <w:t>、报告期内公司计提联营企业亏损</w:t>
      </w:r>
      <w:r>
        <w:rPr>
          <w:rFonts w:ascii="宋体" w:hAnsi="宋体" w:cs="宋体" w:eastAsia="宋体" w:hint="default"/>
          <w:spacing w:val="-3"/>
        </w:rPr>
        <w:t>6,241.16</w:t>
      </w:r>
      <w:r>
        <w:rPr>
          <w:spacing w:val="-3"/>
        </w:rPr>
        <w:t>万元，未发生经营活动的现金流出；</w:t>
      </w:r>
    </w:p>
    <w:p>
      <w:pPr>
        <w:pStyle w:val="BodyText"/>
        <w:spacing w:line="240" w:lineRule="auto" w:before="56"/>
        <w:ind w:left="513" w:right="1055"/>
        <w:jc w:val="left"/>
      </w:pPr>
      <w:r>
        <w:rPr>
          <w:rFonts w:ascii="宋体" w:hAnsi="宋体" w:cs="宋体" w:eastAsia="宋体" w:hint="default"/>
          <w:spacing w:val="-3"/>
        </w:rPr>
        <w:t>2</w:t>
      </w:r>
      <w:r>
        <w:rPr>
          <w:spacing w:val="-3"/>
        </w:rPr>
        <w:t>、报告期内公司计提资产减值准备、折旧、摊销等非付现费用</w:t>
      </w:r>
      <w:r>
        <w:rPr>
          <w:rFonts w:ascii="宋体" w:hAnsi="宋体" w:cs="宋体" w:eastAsia="宋体" w:hint="default"/>
          <w:spacing w:val="-3"/>
        </w:rPr>
        <w:t>4,130.89</w:t>
      </w:r>
      <w:r>
        <w:rPr>
          <w:spacing w:val="-3"/>
        </w:rPr>
        <w:t>万元。</w:t>
      </w:r>
    </w:p>
    <w:p>
      <w:pPr>
        <w:spacing w:line="240" w:lineRule="auto" w:before="0"/>
        <w:rPr>
          <w:rFonts w:ascii="宋体" w:hAnsi="宋体" w:cs="宋体" w:eastAsia="宋体" w:hint="default"/>
          <w:sz w:val="18"/>
          <w:szCs w:val="18"/>
        </w:rPr>
      </w:pPr>
    </w:p>
    <w:p>
      <w:pPr>
        <w:pStyle w:val="Heading2"/>
        <w:spacing w:line="240" w:lineRule="auto" w:before="159"/>
        <w:ind w:right="1055"/>
        <w:jc w:val="left"/>
        <w:rPr>
          <w:b w:val="0"/>
          <w:bCs w:val="0"/>
        </w:rPr>
      </w:pPr>
      <w:r>
        <w:rPr/>
        <w:t>三、非主营业务情况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166"/>
        <w:gridCol w:w="2339"/>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-62,411,753.54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-191.30%</w:t>
            </w:r>
          </w:p>
        </w:tc>
        <w:tc>
          <w:tcPr>
            <w:tcW w:w="21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3"/>
              <w:ind w:left="23" w:right="-41"/>
              <w:jc w:val="center"/>
              <w:rPr>
                <w:rFonts w:ascii="宋体" w:hAnsi="宋体" w:cs="宋体" w:eastAsia="宋体" w:hint="default"/>
                <w:sz w:val="18"/>
                <w:szCs w:val="18"/>
              </w:rPr>
            </w:pPr>
            <w:r>
              <w:rPr>
                <w:rFonts w:ascii="宋体" w:hAnsi="宋体" w:cs="宋体" w:eastAsia="宋体" w:hint="default"/>
                <w:spacing w:val="-3"/>
                <w:sz w:val="18"/>
                <w:szCs w:val="18"/>
              </w:rPr>
              <w:t>公司对外投资形成的损益。</w:t>
            </w:r>
          </w:p>
        </w:tc>
        <w:tc>
          <w:tcPr>
            <w:tcW w:w="2339"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11,673,592.72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应收及其他应收款项和存</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货所计提的减值准备。</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3,723,070.21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11.41%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47"/>
              <w:jc w:val="both"/>
              <w:rPr>
                <w:rFonts w:ascii="宋体" w:hAnsi="宋体" w:cs="宋体" w:eastAsia="宋体" w:hint="default"/>
                <w:sz w:val="18"/>
                <w:szCs w:val="18"/>
              </w:rPr>
            </w:pPr>
            <w:r>
              <w:rPr>
                <w:rFonts w:ascii="宋体" w:hAnsi="宋体" w:cs="宋体" w:eastAsia="宋体" w:hint="default"/>
                <w:spacing w:val="-3"/>
                <w:sz w:val="18"/>
                <w:szCs w:val="18"/>
              </w:rPr>
              <w:t>侵权员工偿赔和电商平台</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货物丢失赔偿款及其他与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企业经营无直接联系的收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入。</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895,980.64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无法收回的房屋租赁押金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sz w:val="18"/>
                <w:szCs w:val="18"/>
              </w:rPr>
              <w:t>及其他，与企业经营无直接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联系的支出。</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1055"/>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25"/>
        <w:gridCol w:w="903"/>
        <w:gridCol w:w="1196"/>
        <w:gridCol w:w="1061"/>
        <w:gridCol w:w="802"/>
        <w:gridCol w:w="2919"/>
      </w:tblGrid>
      <w:tr>
        <w:trPr>
          <w:trHeight w:val="382"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9" w:type="dxa"/>
            <w:vMerge/>
            <w:tcBorders>
              <w:left w:val="single" w:sz="4" w:space="0" w:color="000000"/>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263" w:right="80"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0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389,798,968.49</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303,337,759.74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13.67%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80"/>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主要原因系报告期内公司金融信息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化业务客户回款增加和公司子公司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亿美软通移动信息服务收到酬金增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加所致。</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应收票据及应收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387,092,859.87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288,950,320.88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主要原因系报告期内公司金融信息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化业务增长引起的货款增加和公司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子公司亿美软通移动信息服务业务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增长所致。</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127,534,000.88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154,922,903.29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38,231,716.23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-1.72%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537,260,988.53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607,273,532.97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82"/>
              <w:jc w:val="both"/>
              <w:rPr>
                <w:rFonts w:ascii="宋体" w:hAnsi="宋体" w:cs="宋体" w:eastAsia="宋体" w:hint="default"/>
                <w:sz w:val="18"/>
                <w:szCs w:val="18"/>
              </w:rPr>
            </w:pPr>
            <w:r>
              <w:rPr>
                <w:rFonts w:ascii="宋体" w:hAnsi="宋体" w:cs="宋体" w:eastAsia="宋体" w:hint="default"/>
                <w:spacing w:val="-3"/>
                <w:sz w:val="18"/>
                <w:szCs w:val="18"/>
              </w:rPr>
              <w:t>主要原因系报告期内公司及子公司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投资设立的东亚前海证券、易安财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险、华道征信等形成的损益。</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13,570,998.25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13,493,700.28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287,900,000.00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13.25%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0.11%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170,000,000.00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121,317,967.75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148,309,717.66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6.69%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43,896,402.45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33,565,130.81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239,573,173.29</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11.12%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326,842,219.19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14.73%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主要原因系报告期内公司子公司亿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美软通退还业务保证金和酬金，以及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公司子公司安科创新出口退税款项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减少所致。</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52,398,706.48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63,007,359.27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-0.41%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7,052,562.82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7,820,949.31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6,880,251.17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4,321,996.51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31,032,052.92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31,271,596.90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11,527,148.00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11,527,148.00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应付票据及应付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101,285,276.21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100,130,681.45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8,477,706.20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7,834,427.99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25"/>
        <w:gridCol w:w="903"/>
        <w:gridCol w:w="1196"/>
        <w:gridCol w:w="1061"/>
        <w:gridCol w:w="802"/>
        <w:gridCol w:w="291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80,029,952.37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73,428,267.35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18,882,268.06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61,837,500.96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-1.91%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375,979,751.21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375,571,417.21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16.93%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0.52%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1055"/>
        <w:jc w:val="left"/>
      </w:pPr>
      <w:r>
        <w:rPr>
          <w:spacing w:val="-3"/>
        </w:rPr>
        <w:t>截至报告期末，公司不存在主要资产被抵押、质押、查封、扣押、冻结等情况。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2"/>
        <w:spacing w:line="240" w:lineRule="auto"/>
        <w:ind w:right="1055"/>
        <w:jc w:val="left"/>
        <w:rPr>
          <w:b w:val="0"/>
          <w:bCs w:val="0"/>
        </w:rPr>
      </w:pPr>
      <w:r>
        <w:rPr/>
        <w:t>五、投资状况分析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35" w:right="0"/>
              <w:jc w:val="left"/>
              <w:rPr>
                <w:rFonts w:ascii="Times New Roman" w:hAnsi="Times New Roman" w:cs="Times New Roman" w:eastAsia="Times New Roman" w:hint="default"/>
                <w:sz w:val="18"/>
                <w:szCs w:val="18"/>
              </w:rPr>
            </w:pPr>
            <w:r>
              <w:rPr>
                <w:rFonts w:ascii="Times New Roman"/>
                <w:sz w:val="18"/>
              </w:rPr>
              <w:t>433,500,000.00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单位：万元</w:t>
      </w:r>
    </w:p>
    <w:p>
      <w:pPr>
        <w:spacing w:after="0" w:line="240" w:lineRule="auto"/>
        <w:jc w:val="right"/>
        <w:sectPr>
          <w:pgSz w:w="11910" w:h="16840"/>
          <w:pgMar w:header="871" w:footer="1186" w:top="1100" w:bottom="138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pt;height:689.25pt;mso-position-horizontal-relative:page;mso-position-vertical-relative:page;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用途及去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发行股票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38,895.07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1,618.77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42,676.97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2,332.42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34,489.21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399.61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8,815.89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26,613.94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
                          <w:jc w:val="left"/>
                          <w:rPr>
                            <w:rFonts w:ascii="宋体" w:hAnsi="宋体" w:cs="宋体" w:eastAsia="宋体" w:hint="default"/>
                            <w:sz w:val="18"/>
                            <w:szCs w:val="18"/>
                          </w:rPr>
                        </w:pPr>
                        <w:r>
                          <w:rPr>
                            <w:rFonts w:ascii="宋体" w:hAnsi="宋体" w:cs="宋体" w:eastAsia="宋体" w:hint="default"/>
                            <w:sz w:val="18"/>
                            <w:szCs w:val="18"/>
                          </w:rPr>
                          <w:t>进行现金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管理、存放</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于募集资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金专项账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73,384.28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2,018.38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51,492.86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2,332.42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26,613.94</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9266"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年度首次公开发行股份募集资金</w:t>
                        </w:r>
                      </w:p>
                      <w:p>
                        <w:pPr>
                          <w:pStyle w:val="TableParagraph"/>
                          <w:spacing w:line="240" w:lineRule="auto" w:before="96"/>
                          <w:ind w:left="384" w:right="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经</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监</w:t>
                        </w:r>
                        <w:r>
                          <w:rPr>
                            <w:rFonts w:ascii="宋体" w:hAnsi="宋体" w:cs="宋体" w:eastAsia="宋体" w:hint="default"/>
                            <w:w w:val="101"/>
                            <w:sz w:val="18"/>
                            <w:szCs w:val="18"/>
                          </w:rPr>
                          <w:t>督</w:t>
                        </w:r>
                        <w:r>
                          <w:rPr>
                            <w:rFonts w:ascii="宋体" w:hAnsi="宋体" w:cs="宋体" w:eastAsia="宋体" w:hint="default"/>
                            <w:spacing w:val="-5"/>
                            <w:w w:val="101"/>
                            <w:sz w:val="18"/>
                            <w:szCs w:val="18"/>
                          </w:rPr>
                          <w:t>管</w:t>
                        </w:r>
                        <w:r>
                          <w:rPr>
                            <w:rFonts w:ascii="宋体" w:hAnsi="宋体" w:cs="宋体" w:eastAsia="宋体" w:hint="default"/>
                            <w:w w:val="101"/>
                            <w:sz w:val="18"/>
                            <w:szCs w:val="18"/>
                          </w:rPr>
                          <w:t>理</w:t>
                        </w:r>
                        <w:r>
                          <w:rPr>
                            <w:rFonts w:ascii="宋体" w:hAnsi="宋体" w:cs="宋体" w:eastAsia="宋体" w:hint="default"/>
                            <w:spacing w:val="-5"/>
                            <w:w w:val="101"/>
                            <w:sz w:val="18"/>
                            <w:szCs w:val="18"/>
                          </w:rPr>
                          <w:t>委</w:t>
                        </w:r>
                        <w:r>
                          <w:rPr>
                            <w:rFonts w:ascii="宋体" w:hAnsi="宋体" w:cs="宋体" w:eastAsia="宋体" w:hint="default"/>
                            <w:w w:val="101"/>
                            <w:sz w:val="18"/>
                            <w:szCs w:val="18"/>
                          </w:rPr>
                          <w:t>员会</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证</w:t>
                        </w:r>
                        <w:r>
                          <w:rPr>
                            <w:rFonts w:ascii="宋体" w:hAnsi="宋体" w:cs="宋体" w:eastAsia="宋体" w:hint="default"/>
                            <w:spacing w:val="-5"/>
                            <w:w w:val="101"/>
                            <w:sz w:val="18"/>
                            <w:szCs w:val="18"/>
                          </w:rPr>
                          <w:t>监</w:t>
                        </w:r>
                        <w:r>
                          <w:rPr>
                            <w:rFonts w:ascii="宋体" w:hAnsi="宋体" w:cs="宋体" w:eastAsia="宋体" w:hint="default"/>
                            <w:w w:val="101"/>
                            <w:sz w:val="18"/>
                            <w:szCs w:val="18"/>
                          </w:rPr>
                          <w:t>许可</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548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核准</w:t>
                        </w:r>
                        <w:r>
                          <w:rPr>
                            <w:rFonts w:ascii="宋体" w:hAnsi="宋体" w:cs="宋体" w:eastAsia="宋体" w:hint="default"/>
                            <w:spacing w:val="-92"/>
                            <w:w w:val="101"/>
                            <w:sz w:val="18"/>
                            <w:szCs w:val="18"/>
                          </w:rPr>
                          <w:t>，</w:t>
                        </w:r>
                        <w:r>
                          <w:rPr>
                            <w:rFonts w:ascii="宋体" w:hAnsi="宋体" w:cs="宋体" w:eastAsia="宋体" w:hint="default"/>
                            <w:w w:val="101"/>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首</w:t>
                        </w:r>
                        <w:r>
                          <w:rPr>
                            <w:rFonts w:ascii="宋体" w:hAnsi="宋体" w:cs="宋体" w:eastAsia="宋体" w:hint="default"/>
                            <w:w w:val="101"/>
                            <w:sz w:val="18"/>
                            <w:szCs w:val="18"/>
                          </w:rPr>
                          <w:t>次</w:t>
                        </w:r>
                        <w:r>
                          <w:rPr>
                            <w:rFonts w:ascii="宋体" w:hAnsi="宋体" w:cs="宋体" w:eastAsia="宋体" w:hint="default"/>
                            <w:spacing w:val="-5"/>
                            <w:w w:val="101"/>
                            <w:sz w:val="18"/>
                            <w:szCs w:val="18"/>
                          </w:rPr>
                          <w:t>向</w:t>
                        </w:r>
                        <w:r>
                          <w:rPr>
                            <w:rFonts w:ascii="宋体" w:hAnsi="宋体" w:cs="宋体" w:eastAsia="宋体" w:hint="default"/>
                            <w:w w:val="101"/>
                            <w:sz w:val="18"/>
                            <w:szCs w:val="18"/>
                          </w:rPr>
                          <w:t>社</w:t>
                        </w:r>
                        <w:r>
                          <w:rPr>
                            <w:rFonts w:ascii="宋体" w:hAnsi="宋体" w:cs="宋体" w:eastAsia="宋体" w:hint="default"/>
                            <w:spacing w:val="-5"/>
                            <w:w w:val="101"/>
                            <w:sz w:val="18"/>
                            <w:szCs w:val="18"/>
                          </w:rPr>
                          <w:t>会</w:t>
                        </w:r>
                        <w:r>
                          <w:rPr>
                            <w:rFonts w:ascii="宋体" w:hAnsi="宋体" w:cs="宋体" w:eastAsia="宋体" w:hint="default"/>
                            <w:w w:val="101"/>
                            <w:sz w:val="18"/>
                            <w:szCs w:val="18"/>
                          </w:rPr>
                          <w:t>公</w:t>
                        </w:r>
                        <w:r>
                          <w:rPr>
                            <w:rFonts w:ascii="宋体" w:hAnsi="宋体" w:cs="宋体" w:eastAsia="宋体" w:hint="default"/>
                            <w:spacing w:val="-5"/>
                            <w:w w:val="101"/>
                            <w:sz w:val="18"/>
                            <w:szCs w:val="18"/>
                          </w:rPr>
                          <w:t>开</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人</w:t>
                        </w:r>
                        <w:r>
                          <w:rPr>
                            <w:rFonts w:ascii="宋体" w:hAnsi="宋体" w:cs="宋体" w:eastAsia="宋体" w:hint="default"/>
                            <w:spacing w:val="-5"/>
                            <w:w w:val="101"/>
                            <w:sz w:val="18"/>
                            <w:szCs w:val="18"/>
                          </w:rPr>
                          <w:t>民</w:t>
                        </w:r>
                        <w:r>
                          <w:rPr>
                            <w:rFonts w:ascii="宋体" w:hAnsi="宋体" w:cs="宋体" w:eastAsia="宋体" w:hint="default"/>
                            <w:w w:val="101"/>
                            <w:sz w:val="18"/>
                            <w:szCs w:val="18"/>
                          </w:rPr>
                          <w:t>币普</w:t>
                        </w:r>
                        <w:r>
                          <w:rPr>
                            <w:rFonts w:ascii="宋体" w:hAnsi="宋体" w:cs="宋体" w:eastAsia="宋体"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通股（</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万股，发行价格每股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元，募集资金总额为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420,000,000.00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元，扣除发行费用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31,049,260.04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元，募集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388,950,739.96</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元。其中，募集资金投资项目使用资金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137,251,000.00</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元，其余</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251,699,739.96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元为用于其他与</w:t>
                        </w:r>
                      </w:p>
                      <w:p>
                        <w:pPr>
                          <w:pStyle w:val="TableParagraph"/>
                          <w:spacing w:line="304" w:lineRule="auto" w:before="63"/>
                          <w:ind w:left="24" w:right="27"/>
                          <w:jc w:val="left"/>
                          <w:rPr>
                            <w:rFonts w:ascii="宋体" w:hAnsi="宋体" w:cs="宋体" w:eastAsia="宋体" w:hint="default"/>
                            <w:sz w:val="18"/>
                            <w:szCs w:val="18"/>
                          </w:rPr>
                        </w:pPr>
                        <w:r>
                          <w:rPr>
                            <w:rFonts w:ascii="宋体" w:hAnsi="宋体" w:cs="宋体" w:eastAsia="宋体" w:hint="default"/>
                            <w:w w:val="101"/>
                            <w:sz w:val="18"/>
                            <w:szCs w:val="18"/>
                          </w:rPr>
                          <w:t>主</w:t>
                        </w:r>
                        <w:r>
                          <w:rPr>
                            <w:rFonts w:ascii="宋体" w:hAnsi="宋体" w:cs="宋体" w:eastAsia="宋体" w:hint="default"/>
                            <w:spacing w:val="-5"/>
                            <w:w w:val="101"/>
                            <w:sz w:val="18"/>
                            <w:szCs w:val="18"/>
                          </w:rPr>
                          <w:t>营</w:t>
                        </w:r>
                        <w:r>
                          <w:rPr>
                            <w:rFonts w:ascii="宋体" w:hAnsi="宋体" w:cs="宋体" w:eastAsia="宋体" w:hint="default"/>
                            <w:w w:val="101"/>
                            <w:sz w:val="18"/>
                            <w:szCs w:val="18"/>
                          </w:rPr>
                          <w:t>业</w:t>
                        </w:r>
                        <w:r>
                          <w:rPr>
                            <w:rFonts w:ascii="宋体" w:hAnsi="宋体" w:cs="宋体" w:eastAsia="宋体" w:hint="default"/>
                            <w:spacing w:val="-5"/>
                            <w:w w:val="101"/>
                            <w:sz w:val="18"/>
                            <w:szCs w:val="18"/>
                          </w:rPr>
                          <w:t>务</w:t>
                        </w:r>
                        <w:r>
                          <w:rPr>
                            <w:rFonts w:ascii="宋体" w:hAnsi="宋体" w:cs="宋体" w:eastAsia="宋体" w:hint="default"/>
                            <w:w w:val="101"/>
                            <w:sz w:val="18"/>
                            <w:szCs w:val="18"/>
                          </w:rPr>
                          <w:t>相</w:t>
                        </w:r>
                        <w:r>
                          <w:rPr>
                            <w:rFonts w:ascii="宋体" w:hAnsi="宋体" w:cs="宋体" w:eastAsia="宋体" w:hint="default"/>
                            <w:spacing w:val="-5"/>
                            <w:w w:val="101"/>
                            <w:sz w:val="18"/>
                            <w:szCs w:val="18"/>
                          </w:rPr>
                          <w:t>关</w:t>
                        </w:r>
                        <w:r>
                          <w:rPr>
                            <w:rFonts w:ascii="宋体" w:hAnsi="宋体" w:cs="宋体" w:eastAsia="宋体" w:hint="default"/>
                            <w:w w:val="101"/>
                            <w:sz w:val="18"/>
                            <w:szCs w:val="18"/>
                          </w:rPr>
                          <w:t>的</w:t>
                        </w:r>
                        <w:r>
                          <w:rPr>
                            <w:rFonts w:ascii="宋体" w:hAnsi="宋体" w:cs="宋体" w:eastAsia="宋体" w:hint="default"/>
                            <w:spacing w:val="-5"/>
                            <w:w w:val="101"/>
                            <w:sz w:val="18"/>
                            <w:szCs w:val="18"/>
                          </w:rPr>
                          <w:t>营</w:t>
                        </w:r>
                        <w:r>
                          <w:rPr>
                            <w:rFonts w:ascii="宋体" w:hAnsi="宋体" w:cs="宋体" w:eastAsia="宋体" w:hint="default"/>
                            <w:w w:val="101"/>
                            <w:sz w:val="18"/>
                            <w:szCs w:val="18"/>
                          </w:rPr>
                          <w:t>运</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w:t>
                        </w:r>
                        <w:r>
                          <w:rPr>
                            <w:rFonts w:ascii="宋体" w:hAnsi="宋体" w:cs="宋体" w:eastAsia="宋体" w:hint="default"/>
                            <w:w w:val="101"/>
                            <w:sz w:val="18"/>
                            <w:szCs w:val="18"/>
                          </w:rPr>
                          <w:t>超</w:t>
                        </w:r>
                        <w:r>
                          <w:rPr>
                            <w:rFonts w:ascii="宋体" w:hAnsi="宋体" w:cs="宋体" w:eastAsia="宋体" w:hint="default"/>
                            <w:spacing w:val="-5"/>
                            <w:w w:val="101"/>
                            <w:sz w:val="18"/>
                            <w:szCs w:val="18"/>
                          </w:rPr>
                          <w:t>募</w:t>
                        </w:r>
                        <w:r>
                          <w:rPr>
                            <w:rFonts w:ascii="宋体" w:hAnsi="宋体" w:cs="宋体" w:eastAsia="宋体" w:hint="default"/>
                            <w:w w:val="101"/>
                            <w:sz w:val="18"/>
                            <w:szCs w:val="18"/>
                          </w:rPr>
                          <w:t>资金</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述</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已</w:t>
                        </w:r>
                        <w:r>
                          <w:rPr>
                            <w:rFonts w:ascii="宋体" w:hAnsi="宋体" w:cs="宋体" w:eastAsia="宋体" w:hint="default"/>
                            <w:w w:val="101"/>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全</w:t>
                        </w:r>
                        <w:r>
                          <w:rPr>
                            <w:rFonts w:ascii="宋体" w:hAnsi="宋体" w:cs="宋体" w:eastAsia="宋体" w:hint="default"/>
                            <w:w w:val="101"/>
                            <w:sz w:val="18"/>
                            <w:szCs w:val="18"/>
                          </w:rPr>
                          <w:t>部</w:t>
                        </w:r>
                        <w:r>
                          <w:rPr>
                            <w:rFonts w:ascii="宋体" w:hAnsi="宋体" w:cs="宋体" w:eastAsia="宋体" w:hint="default"/>
                            <w:spacing w:val="-5"/>
                            <w:w w:val="101"/>
                            <w:sz w:val="18"/>
                            <w:szCs w:val="18"/>
                          </w:rPr>
                          <w:t>到</w:t>
                        </w:r>
                        <w:r>
                          <w:rPr>
                            <w:rFonts w:ascii="宋体" w:hAnsi="宋体" w:cs="宋体" w:eastAsia="宋体" w:hint="default"/>
                            <w:w w:val="101"/>
                            <w:sz w:val="18"/>
                            <w:szCs w:val="18"/>
                          </w:rPr>
                          <w:t>位</w:t>
                        </w:r>
                        <w:r>
                          <w:rPr>
                            <w:rFonts w:ascii="宋体" w:hAnsi="宋体" w:cs="宋体" w:eastAsia="宋体" w:hint="default"/>
                            <w:spacing w:val="-5"/>
                            <w:w w:val="101"/>
                            <w:sz w:val="18"/>
                            <w:szCs w:val="18"/>
                          </w:rPr>
                          <w:t>，</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到</w:t>
                        </w:r>
                        <w:r>
                          <w:rPr>
                            <w:rFonts w:ascii="宋体" w:hAnsi="宋体" w:cs="宋体" w:eastAsia="宋体" w:hint="default"/>
                            <w:spacing w:val="-5"/>
                            <w:w w:val="101"/>
                            <w:sz w:val="18"/>
                            <w:szCs w:val="18"/>
                          </w:rPr>
                          <w:t>位</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业</w:t>
                        </w:r>
                        <w:r>
                          <w:rPr>
                            <w:rFonts w:ascii="宋体" w:hAnsi="宋体" w:cs="宋体" w:eastAsia="宋体" w:hint="default"/>
                            <w:spacing w:val="-5"/>
                            <w:w w:val="101"/>
                            <w:sz w:val="18"/>
                            <w:szCs w:val="18"/>
                          </w:rPr>
                          <w:t>经</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市</w:t>
                        </w:r>
                        <w:r>
                          <w:rPr>
                            <w:rFonts w:ascii="宋体" w:hAnsi="宋体" w:cs="宋体" w:eastAsia="宋体" w:hint="default"/>
                            <w:spacing w:val="-5"/>
                            <w:w w:val="101"/>
                            <w:sz w:val="18"/>
                            <w:szCs w:val="18"/>
                          </w:rPr>
                          <w:t>鹏</w:t>
                        </w:r>
                        <w:r>
                          <w:rPr>
                            <w:rFonts w:ascii="宋体" w:hAnsi="宋体" w:cs="宋体" w:eastAsia="宋体" w:hint="default"/>
                            <w:w w:val="101"/>
                            <w:sz w:val="18"/>
                            <w:szCs w:val="18"/>
                          </w:rPr>
                          <w:t>城</w:t>
                        </w:r>
                        <w:r>
                          <w:rPr>
                            <w:rFonts w:ascii="宋体" w:hAnsi="宋体" w:cs="宋体" w:eastAsia="宋体" w:hint="default"/>
                            <w:spacing w:val="-5"/>
                            <w:w w:val="101"/>
                            <w:sz w:val="18"/>
                            <w:szCs w:val="18"/>
                          </w:rPr>
                          <w:t>会</w:t>
                        </w:r>
                        <w:r>
                          <w:rPr>
                            <w:rFonts w:ascii="宋体" w:hAnsi="宋体" w:cs="宋体" w:eastAsia="宋体" w:hint="default"/>
                            <w:w w:val="101"/>
                            <w:sz w:val="18"/>
                            <w:szCs w:val="18"/>
                          </w:rPr>
                          <w:t>计师</w:t>
                        </w:r>
                        <w:r>
                          <w:rPr>
                            <w:rFonts w:ascii="宋体" w:hAnsi="宋体" w:cs="宋体" w:eastAsia="宋体" w:hint="default"/>
                            <w:w w:val="101"/>
                            <w:sz w:val="18"/>
                            <w:szCs w:val="18"/>
                          </w:rPr>
                          <w:t> 事</w:t>
                        </w:r>
                        <w:r>
                          <w:rPr>
                            <w:rFonts w:ascii="宋体" w:hAnsi="宋体" w:cs="宋体" w:eastAsia="宋体" w:hint="default"/>
                            <w:spacing w:val="-5"/>
                            <w:w w:val="101"/>
                            <w:sz w:val="18"/>
                            <w:szCs w:val="18"/>
                          </w:rPr>
                          <w:t>务</w:t>
                        </w:r>
                        <w:r>
                          <w:rPr>
                            <w:rFonts w:ascii="宋体" w:hAnsi="宋体" w:cs="宋体" w:eastAsia="宋体" w:hint="default"/>
                            <w:w w:val="101"/>
                            <w:sz w:val="18"/>
                            <w:szCs w:val="18"/>
                          </w:rPr>
                          <w:t>所</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验</w:t>
                        </w:r>
                        <w:r>
                          <w:rPr>
                            <w:rFonts w:ascii="宋体" w:hAnsi="宋体" w:cs="宋体" w:eastAsia="宋体" w:hint="default"/>
                            <w:w w:val="101"/>
                            <w:sz w:val="18"/>
                            <w:szCs w:val="18"/>
                          </w:rPr>
                          <w:t>证</w:t>
                        </w:r>
                        <w:r>
                          <w:rPr>
                            <w:rFonts w:ascii="宋体" w:hAnsi="宋体" w:cs="宋体" w:eastAsia="宋体" w:hint="default"/>
                            <w:spacing w:val="-5"/>
                            <w:w w:val="101"/>
                            <w:sz w:val="18"/>
                            <w:szCs w:val="18"/>
                          </w:rPr>
                          <w:t>，</w:t>
                        </w:r>
                        <w:r>
                          <w:rPr>
                            <w:rFonts w:ascii="宋体" w:hAnsi="宋体" w:cs="宋体" w:eastAsia="宋体" w:hint="default"/>
                            <w:w w:val="101"/>
                            <w:sz w:val="18"/>
                            <w:szCs w:val="18"/>
                          </w:rPr>
                          <w:t>并</w:t>
                        </w:r>
                        <w:r>
                          <w:rPr>
                            <w:rFonts w:ascii="宋体" w:hAnsi="宋体" w:cs="宋体" w:eastAsia="宋体" w:hint="default"/>
                            <w:spacing w:val="-5"/>
                            <w:w w:val="101"/>
                            <w:sz w:val="18"/>
                            <w:szCs w:val="18"/>
                          </w:rPr>
                          <w:t>由</w:t>
                        </w:r>
                        <w:r>
                          <w:rPr>
                            <w:rFonts w:ascii="宋体" w:hAnsi="宋体" w:cs="宋体" w:eastAsia="宋体" w:hint="default"/>
                            <w:w w:val="101"/>
                            <w:sz w:val="18"/>
                            <w:szCs w:val="18"/>
                          </w:rPr>
                          <w:t>其</w:t>
                        </w:r>
                        <w:r>
                          <w:rPr>
                            <w:rFonts w:ascii="宋体" w:hAnsi="宋体" w:cs="宋体" w:eastAsia="宋体" w:hint="default"/>
                            <w:spacing w:val="-5"/>
                            <w:w w:val="101"/>
                            <w:sz w:val="18"/>
                            <w:szCs w:val="18"/>
                          </w:rPr>
                          <w:t>出</w:t>
                        </w:r>
                        <w:r>
                          <w:rPr>
                            <w:rFonts w:ascii="宋体" w:hAnsi="宋体" w:cs="宋体" w:eastAsia="宋体" w:hint="default"/>
                            <w:w w:val="101"/>
                            <w:sz w:val="18"/>
                            <w:szCs w:val="18"/>
                          </w:rPr>
                          <w:t>具</w:t>
                        </w:r>
                        <w:r>
                          <w:rPr>
                            <w:rFonts w:ascii="宋体" w:hAnsi="宋体" w:cs="宋体" w:eastAsia="宋体" w:hint="default"/>
                            <w:spacing w:val="-5"/>
                            <w:w w:val="101"/>
                            <w:sz w:val="18"/>
                            <w:szCs w:val="18"/>
                          </w:rPr>
                          <w:t>深</w:t>
                        </w:r>
                        <w:r>
                          <w:rPr>
                            <w:rFonts w:ascii="宋体" w:hAnsi="宋体" w:cs="宋体" w:eastAsia="宋体" w:hint="default"/>
                            <w:w w:val="101"/>
                            <w:sz w:val="18"/>
                            <w:szCs w:val="18"/>
                          </w:rPr>
                          <w:t>鹏</w:t>
                        </w:r>
                        <w:r>
                          <w:rPr>
                            <w:rFonts w:ascii="宋体" w:hAnsi="宋体" w:cs="宋体" w:eastAsia="宋体" w:hint="default"/>
                            <w:spacing w:val="-5"/>
                            <w:w w:val="101"/>
                            <w:sz w:val="18"/>
                            <w:szCs w:val="18"/>
                          </w:rPr>
                          <w:t>所</w:t>
                        </w:r>
                        <w:r>
                          <w:rPr>
                            <w:rFonts w:ascii="宋体" w:hAnsi="宋体" w:cs="宋体" w:eastAsia="宋体" w:hint="default"/>
                            <w:w w:val="101"/>
                            <w:sz w:val="18"/>
                            <w:szCs w:val="18"/>
                          </w:rPr>
                          <w:t>验</w:t>
                        </w:r>
                        <w:r>
                          <w:rPr>
                            <w:rFonts w:ascii="宋体" w:hAnsi="宋体" w:cs="宋体" w:eastAsia="宋体" w:hint="default"/>
                            <w:spacing w:val="1"/>
                            <w:w w:val="101"/>
                            <w:sz w:val="18"/>
                            <w:szCs w:val="18"/>
                          </w:rPr>
                          <w:t>字</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184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验</w:t>
                        </w:r>
                        <w:r>
                          <w:rPr>
                            <w:rFonts w:ascii="宋体" w:hAnsi="宋体" w:cs="宋体" w:eastAsia="宋体" w:hint="default"/>
                            <w:spacing w:val="-5"/>
                            <w:w w:val="101"/>
                            <w:sz w:val="18"/>
                            <w:szCs w:val="18"/>
                          </w:rPr>
                          <w:t>资</w:t>
                        </w:r>
                        <w:r>
                          <w:rPr>
                            <w:rFonts w:ascii="宋体" w:hAnsi="宋体" w:cs="宋体" w:eastAsia="宋体" w:hint="default"/>
                            <w:w w:val="101"/>
                            <w:sz w:val="18"/>
                            <w:szCs w:val="18"/>
                          </w:rPr>
                          <w:t>报告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对</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采</w:t>
                        </w:r>
                        <w:r>
                          <w:rPr>
                            <w:rFonts w:ascii="宋体" w:hAnsi="宋体" w:cs="宋体" w:eastAsia="宋体" w:hint="default"/>
                            <w:spacing w:val="-5"/>
                            <w:w w:val="101"/>
                            <w:sz w:val="18"/>
                            <w:szCs w:val="18"/>
                          </w:rPr>
                          <w:t>取</w:t>
                        </w:r>
                        <w:r>
                          <w:rPr>
                            <w:rFonts w:ascii="宋体" w:hAnsi="宋体" w:cs="宋体" w:eastAsia="宋体" w:hint="default"/>
                            <w:w w:val="101"/>
                            <w:sz w:val="18"/>
                            <w:szCs w:val="18"/>
                          </w:rPr>
                          <w:t>了</w:t>
                        </w:r>
                        <w:r>
                          <w:rPr>
                            <w:rFonts w:ascii="宋体" w:hAnsi="宋体" w:cs="宋体" w:eastAsia="宋体" w:hint="default"/>
                            <w:spacing w:val="-5"/>
                            <w:w w:val="101"/>
                            <w:sz w:val="18"/>
                            <w:szCs w:val="18"/>
                          </w:rPr>
                          <w:t>专</w:t>
                        </w:r>
                        <w:r>
                          <w:rPr>
                            <w:rFonts w:ascii="宋体" w:hAnsi="宋体" w:cs="宋体" w:eastAsia="宋体" w:hint="default"/>
                            <w:w w:val="101"/>
                            <w:sz w:val="18"/>
                            <w:szCs w:val="18"/>
                          </w:rPr>
                          <w:t>户</w:t>
                        </w:r>
                        <w:r>
                          <w:rPr>
                            <w:rFonts w:ascii="宋体" w:hAnsi="宋体" w:cs="宋体" w:eastAsia="宋体" w:hint="default"/>
                            <w:spacing w:val="-5"/>
                            <w:w w:val="101"/>
                            <w:sz w:val="18"/>
                            <w:szCs w:val="18"/>
                          </w:rPr>
                          <w:t>存</w:t>
                        </w:r>
                        <w:r>
                          <w:rPr>
                            <w:rFonts w:ascii="宋体" w:hAnsi="宋体" w:cs="宋体" w:eastAsia="宋体" w:hint="default"/>
                            <w:w w:val="101"/>
                            <w:sz w:val="18"/>
                            <w:szCs w:val="18"/>
                          </w:rPr>
                          <w:t>储</w:t>
                        </w:r>
                        <w:r>
                          <w:rPr>
                            <w:rFonts w:ascii="宋体" w:hAnsi="宋体" w:cs="宋体" w:eastAsia="宋体" w:hint="default"/>
                            <w:spacing w:val="-5"/>
                            <w:w w:val="101"/>
                            <w:sz w:val="18"/>
                            <w:szCs w:val="18"/>
                          </w:rPr>
                          <w:t>制</w:t>
                        </w:r>
                        <w:r>
                          <w:rPr>
                            <w:rFonts w:ascii="宋体" w:hAnsi="宋体" w:cs="宋体" w:eastAsia="宋体" w:hint="default"/>
                            <w:w w:val="101"/>
                            <w:sz w:val="18"/>
                            <w:szCs w:val="18"/>
                          </w:rPr>
                          <w:t>度。</w:t>
                        </w:r>
                        <w:r>
                          <w:rPr>
                            <w:rFonts w:ascii="宋体" w:hAnsi="宋体" w:cs="宋体" w:eastAsia="宋体" w:hint="default"/>
                            <w:sz w:val="18"/>
                            <w:szCs w:val="18"/>
                          </w:rPr>
                        </w:r>
                      </w:p>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日，经公司第一届董事会第十一次会议审议通过，公司使用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万元超募资金永久补充流动资金。</w:t>
                        </w:r>
                      </w:p>
                      <w:p>
                        <w:pPr>
                          <w:pStyle w:val="TableParagraph"/>
                          <w:spacing w:line="240" w:lineRule="auto" w:before="96"/>
                          <w:ind w:left="38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七</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与</w:t>
                        </w: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博</w:t>
                        </w:r>
                        <w:r>
                          <w:rPr>
                            <w:rFonts w:ascii="宋体" w:hAnsi="宋体" w:cs="宋体" w:eastAsia="宋体" w:hint="default"/>
                            <w:spacing w:val="-5"/>
                            <w:w w:val="101"/>
                            <w:sz w:val="18"/>
                            <w:szCs w:val="18"/>
                          </w:rPr>
                          <w:t>世</w:t>
                        </w:r>
                        <w:r>
                          <w:rPr>
                            <w:rFonts w:ascii="宋体" w:hAnsi="宋体" w:cs="宋体" w:eastAsia="宋体" w:hint="default"/>
                            <w:w w:val="101"/>
                            <w:sz w:val="18"/>
                            <w:szCs w:val="18"/>
                          </w:rPr>
                          <w:t>金</w:t>
                        </w:r>
                        <w:r>
                          <w:rPr>
                            <w:rFonts w:ascii="宋体" w:hAnsi="宋体" w:cs="宋体" w:eastAsia="宋体" w:hint="default"/>
                            <w:spacing w:val="-5"/>
                            <w:w w:val="101"/>
                            <w:sz w:val="18"/>
                            <w:szCs w:val="18"/>
                          </w:rPr>
                          <w:t>信</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spacing w:val="1"/>
                            <w:w w:val="101"/>
                            <w:sz w:val="18"/>
                            <w:szCs w:val="18"/>
                          </w:rPr>
                          <w:t>签</w:t>
                        </w:r>
                        <w:r>
                          <w:rPr>
                            <w:rFonts w:ascii="宋体" w:hAnsi="宋体" w:cs="宋体" w:eastAsia="宋体" w:hint="default"/>
                            <w:spacing w:val="-92"/>
                            <w:w w:val="101"/>
                            <w:sz w:val="18"/>
                            <w:szCs w:val="18"/>
                          </w:rPr>
                          <w:t>订</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收</w:t>
                        </w:r>
                        <w:r>
                          <w:rPr>
                            <w:rFonts w:ascii="宋体" w:hAnsi="宋体" w:cs="宋体" w:eastAsia="宋体" w:hint="default"/>
                            <w:w w:val="101"/>
                            <w:sz w:val="18"/>
                            <w:szCs w:val="18"/>
                          </w:rPr>
                          <w:t>购</w:t>
                        </w:r>
                        <w:r>
                          <w:rPr>
                            <w:rFonts w:ascii="宋体" w:hAnsi="宋体" w:cs="宋体" w:eastAsia="宋体" w:hint="default"/>
                            <w:spacing w:val="-5"/>
                            <w:w w:val="101"/>
                            <w:sz w:val="18"/>
                            <w:szCs w:val="18"/>
                          </w:rPr>
                          <w:t>合</w:t>
                        </w:r>
                        <w:r>
                          <w:rPr>
                            <w:rFonts w:ascii="宋体" w:hAnsi="宋体" w:cs="宋体" w:eastAsia="宋体" w:hint="default"/>
                            <w:w w:val="101"/>
                            <w:sz w:val="18"/>
                            <w:szCs w:val="18"/>
                          </w:rPr>
                          <w:t>同</w:t>
                        </w:r>
                        <w:r>
                          <w:rPr>
                            <w:rFonts w:ascii="宋体" w:hAnsi="宋体" w:cs="宋体" w:eastAsia="宋体" w:hint="default"/>
                            <w:spacing w:val="-92"/>
                            <w:w w:val="101"/>
                            <w:sz w:val="18"/>
                            <w:szCs w:val="18"/>
                          </w:rPr>
                          <w:t>》</w:t>
                        </w:r>
                        <w:r>
                          <w:rPr>
                            <w:rFonts w:ascii="宋体" w:hAnsi="宋体" w:cs="宋体" w:eastAsia="宋体" w:hint="default"/>
                            <w:sz w:val="18"/>
                            <w:szCs w:val="18"/>
                          </w:rPr>
                        </w:r>
                      </w:p>
                      <w:p>
                        <w:pPr>
                          <w:pStyle w:val="TableParagraph"/>
                          <w:spacing w:line="304" w:lineRule="auto" w:before="63"/>
                          <w:ind w:left="24" w:right="71"/>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833.10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万元收购其拥有的支票打码机的</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项专利技术、相关专有技术等无形资产，以及相关存货、固定资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产等有形资产。截至报告期末，该项目已全部投入。</w:t>
                        </w:r>
                      </w:p>
                      <w:p>
                        <w:pPr>
                          <w:pStyle w:val="TableParagraph"/>
                          <w:spacing w:line="304" w:lineRule="auto" w:before="62"/>
                          <w:ind w:left="24" w:right="1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日，经公司第二届董事会第二十一次会议审议通过，公司使用超募资金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万元发起设立北京华道</w:t>
                        </w:r>
                        <w:r>
                          <w:rPr>
                            <w:rFonts w:ascii="宋体" w:hAnsi="宋体" w:cs="宋体" w:eastAsia="宋体" w:hint="default"/>
                            <w:w w:val="101"/>
                            <w:sz w:val="18"/>
                            <w:szCs w:val="18"/>
                          </w:rPr>
                          <w:t> </w:t>
                        </w:r>
                        <w:r>
                          <w:rPr>
                            <w:rFonts w:ascii="宋体" w:hAnsi="宋体" w:cs="宋体" w:eastAsia="宋体" w:hint="default"/>
                            <w:spacing w:val="-3"/>
                            <w:sz w:val="18"/>
                            <w:szCs w:val="18"/>
                          </w:rPr>
                          <w:t>征信有限公司，开展征信服务业务及其相关业务。</w:t>
                        </w:r>
                      </w:p>
                      <w:p>
                        <w:pPr>
                          <w:pStyle w:val="TableParagraph"/>
                          <w:spacing w:line="240" w:lineRule="auto" w:before="6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日，经公司第二届董事会第二十三次会议审议，并经</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年度股东大会审议通过，公</w:t>
                        </w:r>
                      </w:p>
                      <w:p>
                        <w:pPr>
                          <w:pStyle w:val="TableParagraph"/>
                          <w:spacing w:line="240" w:lineRule="auto" w:before="67"/>
                          <w:ind w:left="24" w:right="0"/>
                          <w:jc w:val="both"/>
                          <w:rPr>
                            <w:rFonts w:ascii="宋体" w:hAnsi="宋体" w:cs="宋体" w:eastAsia="宋体" w:hint="default"/>
                            <w:sz w:val="18"/>
                            <w:szCs w:val="18"/>
                          </w:rPr>
                        </w:pPr>
                        <w:r>
                          <w:rPr>
                            <w:rFonts w:ascii="宋体" w:hAnsi="宋体" w:cs="宋体" w:eastAsia="宋体" w:hint="default"/>
                            <w:sz w:val="18"/>
                            <w:szCs w:val="18"/>
                          </w:rPr>
                          <w:t>司使用超募资金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万元永久补充流动资金。</w:t>
                        </w:r>
                      </w:p>
                      <w:p>
                        <w:pPr>
                          <w:pStyle w:val="TableParagraph"/>
                          <w:spacing w:line="240" w:lineRule="auto" w:before="9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pacing w:val="-8"/>
                            <w:sz w:val="18"/>
                            <w:szCs w:val="18"/>
                          </w:rPr>
                          <w:t>日，经公司第三届董事会第十三次会议审议通过，公司使用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万元超募资金暂时补充公司流动资金</w:t>
                        </w:r>
                      </w:p>
                      <w:p>
                        <w:pPr>
                          <w:pStyle w:val="TableParagraph"/>
                          <w:spacing w:line="240" w:lineRule="auto" w:before="68"/>
                          <w:ind w:left="24" w:right="0"/>
                          <w:jc w:val="both"/>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月全部归还至公司募集资金专户。</w:t>
                        </w:r>
                      </w:p>
                      <w:p>
                        <w:pPr>
                          <w:pStyle w:val="TableParagraph"/>
                          <w:spacing w:line="304" w:lineRule="auto" w:before="96"/>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日，经公司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年第三次临时股东大会审议通过，公司使用超募资金及募集资金利息合计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亿元投</w:t>
                        </w:r>
                        <w:r>
                          <w:rPr>
                            <w:rFonts w:ascii="宋体" w:hAnsi="宋体" w:cs="宋体" w:eastAsia="宋体" w:hint="default"/>
                            <w:w w:val="101"/>
                            <w:sz w:val="18"/>
                            <w:szCs w:val="18"/>
                          </w:rPr>
                          <w:t> </w:t>
                        </w:r>
                        <w:r>
                          <w:rPr>
                            <w:rFonts w:ascii="宋体" w:hAnsi="宋体" w:cs="宋体" w:eastAsia="宋体" w:hint="default"/>
                            <w:sz w:val="18"/>
                            <w:szCs w:val="18"/>
                          </w:rPr>
                          <w:t>资发起设立易安保险。</w:t>
                        </w:r>
                      </w:p>
                      <w:p>
                        <w:pPr>
                          <w:pStyle w:val="TableParagraph"/>
                          <w:spacing w:line="240" w:lineRule="auto" w:before="66"/>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pacing w:val="-6"/>
                            <w:sz w:val="18"/>
                            <w:szCs w:val="18"/>
                          </w:rPr>
                          <w:t>日，经公司第四届董事会第十次会议审议通过，公司使用首次公开发行股票募集资金节余资金</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1,618.77</w:t>
                        </w:r>
                      </w:p>
                      <w:p>
                        <w:pPr>
                          <w:pStyle w:val="TableParagraph"/>
                          <w:spacing w:line="357" w:lineRule="auto" w:before="67"/>
                          <w:ind w:left="384" w:right="2865" w:hanging="360"/>
                          <w:jc w:val="left"/>
                          <w:rPr>
                            <w:rFonts w:ascii="宋体" w:hAnsi="宋体" w:cs="宋体" w:eastAsia="宋体" w:hint="default"/>
                            <w:sz w:val="18"/>
                            <w:szCs w:val="18"/>
                          </w:rPr>
                        </w:pPr>
                        <w:r>
                          <w:rPr>
                            <w:rFonts w:ascii="宋体" w:hAnsi="宋体" w:cs="宋体" w:eastAsia="宋体" w:hint="default"/>
                            <w:spacing w:val="-3"/>
                            <w:sz w:val="18"/>
                            <w:szCs w:val="18"/>
                          </w:rPr>
                          <w:t>万元归还银行贷款。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截至报告期末，公司首次公开发行股票募集资金及其衍生利息已全部使用完毕。</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年度非公开发行股份募集资金</w:t>
                        </w:r>
                      </w:p>
                      <w:p>
                        <w:pPr>
                          <w:pStyle w:val="TableParagraph"/>
                          <w:spacing w:line="300" w:lineRule="auto" w:before="101"/>
                          <w:ind w:left="24" w:right="18"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[2017]559</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核准，公司向同方金融控股（深圳）有限公司、武汉亘星投资有限</w:t>
                        </w:r>
                        <w:r>
                          <w:rPr>
                            <w:rFonts w:ascii="宋体" w:hAnsi="宋体" w:cs="宋体" w:eastAsia="宋体" w:hint="default"/>
                            <w:w w:val="101"/>
                            <w:sz w:val="18"/>
                            <w:szCs w:val="18"/>
                          </w:rPr>
                          <w:t> </w:t>
                        </w:r>
                        <w:r>
                          <w:rPr>
                            <w:rFonts w:ascii="宋体" w:hAnsi="宋体" w:cs="宋体" w:eastAsia="宋体" w:hint="default"/>
                            <w:spacing w:val="-3"/>
                            <w:sz w:val="18"/>
                            <w:szCs w:val="18"/>
                          </w:rPr>
                          <w:t>公司、财通基金管理有限公司非公开发行人民币普通股（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22,626,766 </w:t>
                        </w:r>
                        <w:r>
                          <w:rPr>
                            <w:rFonts w:ascii="宋体" w:hAnsi="宋体" w:cs="宋体" w:eastAsia="宋体" w:hint="default"/>
                            <w:sz w:val="18"/>
                            <w:szCs w:val="18"/>
                          </w:rPr>
                          <w:t>股，发行价格每股 </w:t>
                        </w:r>
                        <w:r>
                          <w:rPr>
                            <w:rFonts w:ascii="Times New Roman" w:hAnsi="Times New Roman" w:cs="Times New Roman" w:eastAsia="Times New Roman" w:hint="default"/>
                            <w:sz w:val="18"/>
                            <w:szCs w:val="18"/>
                          </w:rPr>
                          <w:t>15.99 </w:t>
                        </w:r>
                        <w:r>
                          <w:rPr>
                            <w:rFonts w:ascii="宋体" w:hAnsi="宋体" w:cs="宋体" w:eastAsia="宋体" w:hint="default"/>
                            <w:spacing w:val="-3"/>
                            <w:sz w:val="18"/>
                            <w:szCs w:val="18"/>
                          </w:rPr>
                          <w:t>元，募集资金总额为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361,801,988.34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元，扣除各项发行费用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16,909,930.00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元，募集资金净额为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344,892,058.34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元。该项募集资金用于银行数据</w:t>
                        </w:r>
                      </w:p>
                      <w:p>
                        <w:pPr>
                          <w:pStyle w:val="TableParagraph"/>
                          <w:spacing w:line="302" w:lineRule="auto" w:before="13"/>
                          <w:ind w:left="24" w:right="13"/>
                          <w:jc w:val="both"/>
                          <w:rPr>
                            <w:rFonts w:ascii="宋体" w:hAnsi="宋体" w:cs="宋体" w:eastAsia="宋体" w:hint="default"/>
                            <w:sz w:val="18"/>
                            <w:szCs w:val="18"/>
                          </w:rPr>
                        </w:pPr>
                        <w:r>
                          <w:rPr>
                            <w:rFonts w:ascii="宋体" w:hAnsi="宋体" w:cs="宋体" w:eastAsia="宋体" w:hint="default"/>
                            <w:spacing w:val="-3"/>
                            <w:sz w:val="18"/>
                            <w:szCs w:val="18"/>
                          </w:rPr>
                          <w:t>分析应用系统建设项目及补充流动资金。上述募集资金已于</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日全部到位，资金到位情况已经瑞华会计师事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务所（特殊普通合伙）验证，并由其出具的瑞华验字</w:t>
                        </w:r>
                        <w:r>
                          <w:rPr>
                            <w:rFonts w:ascii="Times New Roman" w:hAnsi="Times New Roman" w:cs="Times New Roman" w:eastAsia="Times New Roman" w:hint="default"/>
                            <w:spacing w:val="-3"/>
                            <w:sz w:val="18"/>
                            <w:szCs w:val="18"/>
                          </w:rPr>
                          <w:t>[2017]48020003 </w:t>
                        </w:r>
                        <w:r>
                          <w:rPr>
                            <w:rFonts w:ascii="宋体" w:hAnsi="宋体" w:cs="宋体" w:eastAsia="宋体" w:hint="default"/>
                            <w:spacing w:val="-3"/>
                            <w:sz w:val="18"/>
                            <w:szCs w:val="18"/>
                          </w:rPr>
                          <w:t>号《验资报告》验证。公司对募集资金采取了专户存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储制度。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46"/>
        <w:ind w:left="0" w:right="113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6"/>
        <w:ind w:left="0" w:right="1137"/>
        <w:jc w:val="right"/>
      </w:pPr>
      <w:r>
        <w:rPr>
          <w:w w:val="101"/>
        </w:rPr>
        <w:t>，</w:t>
      </w:r>
      <w:r>
        <w:rPr/>
      </w:r>
    </w:p>
    <w:p>
      <w:pPr>
        <w:spacing w:after="0" w:line="240" w:lineRule="auto"/>
        <w:jc w:val="right"/>
        <w:sectPr>
          <w:pgSz w:w="11910" w:h="16840"/>
          <w:pgMar w:header="871" w:footer="1186" w:top="1100" w:bottom="1380" w:left="980" w:right="0"/>
        </w:sectPr>
      </w:pPr>
    </w:p>
    <w:p>
      <w:pPr>
        <w:spacing w:line="240" w:lineRule="auto" w:before="12"/>
        <w:rPr>
          <w:rFonts w:ascii="宋体" w:hAnsi="宋体" w:cs="宋体" w:eastAsia="宋体" w:hint="default"/>
          <w:sz w:val="24"/>
          <w:szCs w:val="24"/>
        </w:rPr>
      </w:pPr>
    </w:p>
    <w:p>
      <w:pPr>
        <w:spacing w:line="3332" w:lineRule="exact"/>
        <w:ind w:left="153" w:right="0" w:firstLine="0"/>
        <w:rPr>
          <w:rFonts w:ascii="宋体" w:hAnsi="宋体" w:cs="宋体" w:eastAsia="宋体" w:hint="default"/>
          <w:sz w:val="20"/>
          <w:szCs w:val="20"/>
        </w:rPr>
      </w:pPr>
      <w:r>
        <w:rPr>
          <w:rFonts w:ascii="宋体" w:hAnsi="宋体" w:cs="宋体" w:eastAsia="宋体" w:hint="default"/>
          <w:position w:val="-66"/>
          <w:sz w:val="20"/>
          <w:szCs w:val="20"/>
        </w:rPr>
        <w:pict>
          <v:shape style="width:478.3pt;height:166.65pt;mso-position-horizontal-relative:char;mso-position-vertical-relative:line" type="#_x0000_t202" filled="false" stroked="true" strokeweight=".48004pt" strokecolor="#000000">
            <w10:anchorlock/>
            <v:textbox inset="0,0,0,0">
              <w:txbxContent>
                <w:p>
                  <w:pPr>
                    <w:pStyle w:val="BodyText"/>
                    <w:spacing w:line="240" w:lineRule="auto" w:before="15"/>
                    <w:ind w:left="383"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28 </w:t>
                  </w:r>
                  <w:r>
                    <w:rPr>
                      <w:spacing w:val="-3"/>
                    </w:rPr>
                    <w:t>日，根据非公开发行股票募集资金投资计划，公司使用 </w:t>
                  </w:r>
                  <w:r>
                    <w:rPr>
                      <w:rFonts w:ascii="Times New Roman" w:hAnsi="Times New Roman" w:cs="Times New Roman" w:eastAsia="Times New Roman" w:hint="default"/>
                    </w:rPr>
                    <w:t>8,300</w:t>
                  </w:r>
                  <w:r>
                    <w:rPr>
                      <w:rFonts w:ascii="Times New Roman" w:hAnsi="Times New Roman" w:cs="Times New Roman" w:eastAsia="Times New Roman" w:hint="default"/>
                      <w:spacing w:val="-19"/>
                    </w:rPr>
                    <w:t> </w:t>
                  </w:r>
                  <w:r>
                    <w:rPr>
                      <w:spacing w:val="-3"/>
                    </w:rPr>
                    <w:t>万元募集资金永久补充流动资金。</w:t>
                  </w:r>
                </w:p>
                <w:p>
                  <w:pPr>
                    <w:pStyle w:val="BodyText"/>
                    <w:spacing w:line="304" w:lineRule="auto" w:before="96"/>
                    <w:ind w:left="23" w:right="13" w:firstLine="36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28 </w:t>
                  </w:r>
                  <w:r>
                    <w:rPr>
                      <w:spacing w:val="-4"/>
                    </w:rPr>
                    <w:t>日，经公司第四届董事会第五次会议审议通过，公司使用不超过 </w:t>
                  </w:r>
                  <w:r>
                    <w:rPr>
                      <w:rFonts w:ascii="Times New Roman" w:hAnsi="Times New Roman" w:cs="Times New Roman" w:eastAsia="Times New Roman" w:hint="default"/>
                    </w:rPr>
                    <w:t>16,000</w:t>
                  </w:r>
                  <w:r>
                    <w:rPr>
                      <w:rFonts w:ascii="Times New Roman" w:hAnsi="Times New Roman" w:cs="Times New Roman" w:eastAsia="Times New Roman" w:hint="default"/>
                      <w:spacing w:val="-22"/>
                    </w:rPr>
                    <w:t> </w:t>
                  </w:r>
                  <w:r>
                    <w:rPr>
                      <w:spacing w:val="-3"/>
                    </w:rPr>
                    <w:t>万元的暂时闲置募集资金进行</w:t>
                  </w:r>
                  <w:r>
                    <w:rPr>
                      <w:w w:val="101"/>
                    </w:rPr>
                    <w:t> </w:t>
                  </w:r>
                  <w:r>
                    <w:rPr>
                      <w:spacing w:val="-3"/>
                    </w:rPr>
                    <w:t>现金管理，公司已于到期日前将上述用于现金管理的募集资金全部归还至公司募集资金专用账户。</w:t>
                  </w:r>
                </w:p>
                <w:p>
                  <w:pPr>
                    <w:pStyle w:val="BodyText"/>
                    <w:spacing w:line="240" w:lineRule="auto" w:before="67"/>
                    <w:ind w:left="383"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23 </w:t>
                  </w:r>
                  <w:r>
                    <w:rPr>
                      <w:spacing w:val="-4"/>
                    </w:rPr>
                    <w:t>日，经公司第四届董事会第十次会议审议通过，公司使用 </w:t>
                  </w:r>
                  <w:r>
                    <w:rPr>
                      <w:rFonts w:ascii="Times New Roman" w:hAnsi="Times New Roman" w:cs="Times New Roman" w:eastAsia="Times New Roman" w:hint="default"/>
                    </w:rPr>
                    <w:t>10,000</w:t>
                  </w:r>
                  <w:r>
                    <w:rPr>
                      <w:rFonts w:ascii="Times New Roman" w:hAnsi="Times New Roman" w:cs="Times New Roman" w:eastAsia="Times New Roman" w:hint="default"/>
                      <w:spacing w:val="-16"/>
                    </w:rPr>
                    <w:t> </w:t>
                  </w:r>
                  <w:r>
                    <w:rPr>
                      <w:spacing w:val="-3"/>
                    </w:rPr>
                    <w:t>万元闲置募集资金暂时补充公司流动</w:t>
                  </w:r>
                </w:p>
                <w:p>
                  <w:pPr>
                    <w:pStyle w:val="BodyText"/>
                    <w:spacing w:line="240" w:lineRule="auto" w:before="67"/>
                    <w:ind w:left="23" w:right="0"/>
                    <w:jc w:val="left"/>
                  </w:pPr>
                  <w:r>
                    <w:rPr/>
                    <w:t>资金，并于</w:t>
                  </w:r>
                  <w:r>
                    <w:rPr>
                      <w:spacing w:val="-3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3"/>
                    </w:rPr>
                    <w:t>月全部归还至公司募集资金专户。</w:t>
                  </w:r>
                </w:p>
                <w:p>
                  <w:pPr>
                    <w:pStyle w:val="BodyText"/>
                    <w:spacing w:line="240" w:lineRule="auto" w:before="96"/>
                    <w:ind w:left="38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32"/>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32"/>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spacing w:val="-4"/>
                    </w:rPr>
                    <w:t>日，经公司第四届董事会第十三次会议审议通过，公司继续使用不超过</w:t>
                  </w:r>
                  <w:r>
                    <w:rPr>
                      <w:spacing w:val="-30"/>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6"/>
                    </w:rPr>
                    <w:t> </w:t>
                  </w:r>
                  <w:r>
                    <w:rPr/>
                    <w:t>万元的暂时闲置募集资</w:t>
                  </w:r>
                </w:p>
                <w:p>
                  <w:pPr>
                    <w:pStyle w:val="BodyText"/>
                    <w:spacing w:line="240" w:lineRule="auto" w:before="63"/>
                    <w:ind w:left="23" w:right="0"/>
                    <w:jc w:val="left"/>
                  </w:pPr>
                  <w:r>
                    <w:rPr>
                      <w:spacing w:val="-4"/>
                    </w:rPr>
                    <w:t>金进行现金管理，截至报告期末，公司使用暂时闲置募集资金进行现金管理未到期金额共计 </w:t>
                  </w:r>
                  <w:r>
                    <w:rPr>
                      <w:rFonts w:ascii="Times New Roman" w:hAnsi="Times New Roman" w:cs="Times New Roman" w:eastAsia="Times New Roman" w:hint="default"/>
                    </w:rPr>
                    <w:t>16,700  </w:t>
                  </w:r>
                  <w:r>
                    <w:rPr>
                      <w:rFonts w:ascii="Times New Roman" w:hAnsi="Times New Roman" w:cs="Times New Roman" w:eastAsia="Times New Roman" w:hint="default"/>
                      <w:spacing w:val="2"/>
                    </w:rPr>
                    <w:t> </w:t>
                  </w:r>
                  <w:r>
                    <w:rPr>
                      <w:spacing w:val="-5"/>
                    </w:rPr>
                    <w:t>万元，自第四届董事会</w:t>
                  </w:r>
                </w:p>
                <w:p>
                  <w:pPr>
                    <w:pStyle w:val="BodyText"/>
                    <w:spacing w:line="240" w:lineRule="auto" w:before="67"/>
                    <w:ind w:left="23" w:right="0"/>
                    <w:jc w:val="left"/>
                  </w:pPr>
                  <w:r>
                    <w:rPr>
                      <w:spacing w:val="-3"/>
                    </w:rPr>
                    <w:t>第十三次会议审议通过后累计使用暂时闲置募集资金进行现金管理的发生额为 </w:t>
                  </w:r>
                  <w:r>
                    <w:rPr>
                      <w:rFonts w:ascii="Times New Roman" w:hAnsi="Times New Roman" w:cs="Times New Roman" w:eastAsia="Times New Roman" w:hint="default"/>
                    </w:rPr>
                    <w:t>23,400 </w:t>
                  </w:r>
                  <w:r>
                    <w:rPr>
                      <w:rFonts w:ascii="Times New Roman" w:hAnsi="Times New Roman" w:cs="Times New Roman" w:eastAsia="Times New Roman" w:hint="default"/>
                      <w:spacing w:val="14"/>
                    </w:rPr>
                    <w:t> </w:t>
                  </w:r>
                  <w:r>
                    <w:rPr/>
                    <w:t>万元。</w:t>
                  </w:r>
                </w:p>
                <w:p>
                  <w:pPr>
                    <w:pStyle w:val="BodyText"/>
                    <w:spacing w:line="240" w:lineRule="auto" w:before="97"/>
                    <w:ind w:left="383" w:right="0"/>
                    <w:jc w:val="left"/>
                  </w:pPr>
                  <w:r>
                    <w:rPr>
                      <w:spacing w:val="-3"/>
                    </w:rPr>
                    <w:t>截至报告期末，公司非公开发行股票募集资金净额 </w:t>
                  </w:r>
                  <w:r>
                    <w:rPr>
                      <w:rFonts w:ascii="Times New Roman" w:hAnsi="Times New Roman" w:cs="Times New Roman" w:eastAsia="Times New Roman" w:hint="default"/>
                    </w:rPr>
                    <w:t>34,489.21  </w:t>
                  </w:r>
                  <w:r>
                    <w:rPr>
                      <w:spacing w:val="-3"/>
                    </w:rPr>
                    <w:t>万元，已投入募集资金投资项目 </w:t>
                  </w:r>
                  <w:r>
                    <w:rPr>
                      <w:rFonts w:ascii="Times New Roman" w:hAnsi="Times New Roman" w:cs="Times New Roman" w:eastAsia="Times New Roman" w:hint="default"/>
                    </w:rPr>
                    <w:t>8,815.89</w:t>
                  </w:r>
                  <w:r>
                    <w:rPr>
                      <w:rFonts w:ascii="Times New Roman" w:hAnsi="Times New Roman" w:cs="Times New Roman" w:eastAsia="Times New Roman" w:hint="default"/>
                      <w:spacing w:val="-21"/>
                    </w:rPr>
                    <w:t> </w:t>
                  </w:r>
                  <w:r>
                    <w:rPr/>
                    <w:t>万元，公司募</w:t>
                  </w:r>
                </w:p>
                <w:p>
                  <w:pPr>
                    <w:pStyle w:val="BodyText"/>
                    <w:spacing w:line="240" w:lineRule="auto" w:before="67"/>
                    <w:ind w:left="23" w:right="0"/>
                    <w:jc w:val="left"/>
                  </w:pPr>
                  <w:r>
                    <w:rPr>
                      <w:spacing w:val="-3"/>
                    </w:rPr>
                    <w:t>集资金专户尚有募集资金及利息 </w:t>
                  </w:r>
                  <w:r>
                    <w:rPr>
                      <w:rFonts w:ascii="Times New Roman" w:hAnsi="Times New Roman" w:cs="Times New Roman" w:eastAsia="Times New Roman" w:hint="default"/>
                    </w:rPr>
                    <w:t>26,613.94 </w:t>
                  </w:r>
                  <w:r>
                    <w:rPr/>
                    <w:t>万元未使用，其中 </w:t>
                  </w:r>
                  <w:r>
                    <w:rPr>
                      <w:rFonts w:ascii="Times New Roman" w:hAnsi="Times New Roman" w:cs="Times New Roman" w:eastAsia="Times New Roman" w:hint="default"/>
                    </w:rPr>
                    <w:t>16,700</w:t>
                  </w:r>
                  <w:r>
                    <w:rPr>
                      <w:rFonts w:ascii="Times New Roman" w:hAnsi="Times New Roman" w:cs="Times New Roman" w:eastAsia="Times New Roman" w:hint="default"/>
                      <w:spacing w:val="4"/>
                    </w:rPr>
                    <w:t> </w:t>
                  </w:r>
                  <w:r>
                    <w:rPr>
                      <w:spacing w:val="-3"/>
                    </w:rPr>
                    <w:t>万元暂时闲置募集资金用于现金管理。</w:t>
                  </w:r>
                </w:p>
              </w:txbxContent>
            </v:textbox>
          </v:shape>
        </w:pict>
      </w:r>
      <w:r>
        <w:rPr>
          <w:rFonts w:ascii="宋体" w:hAnsi="宋体" w:cs="宋体" w:eastAsia="宋体" w:hint="default"/>
          <w:position w:val="-66"/>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25"/>
        <w:gridCol w:w="721"/>
        <w:gridCol w:w="720"/>
        <w:gridCol w:w="720"/>
        <w:gridCol w:w="725"/>
        <w:gridCol w:w="720"/>
        <w:gridCol w:w="721"/>
        <w:gridCol w:w="725"/>
        <w:gridCol w:w="720"/>
        <w:gridCol w:w="725"/>
        <w:gridCol w:w="721"/>
      </w:tblGrid>
      <w:tr>
        <w:trPr>
          <w:trHeight w:val="165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364" w:right="84" w:hanging="274"/>
              <w:jc w:val="left"/>
              <w:rPr>
                <w:rFonts w:ascii="宋体" w:hAnsi="宋体" w:cs="宋体" w:eastAsia="宋体" w:hint="default"/>
                <w:sz w:val="18"/>
                <w:szCs w:val="18"/>
              </w:rPr>
            </w:pPr>
            <w:r>
              <w:rPr>
                <w:rFonts w:ascii="宋体" w:hAnsi="宋体" w:cs="宋体" w:eastAsia="宋体" w:hint="default"/>
                <w:spacing w:val="-2"/>
                <w:sz w:val="18"/>
                <w:szCs w:val="18"/>
              </w:rPr>
              <w:t>承诺投资项目和超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募资金投向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57" w:right="5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86" w:right="80"/>
              <w:jc w:val="center"/>
              <w:rPr>
                <w:rFonts w:ascii="宋体" w:hAnsi="宋体" w:cs="宋体" w:eastAsia="宋体" w:hint="default"/>
                <w:sz w:val="18"/>
                <w:szCs w:val="18"/>
              </w:rPr>
            </w:pPr>
            <w:r>
              <w:rPr>
                <w:rFonts w:ascii="宋体" w:hAnsi="宋体" w:cs="宋体" w:eastAsia="宋体" w:hint="default"/>
                <w:spacing w:val="-2"/>
                <w:sz w:val="18"/>
                <w:szCs w:val="18"/>
              </w:rPr>
              <w:t>募集资</w:t>
            </w:r>
            <w:r>
              <w:rPr>
                <w:rFonts w:ascii="宋体" w:hAnsi="宋体" w:cs="宋体" w:eastAsia="宋体" w:hint="default"/>
                <w:w w:val="101"/>
                <w:sz w:val="18"/>
                <w:szCs w:val="18"/>
              </w:rPr>
              <w:t> </w:t>
            </w:r>
            <w:r>
              <w:rPr>
                <w:rFonts w:ascii="宋体" w:hAnsi="宋体" w:cs="宋体" w:eastAsia="宋体" w:hint="default"/>
                <w:spacing w:val="-2"/>
                <w:sz w:val="18"/>
                <w:szCs w:val="18"/>
              </w:rPr>
              <w:t>金承诺</w:t>
            </w:r>
            <w:r>
              <w:rPr>
                <w:rFonts w:ascii="宋体" w:hAnsi="宋体" w:cs="宋体" w:eastAsia="宋体" w:hint="default"/>
                <w:w w:val="101"/>
                <w:sz w:val="18"/>
                <w:szCs w:val="18"/>
              </w:rPr>
              <w:t> </w:t>
            </w:r>
            <w:r>
              <w:rPr>
                <w:rFonts w:ascii="宋体" w:hAnsi="宋体" w:cs="宋体" w:eastAsia="宋体" w:hint="default"/>
                <w:spacing w:val="-2"/>
                <w:sz w:val="18"/>
                <w:szCs w:val="18"/>
              </w:rPr>
              <w:t>投资总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86"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86" w:right="7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2"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w w:val="101"/>
                <w:sz w:val="18"/>
                <w:szCs w:val="18"/>
              </w:rPr>
              <w:t> </w:t>
            </w:r>
            <w:r>
              <w:rPr>
                <w:rFonts w:ascii="宋体" w:hAnsi="宋体" w:cs="宋体" w:eastAsia="宋体" w:hint="default"/>
                <w:sz w:val="18"/>
                <w:szCs w:val="18"/>
              </w:rPr>
              <w:t>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进度</w:t>
            </w:r>
            <w:r>
              <w:rPr>
                <w:rFonts w:ascii="Times New Roman" w:hAnsi="Times New Roman" w:cs="Times New Roman" w:eastAsia="Times New Roman" w:hint="default"/>
                <w:sz w:val="18"/>
                <w:szCs w:val="18"/>
              </w:rPr>
              <w:t>(3)</w:t>
            </w:r>
          </w:p>
          <w:p>
            <w:pPr>
              <w:pStyle w:val="TableParagraph"/>
              <w:spacing w:line="240" w:lineRule="auto" w:before="4"/>
              <w:ind w:left="3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0"/>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86"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79"/>
              <w:jc w:val="center"/>
              <w:rPr>
                <w:rFonts w:ascii="宋体" w:hAnsi="宋体" w:cs="宋体" w:eastAsia="宋体" w:hint="default"/>
                <w:sz w:val="18"/>
                <w:szCs w:val="18"/>
              </w:rPr>
            </w:pPr>
            <w:r>
              <w:rPr>
                <w:rFonts w:ascii="宋体" w:hAnsi="宋体" w:cs="宋体" w:eastAsia="宋体" w:hint="default"/>
                <w:spacing w:val="-2"/>
                <w:sz w:val="18"/>
                <w:szCs w:val="18"/>
              </w:rPr>
              <w:t>截止报</w:t>
            </w:r>
            <w:r>
              <w:rPr>
                <w:rFonts w:ascii="宋体" w:hAnsi="宋体" w:cs="宋体" w:eastAsia="宋体" w:hint="default"/>
                <w:w w:val="101"/>
                <w:sz w:val="18"/>
                <w:szCs w:val="18"/>
              </w:rPr>
              <w:t> </w:t>
            </w:r>
            <w:r>
              <w:rPr>
                <w:rFonts w:ascii="宋体" w:hAnsi="宋体" w:cs="宋体" w:eastAsia="宋体" w:hint="default"/>
                <w:spacing w:val="-2"/>
                <w:sz w:val="18"/>
                <w:szCs w:val="18"/>
              </w:rPr>
              <w:t>告期末</w:t>
            </w:r>
            <w:r>
              <w:rPr>
                <w:rFonts w:ascii="宋体" w:hAnsi="宋体" w:cs="宋体" w:eastAsia="宋体" w:hint="default"/>
                <w:w w:val="101"/>
                <w:sz w:val="18"/>
                <w:szCs w:val="18"/>
              </w:rPr>
              <w:t> </w:t>
            </w:r>
            <w:r>
              <w:rPr>
                <w:rFonts w:ascii="宋体" w:hAnsi="宋体" w:cs="宋体" w:eastAsia="宋体" w:hint="default"/>
                <w:spacing w:val="-2"/>
                <w:sz w:val="18"/>
                <w:szCs w:val="18"/>
              </w:rPr>
              <w:t>累计实</w:t>
            </w:r>
            <w:r>
              <w:rPr>
                <w:rFonts w:ascii="宋体" w:hAnsi="宋体" w:cs="宋体" w:eastAsia="宋体" w:hint="default"/>
                <w:w w:val="101"/>
                <w:sz w:val="18"/>
                <w:szCs w:val="18"/>
              </w:rPr>
              <w:t> </w:t>
            </w:r>
            <w:r>
              <w:rPr>
                <w:rFonts w:ascii="宋体" w:hAnsi="宋体" w:cs="宋体" w:eastAsia="宋体" w:hint="default"/>
                <w:spacing w:val="-2"/>
                <w:sz w:val="18"/>
                <w:szCs w:val="18"/>
              </w:rPr>
              <w:t>现的效</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86" w:right="84"/>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0"/>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3"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商业银行全国票据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影像交换业务处理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系统升级改造</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599.58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599.58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501.61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商业银行同城票据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影像交换业务处理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系统</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3,763.6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3,763.6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3,763.6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1,999.62</w:t>
            </w: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银企对账管理系统</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3,144.9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3,144.9</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2,126.96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客户服务中心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1,705.2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939.94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4,900.59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研究开发中心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2,179.4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2,179.4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51"/>
              <w:jc w:val="left"/>
              <w:rPr>
                <w:rFonts w:ascii="宋体" w:hAnsi="宋体" w:cs="宋体" w:eastAsia="宋体" w:hint="default"/>
                <w:sz w:val="18"/>
                <w:szCs w:val="18"/>
              </w:rPr>
            </w:pPr>
            <w:r>
              <w:rPr>
                <w:rFonts w:ascii="宋体" w:hAnsi="宋体" w:cs="宋体" w:eastAsia="宋体" w:hint="default"/>
                <w:spacing w:val="-2"/>
                <w:sz w:val="18"/>
                <w:szCs w:val="18"/>
              </w:rPr>
              <w:t>商业银行集中运营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作业平台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2,212.6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2,062.94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年募集资金补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119.82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4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720"/>
        <w:gridCol w:w="912"/>
        <w:gridCol w:w="725"/>
        <w:gridCol w:w="721"/>
        <w:gridCol w:w="720"/>
        <w:gridCol w:w="720"/>
        <w:gridCol w:w="725"/>
        <w:gridCol w:w="720"/>
        <w:gridCol w:w="721"/>
        <w:gridCol w:w="725"/>
        <w:gridCol w:w="720"/>
        <w:gridCol w:w="725"/>
        <w:gridCol w:w="721"/>
      </w:tblGrid>
      <w:tr>
        <w:trPr>
          <w:trHeight w:val="360"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充流动资金</w:t>
            </w: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pacing w:val="-2"/>
                <w:sz w:val="18"/>
                <w:szCs w:val="18"/>
              </w:rPr>
              <w:t>银行数据分析应用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系统建设项目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27,880.2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27,880.2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399.61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年募集资金补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充流动资金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49,905.3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49,905.3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399.61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1,251.77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11,591.7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收购北京博世金信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科技有限公司部分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833.1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19.84</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651.70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pacing w:val="-2"/>
                <w:sz w:val="18"/>
                <w:szCs w:val="18"/>
              </w:rPr>
              <w:t>投资设立北京华道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征信有限公司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51"/>
              <w:jc w:val="left"/>
              <w:rPr>
                <w:rFonts w:ascii="宋体" w:hAnsi="宋体" w:cs="宋体" w:eastAsia="宋体" w:hint="default"/>
                <w:sz w:val="18"/>
                <w:szCs w:val="18"/>
              </w:rPr>
            </w:pPr>
            <w:r>
              <w:rPr>
                <w:rFonts w:ascii="宋体" w:hAnsi="宋体" w:cs="宋体" w:eastAsia="宋体" w:hint="default"/>
                <w:spacing w:val="-2"/>
                <w:sz w:val="18"/>
                <w:szCs w:val="18"/>
              </w:rPr>
              <w:t>投资设立易安财产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保险股份有限公司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-2,991.2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-2,860.9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归还银行贷款（如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1,618.77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1,618.77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1,618.77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1,618.77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5"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补充流动资金（如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6"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28,951.8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28,951.8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1,618.77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28,951.8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-3,733.5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-4,372.0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5"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78,857.1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78,857.1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2,018.38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7,219.70</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538" w:hRule="exact"/>
        </w:trPr>
        <w:tc>
          <w:tcPr>
            <w:tcW w:w="1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24" w:right="-29"/>
              <w:jc w:val="left"/>
              <w:rPr>
                <w:rFonts w:ascii="宋体" w:hAnsi="宋体" w:cs="宋体" w:eastAsia="宋体" w:hint="default"/>
                <w:sz w:val="18"/>
                <w:szCs w:val="18"/>
              </w:rPr>
            </w:pPr>
            <w:r>
              <w:rPr>
                <w:rFonts w:ascii="宋体" w:hAnsi="宋体" w:cs="宋体" w:eastAsia="宋体" w:hint="default"/>
                <w:sz w:val="18"/>
                <w:szCs w:val="18"/>
              </w:rPr>
              <w:t>未达到计划进度或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预计收益的情况和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原因（分具体项目）</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4"/>
                <w:sz w:val="18"/>
                <w:szCs w:val="18"/>
              </w:rPr>
              <w:t>截至报告期末，商业银行同城票据影像交换业务处理系统项目累计实现效益 </w:t>
            </w:r>
            <w:r>
              <w:rPr>
                <w:rFonts w:ascii="Times New Roman" w:hAnsi="Times New Roman" w:cs="Times New Roman" w:eastAsia="Times New Roman" w:hint="default"/>
                <w:sz w:val="18"/>
                <w:szCs w:val="18"/>
              </w:rPr>
              <w:t>1,999.62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40" w:lineRule="auto" w:before="58"/>
              <w:ind w:left="23" w:right="0"/>
              <w:jc w:val="both"/>
              <w:rPr>
                <w:rFonts w:ascii="宋体" w:hAnsi="宋体" w:cs="宋体" w:eastAsia="宋体" w:hint="default"/>
                <w:sz w:val="18"/>
                <w:szCs w:val="18"/>
              </w:rPr>
            </w:pPr>
            <w:r>
              <w:rPr>
                <w:rFonts w:ascii="宋体" w:hAnsi="宋体" w:cs="宋体" w:eastAsia="宋体" w:hint="default"/>
                <w:spacing w:val="-4"/>
                <w:sz w:val="18"/>
                <w:szCs w:val="18"/>
              </w:rPr>
              <w:t>元，银企对账管理系统项目已累计实现效益 </w:t>
            </w:r>
            <w:r>
              <w:rPr>
                <w:rFonts w:ascii="Times New Roman" w:hAnsi="Times New Roman" w:cs="Times New Roman" w:eastAsia="Times New Roman" w:hint="default"/>
                <w:sz w:val="18"/>
                <w:szCs w:val="18"/>
              </w:rPr>
              <w:t>2,126.96 </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万元，商业银行集中运营作业平台项目</w:t>
            </w:r>
          </w:p>
          <w:p>
            <w:pPr>
              <w:pStyle w:val="TableParagraph"/>
              <w:spacing w:line="312" w:lineRule="auto" w:before="63"/>
              <w:ind w:left="23" w:right="14"/>
              <w:jc w:val="both"/>
              <w:rPr>
                <w:rFonts w:ascii="宋体" w:hAnsi="宋体" w:cs="宋体" w:eastAsia="宋体" w:hint="default"/>
                <w:sz w:val="18"/>
                <w:szCs w:val="18"/>
              </w:rPr>
            </w:pPr>
            <w:r>
              <w:rPr>
                <w:rFonts w:ascii="宋体" w:hAnsi="宋体" w:cs="宋体" w:eastAsia="宋体" w:hint="default"/>
                <w:sz w:val="18"/>
                <w:szCs w:val="18"/>
              </w:rPr>
              <w:t>已累计实现效益 </w:t>
            </w:r>
            <w:r>
              <w:rPr>
                <w:rFonts w:ascii="Times New Roman" w:hAnsi="Times New Roman" w:cs="Times New Roman" w:eastAsia="Times New Roman" w:hint="default"/>
                <w:sz w:val="18"/>
                <w:szCs w:val="18"/>
              </w:rPr>
              <w:t>2,062.94 </w:t>
            </w:r>
            <w:r>
              <w:rPr>
                <w:rFonts w:ascii="宋体" w:hAnsi="宋体" w:cs="宋体" w:eastAsia="宋体" w:hint="default"/>
                <w:spacing w:val="-4"/>
                <w:sz w:val="18"/>
                <w:szCs w:val="18"/>
              </w:rPr>
              <w:t>万元。以上项目未达到承诺效益的主要原因是银行信息化行业市场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竞争激烈，客户需求更新换代较快，随着电子支付手段的迅速发展，票据影像化处理的业务</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需求呈下降趋势等因素的影响。</w:t>
            </w:r>
          </w:p>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pacing w:val="-4"/>
                <w:sz w:val="18"/>
                <w:szCs w:val="18"/>
              </w:rPr>
              <w:t>截至报告期末，客户服务中心项目累计实现效益 </w:t>
            </w:r>
            <w:r>
              <w:rPr>
                <w:rFonts w:ascii="Times New Roman" w:hAnsi="Times New Roman" w:cs="Times New Roman" w:eastAsia="Times New Roman" w:hint="default"/>
                <w:sz w:val="18"/>
                <w:szCs w:val="18"/>
              </w:rPr>
              <w:t>4,900.59 </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万元，未达到承诺效益的原因</w:t>
            </w:r>
          </w:p>
          <w:p>
            <w:pPr>
              <w:pStyle w:val="TableParagraph"/>
              <w:spacing w:line="304" w:lineRule="auto" w:before="63"/>
              <w:ind w:left="23" w:right="18"/>
              <w:jc w:val="both"/>
              <w:rPr>
                <w:rFonts w:ascii="宋体" w:hAnsi="宋体" w:cs="宋体" w:eastAsia="宋体" w:hint="default"/>
                <w:sz w:val="18"/>
                <w:szCs w:val="18"/>
              </w:rPr>
            </w:pPr>
            <w:r>
              <w:rPr>
                <w:rFonts w:ascii="宋体" w:hAnsi="宋体" w:cs="宋体" w:eastAsia="宋体" w:hint="default"/>
                <w:spacing w:val="-3"/>
                <w:sz w:val="18"/>
                <w:szCs w:val="18"/>
              </w:rPr>
              <w:t>是受银行客户普遍要求延长免费服务的期限至 </w:t>
            </w:r>
            <w:r>
              <w:rPr>
                <w:rFonts w:ascii="Times New Roman" w:hAnsi="Times New Roman" w:cs="Times New Roman" w:eastAsia="Times New Roman" w:hint="default"/>
                <w:sz w:val="18"/>
                <w:szCs w:val="18"/>
              </w:rPr>
              <w:t>3 </w:t>
            </w:r>
            <w:r>
              <w:rPr>
                <w:rFonts w:ascii="宋体" w:hAnsi="宋体" w:cs="宋体" w:eastAsia="宋体" w:hint="default"/>
                <w:sz w:val="18"/>
                <w:szCs w:val="18"/>
              </w:rPr>
              <w:t>至 </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年，致使服务性收入减少，以及行业内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产品升级换代较快，服务性收入转化为升级换代产品的销售收入等因素的影响。</w:t>
            </w:r>
          </w:p>
          <w:p>
            <w:pPr>
              <w:pStyle w:val="TableParagraph"/>
              <w:spacing w:line="319" w:lineRule="auto" w:before="66"/>
              <w:ind w:left="23" w:right="19" w:firstLine="360"/>
              <w:jc w:val="both"/>
              <w:rPr>
                <w:rFonts w:ascii="宋体" w:hAnsi="宋体" w:cs="宋体" w:eastAsia="宋体" w:hint="default"/>
                <w:sz w:val="18"/>
                <w:szCs w:val="18"/>
              </w:rPr>
            </w:pPr>
            <w:r>
              <w:rPr>
                <w:rFonts w:ascii="宋体" w:hAnsi="宋体" w:cs="宋体" w:eastAsia="宋体" w:hint="default"/>
                <w:spacing w:val="-4"/>
                <w:sz w:val="18"/>
                <w:szCs w:val="18"/>
              </w:rPr>
              <w:t>以上募投项目虽未达到承诺的效益，但募投项目的实施，为公司保持在相关产品领域的</w:t>
            </w:r>
            <w:r>
              <w:rPr>
                <w:rFonts w:ascii="宋体" w:hAnsi="宋体" w:cs="宋体" w:eastAsia="宋体" w:hint="default"/>
                <w:w w:val="101"/>
                <w:sz w:val="18"/>
                <w:szCs w:val="18"/>
              </w:rPr>
              <w:t> </w:t>
            </w:r>
            <w:r>
              <w:rPr>
                <w:rFonts w:ascii="宋体" w:hAnsi="宋体" w:cs="宋体" w:eastAsia="宋体" w:hint="default"/>
                <w:spacing w:val="-4"/>
                <w:sz w:val="18"/>
                <w:szCs w:val="18"/>
              </w:rPr>
              <w:t>市场占有率，延伸发展公司产品线，储备和培养研发人才，以及维护公司广泛的银行客户关</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系发挥了重要作用，也为公司带来其他相关产品的间接收益。</w:t>
            </w:r>
          </w:p>
          <w:p>
            <w:pPr>
              <w:pStyle w:val="TableParagraph"/>
              <w:spacing w:line="300" w:lineRule="auto" w:before="50"/>
              <w:ind w:left="23" w:right="17"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银行数据分析应用系统建设项目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的资金投向主要包括人力成本、设备购置及其他费用</w:t>
            </w:r>
            <w:r>
              <w:rPr>
                <w:rFonts w:ascii="宋体" w:hAnsi="宋体" w:cs="宋体" w:eastAsia="宋体" w:hint="default"/>
                <w:w w:val="101"/>
                <w:sz w:val="18"/>
                <w:szCs w:val="18"/>
              </w:rPr>
              <w:t> </w:t>
            </w:r>
            <w:r>
              <w:rPr>
                <w:rFonts w:ascii="宋体" w:hAnsi="宋体" w:cs="宋体" w:eastAsia="宋体" w:hint="default"/>
                <w:spacing w:val="-5"/>
                <w:sz w:val="18"/>
                <w:szCs w:val="18"/>
              </w:rPr>
              <w:t>支出等，</w:t>
            </w:r>
            <w:r>
              <w:rPr>
                <w:rFonts w:ascii="Times New Roman" w:hAnsi="Times New Roman" w:cs="Times New Roman" w:eastAsia="Times New Roman" w:hint="default"/>
                <w:spacing w:val="-5"/>
                <w:sz w:val="18"/>
                <w:szCs w:val="18"/>
              </w:rPr>
              <w:t>2017 </w:t>
            </w:r>
            <w:r>
              <w:rPr>
                <w:rFonts w:ascii="宋体" w:hAnsi="宋体" w:cs="宋体" w:eastAsia="宋体" w:hint="default"/>
                <w:spacing w:val="-5"/>
                <w:sz w:val="18"/>
                <w:szCs w:val="18"/>
              </w:rPr>
              <w:t>年非公开发行股票募集资金主要用于设备购置。在实际项目执行中，公司基于</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软件项目实施合理性和资金使用有效性的考虑，前期项目投入主要使用自有资金用于人力成</w:t>
            </w:r>
          </w:p>
        </w:tc>
      </w:tr>
    </w:tbl>
    <w:p>
      <w:pPr>
        <w:spacing w:after="0" w:line="300" w:lineRule="auto"/>
        <w:jc w:val="both"/>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633"/>
        <w:gridCol w:w="725"/>
        <w:gridCol w:w="7217"/>
      </w:tblGrid>
      <w:tr>
        <w:trPr>
          <w:trHeight w:val="360"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本的支出，用于设备购置等资产类的支出较少，致使募集资金投入未达到计划进度。</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项目可行性发生重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大变化的情况说明</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报告期内，项目可行性未发生重大变化。</w:t>
            </w:r>
          </w:p>
        </w:tc>
      </w:tr>
      <w:tr>
        <w:trPr>
          <w:trHeight w:val="404"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9"/>
              <w:ind w:left="24" w:right="12"/>
              <w:jc w:val="left"/>
              <w:rPr>
                <w:rFonts w:ascii="宋体" w:hAnsi="宋体" w:cs="宋体" w:eastAsia="宋体" w:hint="default"/>
                <w:sz w:val="18"/>
                <w:szCs w:val="18"/>
              </w:rPr>
            </w:pPr>
            <w:r>
              <w:rPr>
                <w:rFonts w:ascii="宋体" w:hAnsi="宋体" w:cs="宋体" w:eastAsia="宋体" w:hint="default"/>
                <w:spacing w:val="-7"/>
                <w:sz w:val="18"/>
                <w:szCs w:val="18"/>
              </w:rPr>
              <w:t>超募资金的金额、用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途及使用进展情况</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17"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超募资金共计</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25,169.97</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万元，经公司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日第一届董事会第十一次</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会议审议通过，公司使用超募资金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万元永久补充流动资金。截至报告期末，该项目已</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全部投入。经公司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日第二届董事会第七次会议审议通过，公司使用超募资金</w:t>
            </w:r>
          </w:p>
          <w:p>
            <w:pPr>
              <w:pStyle w:val="TableParagraph"/>
              <w:spacing w:line="30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833.10 </w:t>
            </w:r>
            <w:r>
              <w:rPr>
                <w:rFonts w:ascii="宋体" w:hAnsi="宋体" w:cs="宋体" w:eastAsia="宋体" w:hint="default"/>
                <w:spacing w:val="-3"/>
                <w:sz w:val="18"/>
                <w:szCs w:val="18"/>
              </w:rPr>
              <w:t>万元收购北京博世金信科技有限公司的支票打码机的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项专利技术、相关专有技术等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无形资产及相关有形资产。截至报告期末，该项目已全部投入。</w:t>
            </w:r>
          </w:p>
          <w:p>
            <w:pPr>
              <w:pStyle w:val="TableParagraph"/>
              <w:spacing w:line="240" w:lineRule="auto" w:before="66"/>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日第二届董事会第二十一次会议审议通过，公司使用超募资金</w:t>
            </w:r>
          </w:p>
          <w:p>
            <w:pPr>
              <w:pStyle w:val="TableParagraph"/>
              <w:spacing w:line="304" w:lineRule="auto" w:before="63"/>
              <w:ind w:left="23"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pacing w:val="-3"/>
                <w:sz w:val="18"/>
                <w:szCs w:val="18"/>
              </w:rPr>
              <w:t>万元发起设立北京华道征信有限公司，开展征信服务业务及其相关业务。截至报告期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末，该项目已全部投入。</w:t>
            </w:r>
          </w:p>
          <w:p>
            <w:pPr>
              <w:pStyle w:val="TableParagraph"/>
              <w:spacing w:line="240" w:lineRule="auto" w:before="61"/>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日第二届董事会第二十三次会议和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w:t>
            </w:r>
          </w:p>
          <w:p>
            <w:pPr>
              <w:pStyle w:val="TableParagraph"/>
              <w:spacing w:line="304" w:lineRule="auto" w:before="63"/>
              <w:ind w:left="23" w:right="22"/>
              <w:jc w:val="left"/>
              <w:rPr>
                <w:rFonts w:ascii="宋体" w:hAnsi="宋体" w:cs="宋体" w:eastAsia="宋体" w:hint="default"/>
                <w:sz w:val="18"/>
                <w:szCs w:val="18"/>
              </w:rPr>
            </w:pPr>
            <w:r>
              <w:rPr>
                <w:rFonts w:ascii="宋体" w:hAnsi="宋体" w:cs="宋体" w:eastAsia="宋体" w:hint="default"/>
                <w:spacing w:val="-3"/>
                <w:sz w:val="18"/>
                <w:szCs w:val="18"/>
              </w:rPr>
              <w:t>东大会审议通过，公司使用超募资金 </w:t>
            </w:r>
            <w:r>
              <w:rPr>
                <w:rFonts w:ascii="Times New Roman" w:hAnsi="Times New Roman" w:cs="Times New Roman" w:eastAsia="Times New Roman" w:hint="default"/>
                <w:sz w:val="18"/>
                <w:szCs w:val="18"/>
              </w:rPr>
              <w:t>5,000 </w:t>
            </w:r>
            <w:r>
              <w:rPr>
                <w:rFonts w:ascii="宋体" w:hAnsi="宋体" w:cs="宋体" w:eastAsia="宋体" w:hint="default"/>
                <w:spacing w:val="-3"/>
                <w:sz w:val="18"/>
                <w:szCs w:val="18"/>
              </w:rPr>
              <w:t>万元永久补充流动资金。截至报告期末，该项目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已全部投入。</w:t>
            </w:r>
          </w:p>
          <w:p>
            <w:pPr>
              <w:pStyle w:val="TableParagraph"/>
              <w:spacing w:line="240" w:lineRule="auto" w:before="61"/>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日第三届董事会第十四次会议和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w:t>
            </w:r>
          </w:p>
          <w:p>
            <w:pPr>
              <w:pStyle w:val="TableParagraph"/>
              <w:spacing w:line="304" w:lineRule="auto" w:before="63"/>
              <w:ind w:left="23" w:right="22"/>
              <w:jc w:val="left"/>
              <w:rPr>
                <w:rFonts w:ascii="宋体" w:hAnsi="宋体" w:cs="宋体" w:eastAsia="宋体" w:hint="default"/>
                <w:sz w:val="18"/>
                <w:szCs w:val="18"/>
              </w:rPr>
            </w:pPr>
            <w:r>
              <w:rPr>
                <w:rFonts w:ascii="宋体" w:hAnsi="宋体" w:cs="宋体" w:eastAsia="宋体" w:hint="default"/>
                <w:spacing w:val="-3"/>
                <w:sz w:val="18"/>
                <w:szCs w:val="18"/>
              </w:rPr>
              <w:t>次临时股东大会审议通过，公司使用超募资金及募集资金利息合计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亿元投资发起设立易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安财产保险股份有限公司。截至报告期末，该项目已全部投入。</w:t>
            </w:r>
          </w:p>
          <w:p>
            <w:pPr>
              <w:pStyle w:val="TableParagraph"/>
              <w:spacing w:line="240" w:lineRule="auto" w:before="66"/>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日第四届董事会第十次会议审议通过，公司使用首次公开发行股</w:t>
            </w:r>
          </w:p>
          <w:p>
            <w:pPr>
              <w:pStyle w:val="TableParagraph"/>
              <w:spacing w:line="333" w:lineRule="auto" w:before="67"/>
              <w:ind w:left="383" w:right="19" w:hanging="360"/>
              <w:jc w:val="left"/>
              <w:rPr>
                <w:rFonts w:ascii="宋体" w:hAnsi="宋体" w:cs="宋体" w:eastAsia="宋体" w:hint="default"/>
                <w:sz w:val="18"/>
                <w:szCs w:val="18"/>
              </w:rPr>
            </w:pPr>
            <w:r>
              <w:rPr>
                <w:rFonts w:ascii="宋体" w:hAnsi="宋体" w:cs="宋体" w:eastAsia="宋体" w:hint="default"/>
                <w:sz w:val="18"/>
                <w:szCs w:val="18"/>
              </w:rPr>
              <w:t>票募集资金节余资金 </w:t>
            </w:r>
            <w:r>
              <w:rPr>
                <w:rFonts w:ascii="Times New Roman" w:hAnsi="Times New Roman" w:cs="Times New Roman" w:eastAsia="Times New Roman" w:hint="default"/>
                <w:sz w:val="18"/>
                <w:szCs w:val="18"/>
              </w:rPr>
              <w:t>1,618.77 </w:t>
            </w:r>
            <w:r>
              <w:rPr>
                <w:rFonts w:ascii="宋体" w:hAnsi="宋体" w:cs="宋体" w:eastAsia="宋体" w:hint="default"/>
                <w:spacing w:val="-3"/>
                <w:sz w:val="18"/>
                <w:szCs w:val="18"/>
              </w:rPr>
              <w:t>万元归还银行贷款。截至报告期末，该项目已全部投入。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截至报告期末，公司首次公开发行股票募集资金及其衍生利息已全部使用完毕，公司非</w:t>
            </w:r>
          </w:p>
          <w:p>
            <w:pPr>
              <w:pStyle w:val="TableParagraph"/>
              <w:spacing w:line="304" w:lineRule="auto" w:before="6"/>
              <w:ind w:left="23" w:right="17"/>
              <w:jc w:val="left"/>
              <w:rPr>
                <w:rFonts w:ascii="宋体" w:hAnsi="宋体" w:cs="宋体" w:eastAsia="宋体" w:hint="default"/>
                <w:sz w:val="18"/>
                <w:szCs w:val="18"/>
              </w:rPr>
            </w:pPr>
            <w:r>
              <w:rPr>
                <w:rFonts w:ascii="宋体" w:hAnsi="宋体" w:cs="宋体" w:eastAsia="宋体" w:hint="default"/>
                <w:spacing w:val="-3"/>
                <w:sz w:val="18"/>
                <w:szCs w:val="18"/>
              </w:rPr>
              <w:t>公开发行股票募集资金专户尚有募集资金及利息</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26,613.94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万元未使用，其中</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16,700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时闲置募集资金用于现金管理。</w:t>
            </w:r>
          </w:p>
        </w:tc>
      </w:tr>
      <w:tr>
        <w:trPr>
          <w:trHeight w:val="404"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实施地点变更情况</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4" w:firstLine="36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日第二届董事会第八次会议审议通过，公司原五个募集资金投资</w:t>
            </w:r>
            <w:r>
              <w:rPr>
                <w:rFonts w:ascii="宋体" w:hAnsi="宋体" w:cs="宋体" w:eastAsia="宋体" w:hint="default"/>
                <w:w w:val="101"/>
                <w:sz w:val="18"/>
                <w:szCs w:val="18"/>
              </w:rPr>
              <w:t> </w:t>
            </w:r>
            <w:r>
              <w:rPr>
                <w:rFonts w:ascii="宋体" w:hAnsi="宋体" w:cs="宋体" w:eastAsia="宋体" w:hint="default"/>
                <w:spacing w:val="-3"/>
                <w:sz w:val="18"/>
                <w:szCs w:val="18"/>
              </w:rPr>
              <w:t>项目的实施地点从深圳市科技园科发路</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号金融服务技术创新基地</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栋</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6F</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变更至深圳市福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田区天安数码城天祥大厦 </w:t>
            </w:r>
            <w:r>
              <w:rPr>
                <w:rFonts w:ascii="Times New Roman" w:hAnsi="Times New Roman" w:cs="Times New Roman" w:eastAsia="Times New Roman" w:hint="default"/>
                <w:spacing w:val="-4"/>
                <w:sz w:val="18"/>
                <w:szCs w:val="18"/>
              </w:rPr>
              <w:t>AB  </w:t>
            </w:r>
            <w:r>
              <w:rPr>
                <w:rFonts w:ascii="宋体" w:hAnsi="宋体" w:cs="宋体" w:eastAsia="宋体" w:hint="default"/>
                <w:sz w:val="18"/>
                <w:szCs w:val="18"/>
              </w:rPr>
              <w:t>座</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10A</w:t>
            </w:r>
            <w:r>
              <w:rPr>
                <w:rFonts w:ascii="宋体" w:hAnsi="宋体" w:cs="宋体" w:eastAsia="宋体" w:hint="default"/>
                <w:spacing w:val="-3"/>
                <w:sz w:val="18"/>
                <w:szCs w:val="18"/>
              </w:rPr>
              <w:t>。独立董事和保荐机构均对本次变更发表了同意意见。</w:t>
            </w:r>
          </w:p>
        </w:tc>
      </w:tr>
      <w:tr>
        <w:trPr>
          <w:trHeight w:val="399"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实施方式调整情况</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4" w:right="151"/>
              <w:jc w:val="both"/>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先期投入及置换情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5"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日第一届董事会第十一次会议审议通过，公司以募集资金</w:t>
            </w:r>
          </w:p>
          <w:p>
            <w:pPr>
              <w:pStyle w:val="TableParagraph"/>
              <w:spacing w:line="302" w:lineRule="auto" w:before="58"/>
              <w:ind w:left="23" w:right="66"/>
              <w:jc w:val="both"/>
              <w:rPr>
                <w:rFonts w:ascii="宋体" w:hAnsi="宋体" w:cs="宋体" w:eastAsia="宋体" w:hint="default"/>
                <w:sz w:val="18"/>
                <w:szCs w:val="18"/>
              </w:rPr>
            </w:pPr>
            <w:r>
              <w:rPr>
                <w:rFonts w:ascii="Times New Roman" w:hAnsi="Times New Roman" w:cs="Times New Roman" w:eastAsia="Times New Roman" w:hint="default"/>
                <w:sz w:val="18"/>
                <w:szCs w:val="18"/>
              </w:rPr>
              <w:t>8,793,875.86 </w:t>
            </w:r>
            <w:r>
              <w:rPr>
                <w:rFonts w:ascii="宋体" w:hAnsi="宋体" w:cs="宋体" w:eastAsia="宋体" w:hint="default"/>
                <w:spacing w:val="-3"/>
                <w:sz w:val="18"/>
                <w:szCs w:val="18"/>
              </w:rPr>
              <w:t>元置换预先已投入募投项目的自筹资金。本次置换业经深圳市鹏城会计师事务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所有限公司核验并出具了深鹏所股专字</w:t>
            </w:r>
            <w:r>
              <w:rPr>
                <w:rFonts w:ascii="Times New Roman" w:hAnsi="Times New Roman" w:cs="Times New Roman" w:eastAsia="Times New Roman" w:hint="default"/>
                <w:sz w:val="18"/>
                <w:szCs w:val="18"/>
              </w:rPr>
              <w:t>[2010]438 </w:t>
            </w:r>
            <w:r>
              <w:rPr>
                <w:rFonts w:ascii="宋体" w:hAnsi="宋体" w:cs="宋体" w:eastAsia="宋体" w:hint="default"/>
                <w:spacing w:val="-3"/>
                <w:sz w:val="18"/>
                <w:szCs w:val="18"/>
              </w:rPr>
              <w:t>号鉴证报告。独立董事和保荐机构均对本</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次置换发表了同意意见。</w:t>
            </w:r>
          </w:p>
        </w:tc>
      </w:tr>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left="24" w:right="151"/>
              <w:jc w:val="both"/>
              <w:rPr>
                <w:rFonts w:ascii="宋体" w:hAnsi="宋体" w:cs="宋体" w:eastAsia="宋体" w:hint="default"/>
                <w:sz w:val="18"/>
                <w:szCs w:val="18"/>
              </w:rPr>
            </w:pPr>
            <w:r>
              <w:rPr>
                <w:rFonts w:ascii="宋体" w:hAnsi="宋体" w:cs="宋体" w:eastAsia="宋体" w:hint="default"/>
                <w:spacing w:val="-2"/>
                <w:sz w:val="18"/>
                <w:szCs w:val="18"/>
              </w:rPr>
              <w:t>用闲置募集资金暂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时补充流动资金情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89"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日第三届董事会第十三次会议决议审议通过，同意公司使用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4,000</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4"/>
                <w:sz w:val="18"/>
                <w:szCs w:val="18"/>
              </w:rPr>
              <w:t>万元超募资金暂时补充流动资金，使用期限自董事会审议通过之日起不超过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8"/>
                <w:sz w:val="18"/>
                <w:szCs w:val="18"/>
              </w:rPr>
              <w:t> </w:t>
            </w:r>
            <w:r>
              <w:rPr>
                <w:rFonts w:ascii="宋体" w:hAnsi="宋体" w:cs="宋体" w:eastAsia="宋体" w:hint="default"/>
                <w:spacing w:val="-6"/>
                <w:sz w:val="18"/>
                <w:szCs w:val="18"/>
              </w:rPr>
              <w:t>个月。公司于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月实际使用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万元超募资金暂时补充公司流动资金，并于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月全部归</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633"/>
        <w:gridCol w:w="725"/>
        <w:gridCol w:w="7217"/>
      </w:tblGrid>
      <w:tr>
        <w:trPr>
          <w:trHeight w:val="1964"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还至公司募集资金专户。</w:t>
            </w:r>
          </w:p>
          <w:p>
            <w:pPr>
              <w:pStyle w:val="TableParagraph"/>
              <w:spacing w:line="309" w:lineRule="auto" w:before="110"/>
              <w:ind w:left="23" w:right="17" w:firstLine="360"/>
              <w:jc w:val="both"/>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2018</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年</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4 </w:t>
            </w:r>
            <w:r>
              <w:rPr>
                <w:rFonts w:ascii="宋体" w:hAnsi="宋体" w:cs="宋体" w:eastAsia="宋体" w:hint="default"/>
                <w:w w:val="101"/>
                <w:sz w:val="18"/>
                <w:szCs w:val="18"/>
              </w:rPr>
              <w:t>月</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7"/>
                <w:w w:val="101"/>
                <w:sz w:val="18"/>
                <w:szCs w:val="18"/>
              </w:rPr>
              <w:t>日第四届董事会第八次会议审议通过，同意公司使用</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1"/>
                <w:w w:val="101"/>
                <w:sz w:val="18"/>
                <w:szCs w:val="18"/>
              </w:rPr>
              <w:t>10,000</w:t>
            </w:r>
            <w:r>
              <w:rPr>
                <w:rFonts w:ascii="Times New Roman" w:hAnsi="Times New Roman" w:cs="Times New Roman" w:eastAsia="Times New Roman" w:hint="default"/>
                <w:spacing w:val="-4"/>
                <w:w w:val="101"/>
                <w:sz w:val="18"/>
                <w:szCs w:val="18"/>
              </w:rPr>
              <w:t> </w:t>
            </w:r>
            <w:r>
              <w:rPr>
                <w:rFonts w:ascii="宋体" w:hAnsi="宋体" w:cs="宋体" w:eastAsia="宋体" w:hint="default"/>
                <w:w w:val="101"/>
                <w:sz w:val="18"/>
                <w:szCs w:val="18"/>
              </w:rPr>
              <w:t>万元 </w:t>
            </w:r>
            <w:r>
              <w:rPr>
                <w:rFonts w:ascii="宋体" w:hAnsi="宋体" w:cs="宋体" w:eastAsia="宋体" w:hint="default"/>
                <w:spacing w:val="-4"/>
                <w:sz w:val="18"/>
                <w:szCs w:val="18"/>
              </w:rPr>
              <w:t>闲置非公开发行股票募集资金暂时补充流动资金，使用期限自董事会审议通过之日起不超过</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个月。公司于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8</w:t>
            </w:r>
            <w:r>
              <w:rPr>
                <w:rFonts w:ascii="Times New Roman" w:hAnsi="Times New Roman" w:cs="Times New Roman" w:eastAsia="Times New Roman" w:hint="default"/>
                <w:sz w:val="18"/>
                <w:szCs w:val="18"/>
              </w:rPr>
              <w:t> </w:t>
            </w:r>
            <w:r>
              <w:rPr>
                <w:rFonts w:ascii="宋体" w:hAnsi="宋体" w:cs="宋体" w:eastAsia="宋体" w:hint="default"/>
                <w:sz w:val="18"/>
                <w:szCs w:val="18"/>
              </w:rPr>
              <w:t>月实际使用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6,873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1,900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1,227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万元闲置</w:t>
            </w:r>
          </w:p>
          <w:p>
            <w:pPr>
              <w:pStyle w:val="TableParagraph"/>
              <w:spacing w:line="304" w:lineRule="auto" w:before="5"/>
              <w:ind w:left="23" w:right="17"/>
              <w:jc w:val="left"/>
              <w:rPr>
                <w:rFonts w:ascii="宋体" w:hAnsi="宋体" w:cs="宋体" w:eastAsia="宋体" w:hint="default"/>
                <w:sz w:val="18"/>
                <w:szCs w:val="18"/>
              </w:rPr>
            </w:pPr>
            <w:r>
              <w:rPr>
                <w:rFonts w:ascii="宋体" w:hAnsi="宋体" w:cs="宋体" w:eastAsia="宋体" w:hint="default"/>
                <w:spacing w:val="-4"/>
                <w:sz w:val="18"/>
                <w:szCs w:val="18"/>
              </w:rPr>
              <w:t>募集资金暂时补充公司流动资金。以上暂时补充流动资金的募集资金公司已于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宋体" w:hAnsi="宋体" w:cs="宋体" w:eastAsia="宋体" w:hint="default"/>
                <w:spacing w:val="-3"/>
                <w:sz w:val="18"/>
                <w:szCs w:val="18"/>
              </w:rPr>
              <w:t>全部归还至公司募集资金专户。</w:t>
            </w:r>
          </w:p>
        </w:tc>
      </w:tr>
      <w:tr>
        <w:trPr>
          <w:trHeight w:val="398"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项目实施出现募集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资金结余的金额及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原因</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
        </w:tc>
      </w:tr>
      <w:tr>
        <w:trPr>
          <w:trHeight w:val="2631"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4" w:right="151"/>
              <w:jc w:val="left"/>
              <w:rPr>
                <w:rFonts w:ascii="宋体" w:hAnsi="宋体" w:cs="宋体" w:eastAsia="宋体" w:hint="default"/>
                <w:sz w:val="18"/>
                <w:szCs w:val="18"/>
              </w:rPr>
            </w:pPr>
            <w:r>
              <w:rPr>
                <w:rFonts w:ascii="宋体" w:hAnsi="宋体" w:cs="宋体" w:eastAsia="宋体" w:hint="default"/>
                <w:spacing w:val="-2"/>
                <w:sz w:val="18"/>
                <w:szCs w:val="18"/>
              </w:rPr>
              <w:t>尚未使用的募集资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金用途及去向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12" w:firstLine="360"/>
              <w:jc w:val="left"/>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66"/>
                <w:w w:val="101"/>
                <w:sz w:val="18"/>
                <w:szCs w:val="18"/>
              </w:rPr>
              <w:t> </w:t>
            </w:r>
            <w:r>
              <w:rPr>
                <w:rFonts w:ascii="Times New Roman" w:hAnsi="Times New Roman" w:cs="Times New Roman" w:eastAsia="Times New Roman" w:hint="default"/>
                <w:spacing w:val="-2"/>
                <w:w w:val="101"/>
                <w:sz w:val="18"/>
                <w:szCs w:val="18"/>
              </w:rPr>
              <w:t>2017</w:t>
            </w:r>
            <w:r>
              <w:rPr>
                <w:rFonts w:ascii="Times New Roman" w:hAnsi="Times New Roman" w:cs="Times New Roman" w:eastAsia="Times New Roman" w:hint="default"/>
                <w:spacing w:val="-22"/>
                <w:w w:val="101"/>
                <w:sz w:val="18"/>
                <w:szCs w:val="18"/>
              </w:rPr>
              <w:t> </w:t>
            </w:r>
            <w:r>
              <w:rPr>
                <w:rFonts w:ascii="宋体" w:hAnsi="宋体" w:cs="宋体" w:eastAsia="宋体" w:hint="default"/>
                <w:w w:val="101"/>
                <w:sz w:val="18"/>
                <w:szCs w:val="18"/>
              </w:rPr>
              <w:t>年</w:t>
            </w:r>
            <w:r>
              <w:rPr>
                <w:rFonts w:ascii="宋体" w:hAnsi="宋体" w:cs="宋体" w:eastAsia="宋体" w:hint="default"/>
                <w:spacing w:val="-66"/>
                <w:w w:val="101"/>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1"/>
                <w:w w:val="101"/>
                <w:sz w:val="18"/>
                <w:szCs w:val="18"/>
              </w:rPr>
              <w:t> </w:t>
            </w:r>
            <w:r>
              <w:rPr>
                <w:rFonts w:ascii="宋体" w:hAnsi="宋体" w:cs="宋体" w:eastAsia="宋体" w:hint="default"/>
                <w:w w:val="101"/>
                <w:sz w:val="18"/>
                <w:szCs w:val="18"/>
              </w:rPr>
              <w:t>月</w:t>
            </w:r>
            <w:r>
              <w:rPr>
                <w:rFonts w:ascii="宋体" w:hAnsi="宋体" w:cs="宋体" w:eastAsia="宋体" w:hint="default"/>
                <w:spacing w:val="-66"/>
                <w:w w:val="101"/>
                <w:sz w:val="18"/>
                <w:szCs w:val="18"/>
              </w:rPr>
              <w:t> </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21"/>
                <w:w w:val="101"/>
                <w:sz w:val="18"/>
                <w:szCs w:val="18"/>
              </w:rPr>
              <w:t> </w:t>
            </w:r>
            <w:r>
              <w:rPr>
                <w:rFonts w:ascii="宋体" w:hAnsi="宋体" w:cs="宋体" w:eastAsia="宋体" w:hint="default"/>
                <w:spacing w:val="-6"/>
                <w:w w:val="101"/>
                <w:sz w:val="18"/>
                <w:szCs w:val="18"/>
              </w:rPr>
              <w:t>日第四届董事会第五次会议审议通过，同意公司使用不超过</w:t>
            </w:r>
            <w:r>
              <w:rPr>
                <w:rFonts w:ascii="宋体" w:hAnsi="宋体" w:cs="宋体" w:eastAsia="宋体" w:hint="default"/>
                <w:spacing w:val="-65"/>
                <w:w w:val="101"/>
                <w:sz w:val="18"/>
                <w:szCs w:val="18"/>
              </w:rPr>
              <w:t> </w:t>
            </w:r>
            <w:r>
              <w:rPr>
                <w:rFonts w:ascii="Times New Roman" w:hAnsi="Times New Roman" w:cs="Times New Roman" w:eastAsia="Times New Roman" w:hint="default"/>
                <w:spacing w:val="-1"/>
                <w:w w:val="101"/>
                <w:sz w:val="18"/>
                <w:szCs w:val="18"/>
              </w:rPr>
              <w:t>16,000</w:t>
            </w:r>
            <w:r>
              <w:rPr>
                <w:rFonts w:ascii="Times New Roman" w:hAnsi="Times New Roman" w:cs="Times New Roman" w:eastAsia="Times New Roman" w:hint="default"/>
                <w:w w:val="101"/>
                <w:sz w:val="18"/>
                <w:szCs w:val="18"/>
              </w:rPr>
              <w:t> </w:t>
            </w:r>
            <w:r>
              <w:rPr>
                <w:rFonts w:ascii="宋体" w:hAnsi="宋体" w:cs="宋体" w:eastAsia="宋体" w:hint="default"/>
                <w:spacing w:val="-4"/>
                <w:sz w:val="18"/>
                <w:szCs w:val="18"/>
              </w:rPr>
              <w:t>万元的暂时闲置募集资金进行现金管理。鉴于前述使用闲置募集资金进行现金管理的期限已</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到期，公司已于到期日前将上述用于现金管理的募集资金全部归还至公司募集资金专用账</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户。</w:t>
            </w:r>
          </w:p>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日第四届董事会第十三次会议审议通过，同意公司继续使用不超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过 </w:t>
            </w:r>
            <w:r>
              <w:rPr>
                <w:rFonts w:ascii="Times New Roman" w:hAnsi="Times New Roman" w:cs="Times New Roman" w:eastAsia="Times New Roman" w:hint="default"/>
                <w:sz w:val="18"/>
                <w:szCs w:val="18"/>
              </w:rPr>
              <w:t>16,000  </w:t>
            </w:r>
            <w:r>
              <w:rPr>
                <w:rFonts w:ascii="宋体" w:hAnsi="宋体" w:cs="宋体" w:eastAsia="宋体" w:hint="default"/>
                <w:spacing w:val="-5"/>
                <w:sz w:val="18"/>
                <w:szCs w:val="18"/>
              </w:rPr>
              <w:t>万元的暂时闲置募集资金进行现金管理。截至报告期末，公司使用暂时闲置募集资</w:t>
            </w:r>
          </w:p>
          <w:p>
            <w:pPr>
              <w:pStyle w:val="TableParagraph"/>
              <w:spacing w:line="304" w:lineRule="auto" w:before="63"/>
              <w:ind w:left="23" w:right="18"/>
              <w:jc w:val="left"/>
              <w:rPr>
                <w:rFonts w:ascii="宋体" w:hAnsi="宋体" w:cs="宋体" w:eastAsia="宋体" w:hint="default"/>
                <w:sz w:val="18"/>
                <w:szCs w:val="18"/>
              </w:rPr>
            </w:pPr>
            <w:r>
              <w:rPr>
                <w:rFonts w:ascii="宋体" w:hAnsi="宋体" w:cs="宋体" w:eastAsia="宋体" w:hint="default"/>
                <w:spacing w:val="-3"/>
                <w:w w:val="101"/>
                <w:sz w:val="18"/>
                <w:szCs w:val="18"/>
              </w:rPr>
              <w:t>金进行现金管理未到期金额共计</w:t>
            </w:r>
            <w:r>
              <w:rPr>
                <w:rFonts w:ascii="宋体" w:hAnsi="宋体" w:cs="宋体" w:eastAsia="宋体" w:hint="default"/>
                <w:spacing w:val="-34"/>
                <w:w w:val="101"/>
                <w:sz w:val="18"/>
                <w:szCs w:val="18"/>
              </w:rPr>
              <w:t> </w:t>
            </w:r>
            <w:r>
              <w:rPr>
                <w:rFonts w:ascii="Times New Roman" w:hAnsi="Times New Roman" w:cs="Times New Roman" w:eastAsia="Times New Roman" w:hint="default"/>
                <w:spacing w:val="-1"/>
                <w:w w:val="101"/>
                <w:sz w:val="18"/>
                <w:szCs w:val="18"/>
              </w:rPr>
              <w:t>16,700</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7"/>
                <w:w w:val="101"/>
                <w:sz w:val="18"/>
                <w:szCs w:val="18"/>
              </w:rPr>
              <w:t>万元，其余尚未使用的募集资金均存放在公司募集资</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z w:val="18"/>
                <w:szCs w:val="18"/>
              </w:rPr>
              <w:t>金专用账户。</w:t>
            </w:r>
          </w:p>
        </w:tc>
      </w:tr>
      <w:tr>
        <w:trPr>
          <w:trHeight w:val="320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51"/>
              <w:jc w:val="both"/>
              <w:rPr>
                <w:rFonts w:ascii="宋体" w:hAnsi="宋体" w:cs="宋体" w:eastAsia="宋体" w:hint="default"/>
                <w:sz w:val="18"/>
                <w:szCs w:val="18"/>
              </w:rPr>
            </w:pPr>
            <w:r>
              <w:rPr>
                <w:rFonts w:ascii="宋体" w:hAnsi="宋体" w:cs="宋体" w:eastAsia="宋体" w:hint="default"/>
                <w:spacing w:val="-2"/>
                <w:sz w:val="18"/>
                <w:szCs w:val="18"/>
              </w:rPr>
              <w:t>募集资金使用及披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露中存在的问题或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其他情况</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日召开第四届董事会第十三次会议及第四届监事会第十一次会议</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审议通过，同意公司继续使用不超过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万元的暂时闲置募集资金进行现金管理。</w:t>
            </w:r>
            <w:r>
              <w:rPr>
                <w:rFonts w:ascii="Times New Roman" w:hAnsi="Times New Roman" w:cs="Times New Roman" w:eastAsia="Times New Roman" w:hint="default"/>
                <w:sz w:val="18"/>
                <w:szCs w:val="18"/>
              </w:rPr>
              <w:t>2018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4"/>
                <w:sz w:val="18"/>
                <w:szCs w:val="18"/>
              </w:rPr>
              <w:t>日期间，公司使用暂时闲置募集资金进行现金管理的资金总</w:t>
            </w:r>
          </w:p>
          <w:p>
            <w:pPr>
              <w:pStyle w:val="TableParagraph"/>
              <w:spacing w:line="312"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额达到</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16,700</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万元，超出董事会授权额度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7"/>
                <w:sz w:val="18"/>
                <w:szCs w:val="18"/>
              </w:rPr>
              <w:t> </w:t>
            </w:r>
            <w:r>
              <w:rPr>
                <w:rFonts w:ascii="宋体" w:hAnsi="宋体" w:cs="宋体" w:eastAsia="宋体" w:hint="default"/>
                <w:spacing w:val="-13"/>
                <w:sz w:val="18"/>
                <w:szCs w:val="18"/>
              </w:rPr>
              <w:t>万元。经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日第四届董事会第十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六次会议审议通过，鉴于以上超出额度使用闲置募集资金进行现金管理是出于充分发挥资金</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4"/>
                <w:sz w:val="18"/>
                <w:szCs w:val="18"/>
              </w:rPr>
              <w:t>使用效率的目的，且超额部分的资金已于理财产品到期后收回，未对募集资金投资项目的实</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施及公司经营产生不良影响，同意对超额 </w:t>
            </w:r>
            <w:r>
              <w:rPr>
                <w:rFonts w:ascii="Times New Roman" w:hAnsi="Times New Roman" w:cs="Times New Roman" w:eastAsia="Times New Roman" w:hint="default"/>
                <w:sz w:val="18"/>
                <w:szCs w:val="18"/>
              </w:rPr>
              <w:t>700  </w:t>
            </w:r>
            <w:r>
              <w:rPr>
                <w:rFonts w:ascii="宋体" w:hAnsi="宋体" w:cs="宋体" w:eastAsia="宋体" w:hint="default"/>
                <w:spacing w:val="-3"/>
                <w:sz w:val="18"/>
                <w:szCs w:val="18"/>
              </w:rPr>
              <w:t>万元进行现金管理事项予以追认，并将</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2018</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日第四届董事会第十三次会议通过的使用闲置募集资金进行现金管理的额度由</w:t>
            </w:r>
          </w:p>
          <w:p>
            <w:pPr>
              <w:pStyle w:val="TableParagraph"/>
              <w:spacing w:line="304" w:lineRule="auto" w:before="63"/>
              <w:ind w:left="23" w:right="18"/>
              <w:jc w:val="both"/>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16,000</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2"/>
                <w:w w:val="101"/>
                <w:sz w:val="18"/>
                <w:szCs w:val="18"/>
              </w:rPr>
              <w:t>万元调整为</w:t>
            </w:r>
            <w:r>
              <w:rPr>
                <w:rFonts w:ascii="宋体" w:hAnsi="宋体" w:cs="宋体" w:eastAsia="宋体" w:hint="default"/>
                <w:spacing w:val="-42"/>
                <w:w w:val="101"/>
                <w:sz w:val="18"/>
                <w:szCs w:val="18"/>
              </w:rPr>
              <w:t> </w:t>
            </w:r>
            <w:r>
              <w:rPr>
                <w:rFonts w:ascii="Times New Roman" w:hAnsi="Times New Roman" w:cs="Times New Roman" w:eastAsia="Times New Roman" w:hint="default"/>
                <w:spacing w:val="-1"/>
                <w:w w:val="101"/>
                <w:sz w:val="18"/>
                <w:szCs w:val="18"/>
              </w:rPr>
              <w:t>17,000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6"/>
                <w:w w:val="101"/>
                <w:sz w:val="18"/>
                <w:szCs w:val="18"/>
              </w:rPr>
              <w:t>万元，授权有效期及循环滚动累计发生额等其他权限维持原有标准</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不变。</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pStyle w:val="BodyText"/>
        <w:spacing w:line="410" w:lineRule="auto"/>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spacing w:line="240" w:lineRule="auto" w:before="10"/>
        <w:rPr>
          <w:rFonts w:ascii="宋体" w:hAnsi="宋体" w:cs="宋体" w:eastAsia="宋体" w:hint="default"/>
          <w:sz w:val="20"/>
          <w:szCs w:val="20"/>
        </w:rPr>
      </w:pPr>
    </w:p>
    <w:p>
      <w:pPr>
        <w:pStyle w:val="Heading2"/>
        <w:spacing w:line="240" w:lineRule="auto"/>
        <w:ind w:right="1055"/>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pict>
          <v:shape style="position:absolute;margin-left:242.740005pt;margin-top:17.233713pt;width:37.75pt;height:66.55pt;mso-position-horizontal-relative:page;mso-position-vertical-relative:paragraph;z-index:-8213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0" w:right="0"/>
                    <w:jc w:val="left"/>
                  </w:pPr>
                  <w:r>
                    <w:rPr>
                      <w:w w:val="101"/>
                    </w:rPr>
                    <w:t>）</w:t>
                  </w:r>
                  <w:r>
                    <w:rPr/>
                  </w:r>
                </w:p>
              </w:txbxContent>
            </v:textbox>
            <w10:wrap type="none"/>
          </v:shape>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38"/>
        <w:gridCol w:w="639"/>
        <w:gridCol w:w="644"/>
        <w:gridCol w:w="638"/>
        <w:gridCol w:w="639"/>
        <w:gridCol w:w="638"/>
        <w:gridCol w:w="644"/>
        <w:gridCol w:w="638"/>
        <w:gridCol w:w="639"/>
        <w:gridCol w:w="634"/>
        <w:gridCol w:w="639"/>
        <w:gridCol w:w="638"/>
        <w:gridCol w:w="639"/>
        <w:gridCol w:w="638"/>
        <w:gridCol w:w="634"/>
      </w:tblGrid>
      <w:tr>
        <w:trPr>
          <w:trHeight w:val="1340"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5" w:right="41" w:hanging="183"/>
              <w:jc w:val="left"/>
              <w:rPr>
                <w:rFonts w:ascii="宋体" w:hAnsi="宋体" w:cs="宋体" w:eastAsia="宋体" w:hint="default"/>
                <w:sz w:val="18"/>
                <w:szCs w:val="18"/>
              </w:rPr>
            </w:pPr>
            <w:r>
              <w:rPr>
                <w:rFonts w:ascii="宋体" w:hAnsi="宋体" w:cs="宋体" w:eastAsia="宋体" w:hint="default"/>
                <w:sz w:val="18"/>
                <w:szCs w:val="18"/>
              </w:rPr>
              <w:t>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34" w:right="36" w:hanging="87"/>
              <w:jc w:val="left"/>
              <w:rPr>
                <w:rFonts w:ascii="宋体" w:hAnsi="宋体" w:cs="宋体" w:eastAsia="宋体" w:hint="default"/>
                <w:sz w:val="18"/>
                <w:szCs w:val="18"/>
              </w:rPr>
            </w:pPr>
            <w:r>
              <w:rPr>
                <w:rFonts w:ascii="宋体" w:hAnsi="宋体" w:cs="宋体" w:eastAsia="宋体" w:hint="default"/>
                <w:sz w:val="18"/>
                <w:szCs w:val="18"/>
              </w:rPr>
              <w:t>被出售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8" w:right="36"/>
              <w:jc w:val="both"/>
              <w:rPr>
                <w:rFonts w:ascii="宋体" w:hAnsi="宋体" w:cs="宋体" w:eastAsia="宋体" w:hint="default"/>
                <w:sz w:val="18"/>
                <w:szCs w:val="18"/>
              </w:rPr>
            </w:pPr>
            <w:r>
              <w:rPr>
                <w:rFonts w:ascii="宋体" w:hAnsi="宋体" w:cs="宋体" w:eastAsia="宋体" w:hint="default"/>
                <w:spacing w:val="-4"/>
                <w:sz w:val="18"/>
                <w:szCs w:val="18"/>
              </w:rPr>
              <w:t>交易价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3" w:right="41"/>
              <w:jc w:val="both"/>
              <w:rPr>
                <w:rFonts w:ascii="宋体" w:hAnsi="宋体" w:cs="宋体" w:eastAsia="宋体" w:hint="default"/>
                <w:sz w:val="18"/>
                <w:szCs w:val="18"/>
              </w:rPr>
            </w:pPr>
            <w:r>
              <w:rPr>
                <w:rFonts w:ascii="宋体" w:hAnsi="宋体" w:cs="宋体" w:eastAsia="宋体" w:hint="default"/>
                <w:sz w:val="18"/>
                <w:szCs w:val="18"/>
              </w:rPr>
              <w:t>本期初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起至出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售日该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资产为</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both"/>
              <w:rPr>
                <w:rFonts w:ascii="宋体" w:hAnsi="宋体" w:cs="宋体" w:eastAsia="宋体" w:hint="default"/>
                <w:sz w:val="18"/>
                <w:szCs w:val="18"/>
              </w:rPr>
            </w:pPr>
            <w:r>
              <w:rPr>
                <w:rFonts w:ascii="宋体" w:hAnsi="宋体" w:cs="宋体" w:eastAsia="宋体" w:hint="default"/>
                <w:sz w:val="18"/>
                <w:szCs w:val="18"/>
              </w:rPr>
              <w:t>出售对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w:t>
            </w:r>
          </w:p>
          <w:p>
            <w:pPr>
              <w:pStyle w:val="TableParagraph"/>
              <w:spacing w:line="240" w:lineRule="auto" w:before="2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3" w:right="46"/>
              <w:jc w:val="both"/>
              <w:rPr>
                <w:rFonts w:ascii="宋体" w:hAnsi="宋体" w:cs="宋体" w:eastAsia="宋体" w:hint="default"/>
                <w:sz w:val="18"/>
                <w:szCs w:val="18"/>
              </w:rPr>
            </w:pPr>
            <w:r>
              <w:rPr>
                <w:rFonts w:ascii="宋体" w:hAnsi="宋体" w:cs="宋体" w:eastAsia="宋体" w:hint="default"/>
                <w:sz w:val="18"/>
                <w:szCs w:val="18"/>
              </w:rPr>
              <w:t>资产出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贡献的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 w:right="41"/>
              <w:jc w:val="both"/>
              <w:rPr>
                <w:rFonts w:ascii="宋体" w:hAnsi="宋体" w:cs="宋体" w:eastAsia="宋体" w:hint="default"/>
                <w:sz w:val="18"/>
                <w:szCs w:val="18"/>
              </w:rPr>
            </w:pPr>
            <w:r>
              <w:rPr>
                <w:rFonts w:ascii="宋体" w:hAnsi="宋体" w:cs="宋体" w:eastAsia="宋体" w:hint="default"/>
                <w:sz w:val="18"/>
                <w:szCs w:val="18"/>
              </w:rPr>
              <w:t>资产出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3" w:right="41"/>
              <w:jc w:val="center"/>
              <w:rPr>
                <w:rFonts w:ascii="宋体" w:hAnsi="宋体" w:cs="宋体" w:eastAsia="宋体" w:hint="default"/>
                <w:sz w:val="18"/>
                <w:szCs w:val="18"/>
              </w:rPr>
            </w:pPr>
            <w:r>
              <w:rPr>
                <w:rFonts w:ascii="宋体" w:hAnsi="宋体" w:cs="宋体" w:eastAsia="宋体" w:hint="default"/>
                <w:spacing w:val="-2"/>
                <w:sz w:val="18"/>
                <w:szCs w:val="18"/>
              </w:rPr>
              <w:t>是否为</w:t>
            </w:r>
            <w:r>
              <w:rPr>
                <w:rFonts w:ascii="宋体" w:hAnsi="宋体" w:cs="宋体" w:eastAsia="宋体" w:hint="default"/>
                <w:w w:val="101"/>
                <w:sz w:val="18"/>
                <w:szCs w:val="18"/>
              </w:rPr>
              <w:t> </w:t>
            </w:r>
            <w:r>
              <w:rPr>
                <w:rFonts w:ascii="宋体" w:hAnsi="宋体" w:cs="宋体" w:eastAsia="宋体" w:hint="default"/>
                <w:spacing w:val="-2"/>
                <w:sz w:val="18"/>
                <w:szCs w:val="18"/>
              </w:rPr>
              <w:t>关联交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3" w:right="36"/>
              <w:jc w:val="both"/>
              <w:rPr>
                <w:rFonts w:ascii="宋体" w:hAnsi="宋体" w:cs="宋体" w:eastAsia="宋体" w:hint="default"/>
                <w:sz w:val="18"/>
                <w:szCs w:val="18"/>
              </w:rPr>
            </w:pPr>
            <w:r>
              <w:rPr>
                <w:rFonts w:ascii="宋体" w:hAnsi="宋体" w:cs="宋体" w:eastAsia="宋体" w:hint="default"/>
                <w:sz w:val="18"/>
                <w:szCs w:val="18"/>
              </w:rPr>
              <w:t>与交易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系（适</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8" w:right="36"/>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否已全</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3" w:right="41"/>
              <w:jc w:val="both"/>
              <w:rPr>
                <w:rFonts w:ascii="宋体" w:hAnsi="宋体" w:cs="宋体" w:eastAsia="宋体" w:hint="default"/>
                <w:sz w:val="18"/>
                <w:szCs w:val="18"/>
              </w:rPr>
            </w:pPr>
            <w:r>
              <w:rPr>
                <w:rFonts w:ascii="宋体" w:hAnsi="宋体" w:cs="宋体" w:eastAsia="宋体" w:hint="default"/>
                <w:sz w:val="18"/>
                <w:szCs w:val="18"/>
              </w:rPr>
              <w:t>所涉及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的债权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债务是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否已全</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3" w:right="41"/>
              <w:jc w:val="center"/>
              <w:rPr>
                <w:rFonts w:ascii="宋体" w:hAnsi="宋体" w:cs="宋体" w:eastAsia="宋体" w:hint="default"/>
                <w:sz w:val="18"/>
                <w:szCs w:val="18"/>
              </w:rPr>
            </w:pPr>
            <w:r>
              <w:rPr>
                <w:rFonts w:ascii="宋体" w:hAnsi="宋体" w:cs="宋体" w:eastAsia="宋体" w:hint="default"/>
                <w:spacing w:val="-2"/>
                <w:sz w:val="18"/>
                <w:szCs w:val="18"/>
              </w:rPr>
              <w:t>是否按</w:t>
            </w:r>
            <w:r>
              <w:rPr>
                <w:rFonts w:ascii="宋体" w:hAnsi="宋体" w:cs="宋体" w:eastAsia="宋体" w:hint="default"/>
                <w:w w:val="101"/>
                <w:sz w:val="18"/>
                <w:szCs w:val="18"/>
              </w:rPr>
              <w:t> </w:t>
            </w:r>
            <w:r>
              <w:rPr>
                <w:rFonts w:ascii="宋体" w:hAnsi="宋体" w:cs="宋体" w:eastAsia="宋体" w:hint="default"/>
                <w:spacing w:val="-2"/>
                <w:sz w:val="18"/>
                <w:szCs w:val="18"/>
              </w:rPr>
              <w:t>计划如</w:t>
            </w:r>
            <w:r>
              <w:rPr>
                <w:rFonts w:ascii="宋体" w:hAnsi="宋体" w:cs="宋体" w:eastAsia="宋体" w:hint="default"/>
                <w:w w:val="101"/>
                <w:sz w:val="18"/>
                <w:szCs w:val="18"/>
              </w:rPr>
              <w:t> </w:t>
            </w:r>
            <w:r>
              <w:rPr>
                <w:rFonts w:ascii="宋体" w:hAnsi="宋体" w:cs="宋体" w:eastAsia="宋体" w:hint="default"/>
                <w:sz w:val="18"/>
                <w:szCs w:val="18"/>
              </w:rPr>
              <w:t>期实</w:t>
            </w:r>
            <w:r>
              <w:rPr>
                <w:rFonts w:ascii="宋体" w:hAnsi="宋体" w:cs="宋体" w:eastAsia="宋体" w:hint="default"/>
                <w:w w:val="101"/>
                <w:sz w:val="18"/>
                <w:szCs w:val="18"/>
              </w:rPr>
              <w:t> </w:t>
            </w:r>
            <w:r>
              <w:rPr>
                <w:rFonts w:ascii="宋体" w:hAnsi="宋体" w:cs="宋体" w:eastAsia="宋体" w:hint="default"/>
                <w:spacing w:val="-2"/>
                <w:sz w:val="18"/>
                <w:szCs w:val="18"/>
              </w:rPr>
              <w:t>施，如</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5" w:right="41"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1" w:right="36" w:hanging="179"/>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bl>
    <w:p>
      <w:pPr>
        <w:spacing w:after="0" w:line="316"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38"/>
        <w:gridCol w:w="639"/>
        <w:gridCol w:w="644"/>
        <w:gridCol w:w="638"/>
        <w:gridCol w:w="639"/>
        <w:gridCol w:w="638"/>
        <w:gridCol w:w="644"/>
        <w:gridCol w:w="638"/>
        <w:gridCol w:w="639"/>
        <w:gridCol w:w="634"/>
        <w:gridCol w:w="639"/>
        <w:gridCol w:w="638"/>
        <w:gridCol w:w="639"/>
        <w:gridCol w:w="638"/>
        <w:gridCol w:w="634"/>
      </w:tblGrid>
      <w:tr>
        <w:trPr>
          <w:trHeight w:val="2545"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3" w:right="41"/>
              <w:jc w:val="both"/>
              <w:rPr>
                <w:rFonts w:ascii="宋体" w:hAnsi="宋体" w:cs="宋体" w:eastAsia="宋体" w:hint="default"/>
                <w:sz w:val="18"/>
                <w:szCs w:val="18"/>
              </w:rPr>
            </w:pP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司贡献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3" w:right="46"/>
              <w:jc w:val="both"/>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的比例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3" w:right="36"/>
              <w:jc w:val="both"/>
              <w:rPr>
                <w:rFonts w:ascii="宋体" w:hAnsi="宋体" w:cs="宋体" w:eastAsia="宋体" w:hint="default"/>
                <w:sz w:val="18"/>
                <w:szCs w:val="18"/>
              </w:rPr>
            </w:pPr>
            <w:r>
              <w:rPr>
                <w:rFonts w:ascii="宋体" w:hAnsi="宋体" w:cs="宋体" w:eastAsia="宋体" w:hint="default"/>
                <w:sz w:val="18"/>
                <w:szCs w:val="18"/>
              </w:rPr>
              <w:t>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8" w:right="0"/>
              <w:jc w:val="left"/>
              <w:rPr>
                <w:rFonts w:ascii="宋体" w:hAnsi="宋体" w:cs="宋体" w:eastAsia="宋体" w:hint="default"/>
                <w:sz w:val="18"/>
                <w:szCs w:val="18"/>
              </w:rPr>
            </w:pPr>
            <w:r>
              <w:rPr>
                <w:rFonts w:ascii="宋体" w:hAnsi="宋体" w:cs="宋体" w:eastAsia="宋体" w:hint="default"/>
                <w:sz w:val="18"/>
                <w:szCs w:val="18"/>
              </w:rPr>
              <w:t>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3" w:right="0"/>
              <w:jc w:val="left"/>
              <w:rPr>
                <w:rFonts w:ascii="宋体" w:hAnsi="宋体" w:cs="宋体" w:eastAsia="宋体" w:hint="default"/>
                <w:sz w:val="18"/>
                <w:szCs w:val="18"/>
              </w:rPr>
            </w:pPr>
            <w:r>
              <w:rPr>
                <w:rFonts w:ascii="宋体" w:hAnsi="宋体" w:cs="宋体" w:eastAsia="宋体" w:hint="default"/>
                <w:sz w:val="18"/>
                <w:szCs w:val="18"/>
              </w:rPr>
              <w:t>部转移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3" w:right="41"/>
              <w:jc w:val="center"/>
              <w:rPr>
                <w:rFonts w:ascii="宋体" w:hAnsi="宋体" w:cs="宋体" w:eastAsia="宋体" w:hint="default"/>
                <w:sz w:val="18"/>
                <w:szCs w:val="18"/>
              </w:rPr>
            </w:pPr>
            <w:r>
              <w:rPr>
                <w:rFonts w:ascii="宋体" w:hAnsi="宋体" w:cs="宋体" w:eastAsia="宋体" w:hint="default"/>
                <w:spacing w:val="-2"/>
                <w:sz w:val="18"/>
                <w:szCs w:val="18"/>
              </w:rPr>
              <w:t>未按计</w:t>
            </w:r>
            <w:r>
              <w:rPr>
                <w:rFonts w:ascii="宋体" w:hAnsi="宋体" w:cs="宋体" w:eastAsia="宋体" w:hint="default"/>
                <w:w w:val="101"/>
                <w:sz w:val="18"/>
                <w:szCs w:val="18"/>
              </w:rPr>
              <w:t> </w:t>
            </w:r>
            <w:r>
              <w:rPr>
                <w:rFonts w:ascii="宋体" w:hAnsi="宋体" w:cs="宋体" w:eastAsia="宋体" w:hint="default"/>
                <w:sz w:val="18"/>
                <w:szCs w:val="18"/>
              </w:rPr>
              <w:t>划实</w:t>
            </w:r>
            <w:r>
              <w:rPr>
                <w:rFonts w:ascii="宋体" w:hAnsi="宋体" w:cs="宋体" w:eastAsia="宋体" w:hint="default"/>
                <w:w w:val="101"/>
                <w:sz w:val="18"/>
                <w:szCs w:val="18"/>
              </w:rPr>
              <w:t> </w:t>
            </w:r>
            <w:r>
              <w:rPr>
                <w:rFonts w:ascii="宋体" w:hAnsi="宋体" w:cs="宋体" w:eastAsia="宋体" w:hint="default"/>
                <w:spacing w:val="-2"/>
                <w:sz w:val="18"/>
                <w:szCs w:val="18"/>
              </w:rPr>
              <w:t>施，应</w:t>
            </w:r>
            <w:r>
              <w:rPr>
                <w:rFonts w:ascii="宋体" w:hAnsi="宋体" w:cs="宋体" w:eastAsia="宋体" w:hint="default"/>
                <w:w w:val="101"/>
                <w:sz w:val="18"/>
                <w:szCs w:val="18"/>
              </w:rPr>
              <w:t> </w:t>
            </w:r>
            <w:r>
              <w:rPr>
                <w:rFonts w:ascii="宋体" w:hAnsi="宋体" w:cs="宋体" w:eastAsia="宋体" w:hint="default"/>
                <w:spacing w:val="-2"/>
                <w:sz w:val="18"/>
                <w:szCs w:val="18"/>
              </w:rPr>
              <w:t>当说明</w:t>
            </w:r>
            <w:r>
              <w:rPr>
                <w:rFonts w:ascii="宋体" w:hAnsi="宋体" w:cs="宋体" w:eastAsia="宋体" w:hint="default"/>
                <w:w w:val="101"/>
                <w:sz w:val="18"/>
                <w:szCs w:val="18"/>
              </w:rPr>
              <w:t> </w:t>
            </w:r>
            <w:r>
              <w:rPr>
                <w:rFonts w:ascii="宋体" w:hAnsi="宋体" w:cs="宋体" w:eastAsia="宋体" w:hint="default"/>
                <w:spacing w:val="-2"/>
                <w:sz w:val="18"/>
                <w:szCs w:val="18"/>
              </w:rPr>
              <w:t>原因及</w:t>
            </w:r>
            <w:r>
              <w:rPr>
                <w:rFonts w:ascii="宋体" w:hAnsi="宋体" w:cs="宋体" w:eastAsia="宋体" w:hint="default"/>
                <w:w w:val="101"/>
                <w:sz w:val="18"/>
                <w:szCs w:val="18"/>
              </w:rPr>
              <w:t> </w:t>
            </w:r>
            <w:r>
              <w:rPr>
                <w:rFonts w:ascii="宋体" w:hAnsi="宋体" w:cs="宋体" w:eastAsia="宋体" w:hint="default"/>
                <w:spacing w:val="-2"/>
                <w:sz w:val="18"/>
                <w:szCs w:val="18"/>
              </w:rPr>
              <w:t>公司已</w:t>
            </w:r>
            <w:r>
              <w:rPr>
                <w:rFonts w:ascii="宋体" w:hAnsi="宋体" w:cs="宋体" w:eastAsia="宋体" w:hint="default"/>
                <w:w w:val="101"/>
                <w:sz w:val="18"/>
                <w:szCs w:val="18"/>
              </w:rPr>
              <w:t> </w:t>
            </w:r>
            <w:r>
              <w:rPr>
                <w:rFonts w:ascii="宋体" w:hAnsi="宋体" w:cs="宋体" w:eastAsia="宋体" w:hint="default"/>
                <w:spacing w:val="-2"/>
                <w:sz w:val="18"/>
                <w:szCs w:val="18"/>
              </w:rPr>
              <w:t>采取的</w:t>
            </w:r>
            <w:r>
              <w:rPr>
                <w:rFonts w:ascii="宋体" w:hAnsi="宋体" w:cs="宋体" w:eastAsia="宋体" w:hint="default"/>
                <w:w w:val="101"/>
                <w:sz w:val="18"/>
                <w:szCs w:val="18"/>
              </w:rPr>
              <w:t> </w:t>
            </w:r>
            <w:r>
              <w:rPr>
                <w:rFonts w:ascii="宋体" w:hAnsi="宋体" w:cs="宋体" w:eastAsia="宋体" w:hint="default"/>
                <w:sz w:val="18"/>
                <w:szCs w:val="18"/>
              </w:rPr>
              <w:t>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085"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w:t>
            </w:r>
            <w:r>
              <w:rPr>
                <w:rFonts w:ascii="Times New Roman" w:hAnsi="Times New Roman" w:cs="Times New Roman" w:eastAsia="Times New Roman" w:hint="default"/>
                <w:sz w:val="18"/>
                <w:szCs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5"/>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福田区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深南中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路与广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深高速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公路交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界东南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金运世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纪大厦</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10A-10</w:t>
            </w:r>
          </w:p>
          <w:p>
            <w:pPr>
              <w:pStyle w:val="TableParagraph"/>
              <w:spacing w:line="312" w:lineRule="exact" w:before="23"/>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9"/>
                <w:sz w:val="18"/>
                <w:szCs w:val="18"/>
              </w:rPr>
              <w:t>L</w:t>
            </w:r>
            <w:r>
              <w:rPr>
                <w:rFonts w:ascii="宋体" w:hAnsi="宋体" w:cs="宋体" w:eastAsia="宋体" w:hint="default"/>
                <w:spacing w:val="-19"/>
                <w:sz w:val="18"/>
                <w:szCs w:val="18"/>
              </w:rPr>
              <w:t>，总面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积为</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1,853.9</w:t>
            </w:r>
          </w:p>
          <w:p>
            <w:pPr>
              <w:pStyle w:val="TableParagraph"/>
              <w:spacing w:line="312" w:lineRule="auto" w:before="39"/>
              <w:ind w:left="24"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平方</w:t>
            </w:r>
            <w:r>
              <w:rPr>
                <w:rFonts w:ascii="宋体" w:hAnsi="宋体" w:cs="宋体" w:eastAsia="宋体" w:hint="default"/>
                <w:spacing w:val="-86"/>
                <w:sz w:val="18"/>
                <w:szCs w:val="18"/>
              </w:rPr>
              <w:t> </w:t>
            </w:r>
            <w:r>
              <w:rPr>
                <w:rFonts w:ascii="宋体" w:hAnsi="宋体" w:cs="宋体" w:eastAsia="宋体" w:hint="default"/>
                <w:sz w:val="18"/>
                <w:szCs w:val="18"/>
              </w:rPr>
              <w:t>米的房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2"/>
              <w:jc w:val="right"/>
              <w:rPr>
                <w:rFonts w:ascii="Times New Roman" w:hAnsi="Times New Roman" w:cs="Times New Roman" w:eastAsia="Times New Roman" w:hint="default"/>
                <w:sz w:val="18"/>
                <w:szCs w:val="18"/>
              </w:rPr>
            </w:pPr>
            <w:r>
              <w:rPr>
                <w:rFonts w:ascii="Times New Roman"/>
                <w:spacing w:val="-1"/>
                <w:sz w:val="18"/>
              </w:rPr>
              <w:t>7,527.0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pacing w:val="-1"/>
                <w:sz w:val="18"/>
              </w:rPr>
              <w:t>3,008.2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本次房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可提高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产负债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有效回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笼资</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84.15%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交易定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价参考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标的资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产周边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相同地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段、相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同用途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房屋的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市场报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买卖双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方协商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确定</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w:t>
            </w:r>
            <w:r>
              <w:rPr>
                <w:rFonts w:ascii="Times New Roman" w:hAnsi="Times New Roman" w:cs="Times New Roman" w:eastAsia="Times New Roman" w:hint="default"/>
                <w:sz w:val="18"/>
                <w:szCs w:val="18"/>
              </w:rPr>
            </w:r>
          </w:p>
          <w:p>
            <w:pPr>
              <w:pStyle w:val="TableParagraph"/>
              <w:spacing w:line="362" w:lineRule="auto" w:before="105"/>
              <w:ind w:left="23" w:right="49"/>
              <w:jc w:val="left"/>
              <w:rPr>
                <w:rFonts w:ascii="Times New Roman" w:hAnsi="Times New Roman" w:cs="Times New Roman" w:eastAsia="Times New Roman" w:hint="default"/>
                <w:sz w:val="18"/>
                <w:szCs w:val="18"/>
              </w:rPr>
            </w:pPr>
            <w:r>
              <w:rPr>
                <w:rFonts w:ascii="Times New Roman"/>
                <w:spacing w:val="-2"/>
                <w:sz w:val="18"/>
              </w:rPr>
              <w:t>.cninfo.</w:t>
            </w:r>
            <w:r>
              <w:rPr>
                <w:rFonts w:ascii="Times New Roman"/>
                <w:spacing w:val="-33"/>
                <w:sz w:val="18"/>
              </w:rPr>
              <w:t> </w:t>
            </w:r>
            <w:r>
              <w:rPr>
                <w:rFonts w:ascii="Times New Roman"/>
                <w:spacing w:val="-33"/>
                <w:sz w:val="18"/>
              </w:rPr>
            </w:r>
            <w:r>
              <w:rPr>
                <w:rFonts w:ascii="Times New Roman"/>
                <w:spacing w:val="-2"/>
                <w:sz w:val="18"/>
              </w:rPr>
              <w:t>com.cn</w:t>
            </w:r>
          </w:p>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1" w:footer="1186" w:top="1100" w:bottom="138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6"/>
        <w:jc w:val="left"/>
      </w:pPr>
      <w:r>
        <w:rPr/>
        <w:t>主要子公司及对公司净利润影响达</w:t>
      </w:r>
      <w:r>
        <w:rPr>
          <w:spacing w:val="-7"/>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700" w:left="980" w:right="0"/>
          <w:cols w:num="2" w:equalWidth="0">
            <w:col w:w="4855" w:space="4067"/>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7"/>
        <w:gridCol w:w="1046"/>
        <w:gridCol w:w="1047"/>
        <w:gridCol w:w="1047"/>
        <w:gridCol w:w="1042"/>
        <w:gridCol w:w="1047"/>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4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北京亿美软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4"/>
              <w:jc w:val="both"/>
              <w:rPr>
                <w:rFonts w:ascii="宋体" w:hAnsi="宋体" w:cs="宋体" w:eastAsia="宋体" w:hint="default"/>
                <w:sz w:val="18"/>
                <w:szCs w:val="18"/>
              </w:rPr>
            </w:pPr>
            <w:r>
              <w:rPr>
                <w:rFonts w:ascii="宋体" w:hAnsi="宋体" w:cs="宋体" w:eastAsia="宋体" w:hint="default"/>
                <w:spacing w:val="-2"/>
                <w:sz w:val="18"/>
                <w:szCs w:val="18"/>
              </w:rPr>
              <w:t>为国内外企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业提供移动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通讯服务和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移动互联网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应用服务。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558,986,333.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315,867,200.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612,735,639.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71,766,303.4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62,050,432.7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98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w w:val="101"/>
                <w:sz w:val="18"/>
                <w:szCs w:val="18"/>
              </w:rPr>
              <w:t>安</w:t>
            </w:r>
            <w:r>
              <w:rPr>
                <w:rFonts w:ascii="宋体" w:hAnsi="宋体" w:cs="宋体" w:eastAsia="宋体" w:hint="default"/>
                <w:spacing w:val="-5"/>
                <w:w w:val="101"/>
                <w:sz w:val="18"/>
                <w:szCs w:val="18"/>
              </w:rPr>
              <w:t>科</w:t>
            </w:r>
            <w:r>
              <w:rPr>
                <w:rFonts w:ascii="宋体" w:hAnsi="宋体" w:cs="宋体" w:eastAsia="宋体" w:hint="default"/>
                <w:w w:val="101"/>
                <w:sz w:val="18"/>
                <w:szCs w:val="18"/>
              </w:rPr>
              <w:t>创</w:t>
            </w:r>
            <w:r>
              <w:rPr>
                <w:rFonts w:ascii="宋体" w:hAnsi="宋体" w:cs="宋体" w:eastAsia="宋体" w:hint="default"/>
                <w:spacing w:val="-87"/>
                <w:w w:val="101"/>
                <w:sz w:val="18"/>
                <w:szCs w:val="18"/>
              </w:rPr>
              <w:t>新</w:t>
            </w:r>
            <w:r>
              <w:rPr>
                <w:rFonts w:ascii="宋体" w:hAnsi="宋体" w:cs="宋体" w:eastAsia="宋体" w:hint="default"/>
                <w:w w:val="101"/>
                <w:sz w:val="18"/>
                <w:szCs w:val="18"/>
              </w:rPr>
              <w:t>（深</w:t>
            </w:r>
            <w:r>
              <w:rPr>
                <w:rFonts w:ascii="宋体" w:hAnsi="宋体" w:cs="宋体" w:eastAsia="宋体" w:hint="default"/>
                <w:w w:val="101"/>
                <w:sz w:val="18"/>
                <w:szCs w:val="18"/>
              </w:rPr>
              <w:t> 圳</w:t>
            </w:r>
            <w:r>
              <w:rPr>
                <w:rFonts w:ascii="宋体" w:hAnsi="宋体" w:cs="宋体" w:eastAsia="宋体" w:hint="default"/>
                <w:spacing w:val="-87"/>
                <w:w w:val="101"/>
                <w:sz w:val="18"/>
                <w:szCs w:val="18"/>
              </w:rPr>
              <w:t>）</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公司</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4"/>
              <w:jc w:val="both"/>
              <w:rPr>
                <w:rFonts w:ascii="宋体" w:hAnsi="宋体" w:cs="宋体" w:eastAsia="宋体" w:hint="default"/>
                <w:sz w:val="18"/>
                <w:szCs w:val="18"/>
              </w:rPr>
            </w:pPr>
            <w:r>
              <w:rPr>
                <w:rFonts w:ascii="宋体" w:hAnsi="宋体" w:cs="宋体" w:eastAsia="宋体" w:hint="default"/>
                <w:spacing w:val="-2"/>
                <w:sz w:val="18"/>
                <w:szCs w:val="18"/>
              </w:rPr>
              <w:t>家居安防及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相关产品的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电子商务业</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7"/>
              <w:jc w:val="center"/>
              <w:rPr>
                <w:rFonts w:ascii="Times New Roman" w:hAnsi="Times New Roman" w:cs="Times New Roman" w:eastAsia="Times New Roman" w:hint="default"/>
                <w:sz w:val="18"/>
                <w:szCs w:val="18"/>
              </w:rPr>
            </w:pPr>
            <w:r>
              <w:rPr>
                <w:rFonts w:ascii="Times New Roman"/>
                <w:sz w:val="18"/>
              </w:rPr>
              <w:t>1,086,956.00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180,318,669.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29,853,297.5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376,172,257.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-35,960,954.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-28,728,436.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7"/>
        <w:gridCol w:w="1046"/>
        <w:gridCol w:w="1047"/>
        <w:gridCol w:w="1047"/>
        <w:gridCol w:w="1042"/>
        <w:gridCol w:w="1047"/>
      </w:tblGrid>
      <w:tr>
        <w:trPr>
          <w:trHeight w:val="360" w:hRule="exact"/>
        </w:trPr>
        <w:tc>
          <w:tcPr>
            <w:tcW w:w="105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414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深圳银之杰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智慧科技有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主要为本公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司提供金融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专业设备产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品的底层控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制软件及终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端应用软件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技术的开发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服务，其收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入销售对象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是本公司，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再由本公司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组成产品对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外销售。</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31,058,578.9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8,825,940.79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15,208,106.6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460,865.37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243,349.36</w:t>
            </w:r>
          </w:p>
        </w:tc>
      </w:tr>
      <w:tr>
        <w:trPr>
          <w:trHeight w:val="71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北京华道征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个人征信相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关业务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102,059,841.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-4,053,775.4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29,364,903.7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-19,052,883.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-19,053,283.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59</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易安财产保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险股份有限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互联网保险</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1,844,320,10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2.16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723,424,848.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1,173,431,48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2.21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-267,700,981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-199,413,832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.24</w:t>
            </w:r>
          </w:p>
        </w:tc>
      </w:tr>
      <w:tr>
        <w:trPr>
          <w:trHeight w:val="102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东亚前海证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券有限责任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证券业务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2,328,148,74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1.23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1,400,334,65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5.40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91,307,842.8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3"/>
                <w:sz w:val="18"/>
              </w:rPr>
              <w:t>-83,280,311.</w:t>
            </w:r>
            <w:r>
              <w:rPr>
                <w:rFonts w:ascii="Times New Roman"/>
                <w:sz w:val="18"/>
              </w:rPr>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-56,092,072.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深圳票联金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融服务有限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金融设备、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软件及服务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26,810,793.2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20,982,013.1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4,277,890.17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-13,783,237.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-11,618,783.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r>
      <w:tr>
        <w:trPr>
          <w:trHeight w:val="134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国誉创富国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际金融服务</w:t>
            </w:r>
          </w:p>
          <w:p>
            <w:pPr>
              <w:pStyle w:val="TableParagraph"/>
              <w:spacing w:line="321" w:lineRule="auto" w:before="19"/>
              <w:ind w:left="24" w:right="17"/>
              <w:jc w:val="left"/>
              <w:rPr>
                <w:rFonts w:ascii="宋体" w:hAnsi="宋体" w:cs="宋体" w:eastAsia="宋体" w:hint="default"/>
                <w:sz w:val="18"/>
                <w:szCs w:val="18"/>
              </w:rPr>
            </w:pPr>
            <w:r>
              <w:rPr>
                <w:rFonts w:ascii="宋体" w:hAnsi="宋体" w:cs="宋体" w:eastAsia="宋体" w:hint="default"/>
                <w:spacing w:val="-16"/>
                <w:w w:val="101"/>
                <w:sz w:val="18"/>
                <w:szCs w:val="18"/>
              </w:rPr>
              <w:t>（深圳）有限</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54,908,434.8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16,042,833.8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2,095,894.26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-11,433,728.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-11,433,728.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53"/>
        <w:ind w:right="1055"/>
        <w:jc w:val="left"/>
      </w:pPr>
      <w:r>
        <w:rPr>
          <w:spacing w:val="-3"/>
        </w:rPr>
        <w:t>报告期内取得和处置子公司的情况</w:t>
      </w:r>
    </w:p>
    <w:p>
      <w:pPr>
        <w:pStyle w:val="BodyText"/>
        <w:spacing w:line="240" w:lineRule="auto" w:before="119"/>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10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深圳银之杰拓扑技术有限公司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以自有资金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万元设立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5"/>
              <w:jc w:val="both"/>
              <w:rPr>
                <w:rFonts w:ascii="宋体" w:hAnsi="宋体" w:cs="宋体" w:eastAsia="宋体" w:hint="default"/>
                <w:sz w:val="18"/>
                <w:szCs w:val="18"/>
              </w:rPr>
            </w:pPr>
            <w:r>
              <w:rPr>
                <w:rFonts w:ascii="宋体" w:hAnsi="宋体" w:cs="宋体" w:eastAsia="宋体" w:hint="default"/>
                <w:spacing w:val="-3"/>
                <w:sz w:val="18"/>
                <w:szCs w:val="18"/>
              </w:rPr>
              <w:t>合并报表范围发生变化，符合公司战略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发展规划，不会对公司的持续经营产生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不利影响</w:t>
            </w:r>
          </w:p>
        </w:tc>
      </w:tr>
      <w:tr>
        <w:trPr>
          <w:trHeight w:val="134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深圳市银之杰金融设备有限公司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94"/>
              <w:jc w:val="left"/>
              <w:rPr>
                <w:rFonts w:ascii="宋体" w:hAnsi="宋体" w:cs="宋体" w:eastAsia="宋体" w:hint="default"/>
                <w:sz w:val="18"/>
                <w:szCs w:val="18"/>
              </w:rPr>
            </w:pPr>
            <w:r>
              <w:rPr>
                <w:rFonts w:ascii="宋体" w:hAnsi="宋体" w:cs="宋体" w:eastAsia="宋体" w:hint="default"/>
                <w:spacing w:val="-3"/>
                <w:sz w:val="18"/>
                <w:szCs w:val="18"/>
              </w:rPr>
              <w:t>公司全资子公司深圳市银之杰金融设备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有限公司的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股权划转至全资子公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司深圳银之杰智慧科技有限公司持有，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由全资子公司变更为全资孙公司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pacing w:val="-3"/>
                <w:sz w:val="18"/>
                <w:szCs w:val="18"/>
              </w:rPr>
              <w:t>合并报表范围发生变化，符合公司战略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发展规划，不会对公司的持续经营产生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不利影响</w:t>
            </w:r>
          </w:p>
        </w:tc>
      </w:tr>
    </w:tbl>
    <w:p>
      <w:pPr>
        <w:pStyle w:val="BodyText"/>
        <w:spacing w:line="240" w:lineRule="auto" w:before="53"/>
        <w:ind w:right="1055"/>
        <w:jc w:val="left"/>
      </w:pPr>
      <w:r>
        <w:rPr>
          <w:spacing w:val="-3"/>
        </w:rPr>
        <w:t>主要控股参股公司情况说明</w:t>
      </w:r>
    </w:p>
    <w:p>
      <w:pPr>
        <w:spacing w:line="240" w:lineRule="auto" w:before="0"/>
        <w:rPr>
          <w:rFonts w:ascii="宋体" w:hAnsi="宋体" w:cs="宋体" w:eastAsia="宋体" w:hint="default"/>
          <w:sz w:val="15"/>
          <w:szCs w:val="15"/>
        </w:rPr>
      </w:pPr>
    </w:p>
    <w:p>
      <w:pPr>
        <w:pStyle w:val="BodyText"/>
        <w:spacing w:line="240" w:lineRule="auto"/>
        <w:ind w:left="513" w:right="1055"/>
        <w:jc w:val="left"/>
      </w:pPr>
      <w:r>
        <w:rPr>
          <w:spacing w:val="-3"/>
        </w:rPr>
        <w:t>公司主要控股公司及参股公司的经营业绩变动情况分析请见本节“一、概述”相关内容。</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33"/>
          <w:szCs w:val="33"/>
        </w:rPr>
      </w:pPr>
    </w:p>
    <w:p>
      <w:pPr>
        <w:pStyle w:val="BodyText"/>
        <w:spacing w:line="480" w:lineRule="auto"/>
        <w:ind w:left="513" w:right="1055"/>
        <w:jc w:val="left"/>
      </w:pPr>
      <w:r>
        <w:rPr/>
        <w:t>（一）行业格局和趋势</w:t>
      </w:r>
      <w:r>
        <w:rPr>
          <w:spacing w:val="-86"/>
        </w:rPr>
        <w:t> </w:t>
      </w:r>
      <w:r>
        <w:rPr>
          <w:spacing w:val="-86"/>
        </w:rPr>
      </w:r>
      <w:r>
        <w:rPr>
          <w:spacing w:val="-4"/>
        </w:rPr>
        <w:t>按照公司既定的战略发展规划，公司的主营业务已经从金融信息化向金融综合服务领域延伸发展。</w:t>
      </w:r>
      <w:r>
        <w:rPr>
          <w:rFonts w:ascii="宋体" w:hAnsi="宋体" w:cs="宋体" w:eastAsia="宋体" w:hint="default"/>
          <w:spacing w:val="-4"/>
        </w:rPr>
        <w:t>2013</w:t>
      </w:r>
      <w:r>
        <w:rPr>
          <w:spacing w:val="-4"/>
        </w:rPr>
        <w:t>年起，随着互联</w:t>
      </w:r>
    </w:p>
    <w:p>
      <w:pPr>
        <w:pStyle w:val="BodyText"/>
        <w:spacing w:line="477" w:lineRule="auto" w:before="50"/>
        <w:ind w:right="1121"/>
        <w:jc w:val="both"/>
      </w:pPr>
      <w:r>
        <w:rPr>
          <w:spacing w:val="-4"/>
        </w:rPr>
        <w:t>网金融元年的到来，移动互联网、互联网金融、大数据等新兴产业迅猛发展，公司积极探索，迅速把握历史机遇，凭借丰富</w:t>
      </w:r>
      <w:r>
        <w:rPr>
          <w:spacing w:val="40"/>
        </w:rPr>
        <w:t> </w:t>
      </w:r>
      <w:r>
        <w:rPr>
          <w:spacing w:val="40"/>
        </w:rPr>
      </w:r>
      <w:r>
        <w:rPr>
          <w:spacing w:val="-4"/>
        </w:rPr>
        <w:t>的行业经验、广泛的客户资源以及深厚的技术实力，充分利用资本市场平台优势，通过对外投资计划和实施收购兼并，大力</w:t>
      </w:r>
      <w:r>
        <w:rPr>
          <w:spacing w:val="43"/>
        </w:rPr>
        <w:t> </w:t>
      </w:r>
      <w:r>
        <w:rPr>
          <w:spacing w:val="43"/>
        </w:rPr>
      </w:r>
      <w:r>
        <w:rPr>
          <w:spacing w:val="-3"/>
        </w:rPr>
        <w:t>拓展新业务，在金融科技领域进行了一系列的布局，为企业打开了全新的发展局面。</w:t>
      </w:r>
    </w:p>
    <w:p>
      <w:pPr>
        <w:pStyle w:val="BodyText"/>
        <w:spacing w:line="477" w:lineRule="auto" w:before="56"/>
        <w:ind w:right="1122" w:firstLine="360"/>
        <w:jc w:val="both"/>
      </w:pPr>
      <w:r>
        <w:rPr>
          <w:spacing w:val="-4"/>
        </w:rPr>
        <w:t>根据工信部发布的《</w:t>
      </w:r>
      <w:r>
        <w:rPr>
          <w:rFonts w:ascii="宋体" w:hAnsi="宋体" w:cs="宋体" w:eastAsia="宋体" w:hint="default"/>
          <w:spacing w:val="-4"/>
        </w:rPr>
        <w:t>2018</w:t>
      </w:r>
      <w:r>
        <w:rPr>
          <w:spacing w:val="-4"/>
        </w:rPr>
        <w:t>年软件和信息技术服务业统计公报》，</w:t>
      </w:r>
      <w:r>
        <w:rPr>
          <w:rFonts w:ascii="宋体" w:hAnsi="宋体" w:cs="宋体" w:eastAsia="宋体" w:hint="default"/>
          <w:spacing w:val="-4"/>
        </w:rPr>
        <w:t>2018</w:t>
      </w:r>
      <w:r>
        <w:rPr>
          <w:spacing w:val="-4"/>
        </w:rPr>
        <w:t>年，我国软件和信息技术服务业运行态势良好，收</w:t>
      </w:r>
      <w:r>
        <w:rPr>
          <w:w w:val="101"/>
        </w:rPr>
        <w:t> </w:t>
      </w:r>
      <w:r>
        <w:rPr>
          <w:spacing w:val="-4"/>
        </w:rPr>
        <w:t>入和效益保持较快增长，吸纳就业人数稳步增加；产业向高质量方向发展步伐加快，结构持续调整优化，新的增长点不断涌</w:t>
      </w:r>
      <w:r>
        <w:rPr>
          <w:spacing w:val="40"/>
        </w:rPr>
        <w:t> </w:t>
      </w:r>
      <w:r>
        <w:rPr>
          <w:spacing w:val="40"/>
        </w:rPr>
      </w:r>
      <w:r>
        <w:rPr>
          <w:spacing w:val="-4"/>
        </w:rPr>
        <w:t>现，服务和支撑两个强国建设能力显著增强，正在成为数字经济发展、智慧社会演进的重要驱动力量。其中，</w:t>
      </w:r>
      <w:r>
        <w:rPr>
          <w:rFonts w:ascii="宋体" w:hAnsi="宋体" w:cs="宋体" w:eastAsia="宋体" w:hint="default"/>
          <w:spacing w:val="-4"/>
        </w:rPr>
        <w:t>2018</w:t>
      </w:r>
      <w:r>
        <w:rPr>
          <w:spacing w:val="-4"/>
        </w:rPr>
        <w:t>年全国软</w:t>
      </w:r>
      <w:r>
        <w:rPr>
          <w:spacing w:val="49"/>
        </w:rPr>
        <w:t> </w:t>
      </w:r>
      <w:r>
        <w:rPr>
          <w:spacing w:val="49"/>
        </w:rPr>
      </w:r>
      <w:r>
        <w:rPr>
          <w:spacing w:val="-3"/>
        </w:rPr>
        <w:t>件和信息技术服务业规模以上企业</w:t>
      </w:r>
      <w:r>
        <w:rPr>
          <w:rFonts w:ascii="宋体" w:hAnsi="宋体" w:cs="宋体" w:eastAsia="宋体" w:hint="default"/>
          <w:spacing w:val="-3"/>
        </w:rPr>
        <w:t>3.78</w:t>
      </w:r>
      <w:r>
        <w:rPr>
          <w:spacing w:val="-3"/>
        </w:rPr>
        <w:t>万家，累计完成软件业务收入</w:t>
      </w:r>
      <w:r>
        <w:rPr>
          <w:rFonts w:ascii="宋体" w:hAnsi="宋体" w:cs="宋体" w:eastAsia="宋体" w:hint="default"/>
          <w:spacing w:val="-3"/>
        </w:rPr>
        <w:t>6.3061</w:t>
      </w:r>
      <w:r>
        <w:rPr>
          <w:spacing w:val="-3"/>
        </w:rPr>
        <w:t>万亿元，同比增长</w:t>
      </w:r>
      <w:r>
        <w:rPr>
          <w:rFonts w:ascii="宋体" w:hAnsi="宋体" w:cs="宋体" w:eastAsia="宋体" w:hint="default"/>
          <w:spacing w:val="-3"/>
        </w:rPr>
        <w:t>14.2%</w:t>
      </w:r>
      <w:r>
        <w:rPr>
          <w:spacing w:val="-3"/>
        </w:rPr>
        <w:t>；</w:t>
      </w:r>
      <w:r>
        <w:rPr>
          <w:rFonts w:ascii="宋体" w:hAnsi="宋体" w:cs="宋体" w:eastAsia="宋体" w:hint="default"/>
          <w:spacing w:val="-3"/>
        </w:rPr>
        <w:t>2018</w:t>
      </w:r>
      <w:r>
        <w:rPr>
          <w:spacing w:val="-3"/>
        </w:rPr>
        <w:t>年软件和信息技</w:t>
      </w:r>
      <w:r>
        <w:rPr>
          <w:spacing w:val="8"/>
        </w:rPr>
        <w:t> </w:t>
      </w:r>
      <w:r>
        <w:rPr>
          <w:spacing w:val="8"/>
        </w:rPr>
      </w:r>
      <w:r>
        <w:rPr>
          <w:spacing w:val="-3"/>
        </w:rPr>
        <w:t>术服务业实现利润总额</w:t>
      </w:r>
      <w:r>
        <w:rPr>
          <w:rFonts w:ascii="宋体" w:hAnsi="宋体" w:cs="宋体" w:eastAsia="宋体" w:hint="default"/>
          <w:spacing w:val="-3"/>
        </w:rPr>
        <w:t>0.8079</w:t>
      </w:r>
      <w:r>
        <w:rPr>
          <w:spacing w:val="-3"/>
        </w:rPr>
        <w:t>万亿元，同比增长</w:t>
      </w:r>
      <w:r>
        <w:rPr>
          <w:rFonts w:ascii="宋体" w:hAnsi="宋体" w:cs="宋体" w:eastAsia="宋体" w:hint="default"/>
          <w:spacing w:val="-3"/>
        </w:rPr>
        <w:t>9.7%</w:t>
      </w:r>
      <w:r>
        <w:rPr>
          <w:spacing w:val="-3"/>
        </w:rPr>
        <w:t>；行业人均创造业务收入</w:t>
      </w:r>
      <w:r>
        <w:rPr>
          <w:rFonts w:ascii="宋体" w:hAnsi="宋体" w:cs="宋体" w:eastAsia="宋体" w:hint="default"/>
          <w:spacing w:val="-3"/>
        </w:rPr>
        <w:t>98.06</w:t>
      </w:r>
      <w:r>
        <w:rPr>
          <w:spacing w:val="-3"/>
        </w:rPr>
        <w:t>万元，同比增长</w:t>
      </w:r>
      <w:r>
        <w:rPr>
          <w:rFonts w:ascii="宋体" w:hAnsi="宋体" w:cs="宋体" w:eastAsia="宋体" w:hint="default"/>
          <w:spacing w:val="-3"/>
        </w:rPr>
        <w:t>9.6%</w:t>
      </w:r>
      <w:r>
        <w:rPr>
          <w:spacing w:val="-3"/>
        </w:rPr>
        <w:t>，高质量发展成效</w:t>
      </w:r>
      <w:r>
        <w:rPr>
          <w:spacing w:val="8"/>
        </w:rPr>
        <w:t> </w:t>
      </w:r>
      <w:r>
        <w:rPr>
          <w:spacing w:val="8"/>
        </w:rPr>
      </w:r>
      <w:r>
        <w:rPr>
          <w:spacing w:val="-3"/>
        </w:rPr>
        <w:t>初显。此外，工信部颁发的《软件和信息技术服务业发展规划（</w:t>
      </w:r>
      <w:r>
        <w:rPr>
          <w:rFonts w:ascii="宋体" w:hAnsi="宋体" w:cs="宋体" w:eastAsia="宋体" w:hint="default"/>
          <w:spacing w:val="-3"/>
        </w:rPr>
        <w:t>2016-2020</w:t>
      </w:r>
      <w:r>
        <w:rPr>
          <w:spacing w:val="-3"/>
        </w:rPr>
        <w:t>年）》显示，我国软件和信息技术服务业正经历</w:t>
      </w:r>
      <w:r>
        <w:rPr>
          <w:spacing w:val="81"/>
        </w:rPr>
        <w:t> </w:t>
      </w:r>
      <w:r>
        <w:rPr>
          <w:spacing w:val="81"/>
        </w:rPr>
      </w:r>
      <w:r>
        <w:rPr>
          <w:spacing w:val="-3"/>
        </w:rPr>
        <w:t>以“技术</w:t>
      </w:r>
      <w:r>
        <w:rPr>
          <w:rFonts w:ascii="宋体" w:hAnsi="宋体" w:cs="宋体" w:eastAsia="宋体" w:hint="default"/>
          <w:spacing w:val="-3"/>
        </w:rPr>
        <w:t>+</w:t>
      </w:r>
      <w:r>
        <w:rPr>
          <w:spacing w:val="-3"/>
        </w:rPr>
        <w:t>模式</w:t>
      </w:r>
      <w:r>
        <w:rPr>
          <w:rFonts w:ascii="宋体" w:hAnsi="宋体" w:cs="宋体" w:eastAsia="宋体" w:hint="default"/>
          <w:spacing w:val="-3"/>
        </w:rPr>
        <w:t>+</w:t>
      </w:r>
      <w:r>
        <w:rPr>
          <w:spacing w:val="-3"/>
        </w:rPr>
        <w:t>生态”为核心的协同创新产业变革，预计到</w:t>
      </w:r>
      <w:r>
        <w:rPr>
          <w:rFonts w:ascii="宋体" w:hAnsi="宋体" w:cs="宋体" w:eastAsia="宋体" w:hint="default"/>
          <w:spacing w:val="-3"/>
        </w:rPr>
        <w:t>2020</w:t>
      </w:r>
      <w:r>
        <w:rPr>
          <w:spacing w:val="-3"/>
        </w:rPr>
        <w:t>年，软件和信息技术服务业的业务收入突破</w:t>
      </w:r>
      <w:r>
        <w:rPr>
          <w:rFonts w:ascii="宋体" w:hAnsi="宋体" w:cs="宋体" w:eastAsia="宋体" w:hint="default"/>
          <w:spacing w:val="-3"/>
        </w:rPr>
        <w:t>8</w:t>
      </w:r>
      <w:r>
        <w:rPr>
          <w:spacing w:val="-3"/>
        </w:rPr>
        <w:t>万亿元，年均</w:t>
      </w:r>
      <w:r>
        <w:rPr>
          <w:spacing w:val="78"/>
        </w:rPr>
        <w:t> </w:t>
      </w:r>
      <w:r>
        <w:rPr>
          <w:spacing w:val="78"/>
        </w:rPr>
      </w:r>
      <w:r>
        <w:rPr/>
        <w:t>增长</w:t>
      </w:r>
      <w:r>
        <w:rPr>
          <w:rFonts w:ascii="宋体" w:hAnsi="宋体" w:cs="宋体" w:eastAsia="宋体" w:hint="default"/>
        </w:rPr>
        <w:t>13%</w:t>
      </w:r>
      <w:r>
        <w:rPr/>
        <w:t>以上，占信息产业比重超过</w:t>
      </w:r>
      <w:r>
        <w:rPr>
          <w:rFonts w:ascii="宋体" w:hAnsi="宋体" w:cs="宋体" w:eastAsia="宋体" w:hint="default"/>
        </w:rPr>
        <w:t>30%</w:t>
      </w:r>
      <w:r>
        <w:rPr/>
        <w:t>。</w:t>
      </w:r>
    </w:p>
    <w:p>
      <w:pPr>
        <w:pStyle w:val="BodyText"/>
        <w:spacing w:line="477" w:lineRule="auto" w:before="57"/>
        <w:ind w:right="1055" w:firstLine="360"/>
        <w:jc w:val="left"/>
      </w:pPr>
      <w:r>
        <w:rPr>
          <w:spacing w:val="-4"/>
        </w:rPr>
        <w:t>金融信息化行业历经多年发展，目前银行等金融机构虽然信息化程度较高，但随着金融行业业务创新不断，对信息化改</w:t>
      </w:r>
      <w:r>
        <w:rPr>
          <w:w w:val="101"/>
        </w:rPr>
        <w:t> </w:t>
      </w:r>
      <w:r>
        <w:rPr>
          <w:spacing w:val="-4"/>
        </w:rPr>
        <w:t>造需求与日俱增。互联网行业的快速发展给金融信息化行业的发展带来了原生动力；金融行业监管的趋严也给金融行业带来</w:t>
      </w:r>
      <w:r>
        <w:rPr>
          <w:spacing w:val="42"/>
        </w:rPr>
        <w:t> </w:t>
      </w:r>
      <w:r>
        <w:rPr>
          <w:spacing w:val="42"/>
        </w:rPr>
      </w:r>
      <w:r>
        <w:rPr>
          <w:spacing w:val="-3"/>
        </w:rPr>
        <w:t>新的信息化诉求。在银行信息化层面，一方面，云计算、大数据、移动互联网、物联网等快速发展和融合创新，先进计算、</w:t>
      </w:r>
      <w:r>
        <w:rPr>
          <w:spacing w:val="66"/>
        </w:rPr>
        <w:t> </w:t>
      </w:r>
      <w:r>
        <w:rPr>
          <w:spacing w:val="66"/>
        </w:rPr>
      </w:r>
      <w:r>
        <w:rPr>
          <w:spacing w:val="-4"/>
        </w:rPr>
        <w:t>人工智能等新技术的加速突破和应用，不断推动我国商业银行向信息化时代的现代化银行过渡；另一方面，国家政策的扶持</w:t>
      </w:r>
      <w:r>
        <w:rPr>
          <w:spacing w:val="43"/>
        </w:rPr>
        <w:t> </w:t>
      </w:r>
      <w:r>
        <w:rPr>
          <w:spacing w:val="43"/>
        </w:rPr>
      </w:r>
      <w:r>
        <w:rPr>
          <w:spacing w:val="-3"/>
        </w:rPr>
        <w:t>力度也有所加大。银保监会领导于</w:t>
      </w: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月表示，未来要改善金融供给，增加有效供应，要增加中小银行和险企的数量和</w:t>
      </w:r>
      <w:r>
        <w:rPr>
          <w:spacing w:val="76"/>
        </w:rPr>
        <w:t> </w:t>
      </w:r>
      <w:r>
        <w:rPr>
          <w:spacing w:val="76"/>
        </w:rPr>
      </w:r>
      <w:r>
        <w:rPr>
          <w:spacing w:val="-4"/>
        </w:rPr>
        <w:t>业务比重。若中小银行和险企的数量和业务比重增加，将会催生更多的银行等金融机构核心业务的建设需求。综合来看，我</w:t>
      </w:r>
      <w:r>
        <w:rPr>
          <w:spacing w:val="41"/>
        </w:rPr>
        <w:t> </w:t>
      </w:r>
      <w:r>
        <w:rPr>
          <w:spacing w:val="41"/>
        </w:rPr>
      </w:r>
      <w:r>
        <w:rPr>
          <w:spacing w:val="-3"/>
        </w:rPr>
        <w:t>国金融信息化市场将继续保持稳健发展的态势，也为公司的金融信息化的产品提供了重要的市场机遇。</w:t>
      </w:r>
    </w:p>
    <w:p>
      <w:pPr>
        <w:pStyle w:val="BodyText"/>
        <w:spacing w:line="477" w:lineRule="auto" w:before="52"/>
        <w:ind w:right="1045" w:firstLine="360"/>
        <w:jc w:val="both"/>
      </w:pPr>
      <w:r>
        <w:rPr>
          <w:spacing w:val="-5"/>
        </w:rPr>
        <w:t>金融科技是指运用科技或数据驱动的手段，使得金融服务更加便利化、智能化，能够有效降低交易成本、提高金融业服</w:t>
      </w:r>
      <w:r>
        <w:rPr>
          <w:w w:val="101"/>
        </w:rPr>
        <w:t> </w:t>
      </w:r>
      <w:r>
        <w:rPr>
          <w:spacing w:val="-3"/>
        </w:rPr>
        <w:t>务效率的技术或者产业。</w:t>
      </w: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月，中共中央政治局就完善金融服务、防范金融风险举行第十三次集体学习，强调了要深</w:t>
      </w:r>
      <w:r>
        <w:rPr>
          <w:spacing w:val="75"/>
        </w:rPr>
        <w:t> </w:t>
      </w:r>
      <w:r>
        <w:rPr>
          <w:spacing w:val="75"/>
        </w:rPr>
      </w:r>
      <w:r>
        <w:rPr>
          <w:spacing w:val="-4"/>
        </w:rPr>
        <w:t>化对国际国内金融形势的认识，正确把握金融本质，深化金融供给侧结构性改革，平衡好稳增长和防风险的关系，精准有效</w:t>
      </w:r>
      <w:r>
        <w:rPr>
          <w:spacing w:val="40"/>
        </w:rPr>
        <w:t> </w:t>
      </w:r>
      <w:r>
        <w:rPr>
          <w:spacing w:val="40"/>
        </w:rPr>
      </w:r>
      <w:r>
        <w:rPr>
          <w:spacing w:val="-4"/>
        </w:rPr>
        <w:t>处置重点领域风险，深化金融改革开放，增强金融服务实体经济能力，坚决打好防范化解包括金融风险在内的重大风险攻坚</w:t>
      </w:r>
      <w:r>
        <w:rPr>
          <w:spacing w:val="44"/>
        </w:rPr>
        <w:t> </w:t>
      </w:r>
      <w:r>
        <w:rPr>
          <w:spacing w:val="44"/>
        </w:rPr>
      </w:r>
      <w:r>
        <w:rPr>
          <w:spacing w:val="-4"/>
        </w:rPr>
        <w:t>战，推动我国金融业健康发展。受益于国家政策的大力扶持，同时在金融供给侧改革及云计算、大数据、人工智能等新兴技</w:t>
      </w:r>
    </w:p>
    <w:p>
      <w:pPr>
        <w:pStyle w:val="BodyText"/>
        <w:spacing w:line="240" w:lineRule="auto" w:before="56"/>
        <w:ind w:right="0"/>
        <w:jc w:val="both"/>
      </w:pPr>
      <w:r>
        <w:rPr>
          <w:spacing w:val="-3"/>
        </w:rPr>
        <w:t>术的推动下，我国金融业用户</w:t>
      </w:r>
      <w:r>
        <w:rPr>
          <w:rFonts w:ascii="宋体" w:hAnsi="宋体" w:cs="宋体" w:eastAsia="宋体" w:hint="default"/>
          <w:spacing w:val="-3"/>
        </w:rPr>
        <w:t>IT</w:t>
      </w:r>
      <w:r>
        <w:rPr>
          <w:spacing w:val="-3"/>
        </w:rPr>
        <w:t>应用需求也将有所增强，对投资交易、风控、渠道、管理、等</w:t>
      </w:r>
      <w:r>
        <w:rPr>
          <w:rFonts w:ascii="宋体" w:hAnsi="宋体" w:cs="宋体" w:eastAsia="宋体" w:hint="default"/>
          <w:spacing w:val="-3"/>
        </w:rPr>
        <w:t>IT</w:t>
      </w:r>
      <w:r>
        <w:rPr>
          <w:spacing w:val="-3"/>
        </w:rPr>
        <w:t>系统的需求也将不断增加，</w:t>
      </w:r>
    </w:p>
    <w:p>
      <w:pPr>
        <w:spacing w:after="0" w:line="240"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left="513" w:right="1055" w:hanging="360"/>
        <w:jc w:val="left"/>
      </w:pPr>
      <w:r>
        <w:rPr>
          <w:spacing w:val="-3"/>
        </w:rPr>
        <w:t>金融科技行业将开启一个全新的发展时代。</w:t>
      </w:r>
      <w:r>
        <w:rPr>
          <w:spacing w:val="-33"/>
        </w:rPr>
        <w:t> </w:t>
      </w:r>
      <w:r>
        <w:rPr>
          <w:spacing w:val="-33"/>
        </w:rPr>
      </w:r>
      <w:r>
        <w:rPr>
          <w:rFonts w:ascii="宋体" w:hAnsi="宋体" w:cs="宋体" w:eastAsia="宋体" w:hint="default"/>
          <w:spacing w:val="-4"/>
        </w:rPr>
        <w:t>2018</w:t>
      </w:r>
      <w:r>
        <w:rPr>
          <w:spacing w:val="-4"/>
        </w:rPr>
        <w:t>年</w:t>
      </w:r>
      <w:r>
        <w:rPr>
          <w:rFonts w:ascii="宋体" w:hAnsi="宋体" w:cs="宋体" w:eastAsia="宋体" w:hint="default"/>
          <w:spacing w:val="-4"/>
        </w:rPr>
        <w:t>2</w:t>
      </w:r>
      <w:r>
        <w:rPr>
          <w:spacing w:val="-4"/>
        </w:rPr>
        <w:t>月，由中国互联网金融协会联合芝麻信用管理有限公司、腾讯征信有限公司、北京华道征信有限公司等</w:t>
      </w:r>
      <w:r>
        <w:rPr>
          <w:rFonts w:ascii="宋体" w:hAnsi="宋体" w:cs="宋体" w:eastAsia="宋体" w:hint="default"/>
          <w:spacing w:val="-4"/>
        </w:rPr>
        <w:t>8</w:t>
      </w:r>
      <w:r>
        <w:rPr>
          <w:spacing w:val="-4"/>
        </w:rPr>
        <w:t>家企业</w:t>
      </w:r>
    </w:p>
    <w:p>
      <w:pPr>
        <w:pStyle w:val="BodyText"/>
        <w:spacing w:line="477" w:lineRule="auto" w:before="59"/>
        <w:ind w:right="1123"/>
        <w:jc w:val="both"/>
      </w:pPr>
      <w:r>
        <w:rPr>
          <w:spacing w:val="-3"/>
        </w:rPr>
        <w:t>共同参与发起成立的百行征信有限公司获得中国人民银行个人征信业务经营许可，并于</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月在深圳正式挂牌成立。随</w:t>
      </w:r>
      <w:r>
        <w:rPr>
          <w:spacing w:val="77"/>
        </w:rPr>
        <w:t> </w:t>
      </w:r>
      <w:r>
        <w:rPr>
          <w:spacing w:val="77"/>
        </w:rPr>
      </w:r>
      <w:r>
        <w:rPr>
          <w:spacing w:val="-4"/>
        </w:rPr>
        <w:t>着普惠金融的迅速发展，尤其是网贷、消费金融等行业的发展，以政府主导的征信体系已无法满足当前的市场需求，我国的</w:t>
      </w:r>
      <w:r>
        <w:rPr>
          <w:spacing w:val="40"/>
        </w:rPr>
        <w:t> </w:t>
      </w:r>
      <w:r>
        <w:rPr>
          <w:spacing w:val="40"/>
        </w:rPr>
      </w:r>
      <w:r>
        <w:rPr>
          <w:spacing w:val="-4"/>
        </w:rPr>
        <w:t>个人征信市场迎来新的发展机遇，也成为了信用行业关注的焦点，信贷规模直接决定了征信市场的大小。据中国人民银行数</w:t>
      </w:r>
      <w:r>
        <w:rPr>
          <w:spacing w:val="43"/>
        </w:rPr>
        <w:t> </w:t>
      </w:r>
      <w:r>
        <w:rPr>
          <w:spacing w:val="43"/>
        </w:rPr>
      </w:r>
      <w:r>
        <w:rPr>
          <w:spacing w:val="-3"/>
        </w:rPr>
        <w:t>据显示，截至</w:t>
      </w:r>
      <w:r>
        <w:rPr>
          <w:rFonts w:ascii="宋体" w:hAnsi="宋体" w:cs="宋体" w:eastAsia="宋体" w:hint="default"/>
          <w:spacing w:val="-3"/>
        </w:rPr>
        <w:t>2018</w:t>
      </w:r>
      <w:r>
        <w:rPr>
          <w:spacing w:val="-3"/>
        </w:rPr>
        <w:t>年底，我国消费性贷款余额（除房贷外）规模达到</w:t>
      </w:r>
      <w:r>
        <w:rPr>
          <w:rFonts w:ascii="宋体" w:hAnsi="宋体" w:cs="宋体" w:eastAsia="宋体" w:hint="default"/>
          <w:spacing w:val="-3"/>
        </w:rPr>
        <w:t>12.05</w:t>
      </w:r>
      <w:r>
        <w:rPr>
          <w:spacing w:val="-3"/>
        </w:rPr>
        <w:t>万亿元，同比增长</w:t>
      </w:r>
      <w:r>
        <w:rPr>
          <w:rFonts w:ascii="宋体" w:hAnsi="宋体" w:cs="宋体" w:eastAsia="宋体" w:hint="default"/>
          <w:spacing w:val="-3"/>
        </w:rPr>
        <w:t>25.52%</w:t>
      </w:r>
      <w:r>
        <w:rPr>
          <w:spacing w:val="-3"/>
        </w:rPr>
        <w:t>，消费信贷市场前景十</w:t>
      </w:r>
      <w:r>
        <w:rPr>
          <w:spacing w:val="4"/>
        </w:rPr>
        <w:t> </w:t>
      </w:r>
      <w:r>
        <w:rPr>
          <w:spacing w:val="4"/>
        </w:rPr>
      </w:r>
      <w:r>
        <w:rPr>
          <w:spacing w:val="-3"/>
        </w:rPr>
        <w:t>分广阔。消费信贷的快速增长，为个人征信带来市场基础，也对个人征信机构的信用评估业务提供市场空间。</w:t>
      </w:r>
    </w:p>
    <w:p>
      <w:pPr>
        <w:pStyle w:val="BodyText"/>
        <w:spacing w:line="477" w:lineRule="auto" w:before="52"/>
        <w:ind w:right="1122" w:firstLine="360"/>
        <w:jc w:val="both"/>
      </w:pPr>
      <w:r>
        <w:rPr>
          <w:spacing w:val="-4"/>
        </w:rPr>
        <w:t>随着互联网的发展、新兴行业的兴起，征信的市场应用场景愈来愈广阔，凭信用记录订酒店、在线申请小额贷、共享单</w:t>
      </w:r>
      <w:r>
        <w:rPr>
          <w:w w:val="101"/>
        </w:rPr>
        <w:t> </w:t>
      </w:r>
      <w:r>
        <w:rPr>
          <w:spacing w:val="-4"/>
        </w:rPr>
        <w:t>车信用租骑等，都能依靠个人征信实现。随着社会信用体系的健全，个人征信将在信贷、求职、租赁、公共管理等多个领域</w:t>
      </w:r>
      <w:r>
        <w:rPr>
          <w:spacing w:val="40"/>
        </w:rPr>
        <w:t> </w:t>
      </w:r>
      <w:r>
        <w:rPr>
          <w:spacing w:val="40"/>
        </w:rPr>
      </w:r>
      <w:r>
        <w:rPr>
          <w:spacing w:val="-4"/>
        </w:rPr>
        <w:t>发挥重要作用，征信行业也将迎来重要的发展契机。此外，随着个人征信牌照的落地和数据收集、运算、挖掘等基础层面软</w:t>
      </w:r>
      <w:r>
        <w:rPr>
          <w:spacing w:val="40"/>
        </w:rPr>
        <w:t> </w:t>
      </w:r>
      <w:r>
        <w:rPr>
          <w:spacing w:val="40"/>
        </w:rPr>
      </w:r>
      <w:r>
        <w:rPr>
          <w:spacing w:val="-3"/>
        </w:rPr>
        <w:t>硬件能力的成熟，中国个人征信行业的市场渗透率也将显著提升。随着“互联网</w:t>
      </w:r>
      <w:r>
        <w:rPr>
          <w:rFonts w:ascii="宋体" w:hAnsi="宋体" w:cs="宋体" w:eastAsia="宋体" w:hint="default"/>
          <w:spacing w:val="-3"/>
        </w:rPr>
        <w:t>+</w:t>
      </w:r>
      <w:r>
        <w:rPr>
          <w:spacing w:val="-3"/>
        </w:rPr>
        <w:t>”的时代带来，人们日常消费行为逐步网</w:t>
      </w:r>
      <w:r>
        <w:rPr>
          <w:spacing w:val="71"/>
        </w:rPr>
        <w:t> </w:t>
      </w:r>
      <w:r>
        <w:rPr>
          <w:spacing w:val="71"/>
        </w:rPr>
      </w:r>
      <w:r>
        <w:rPr>
          <w:spacing w:val="-4"/>
        </w:rPr>
        <w:t>络化，而且信用消费规模持续扩大，给征信行业发展提供了重要的需求来源。个人信用状况涵盖范围广，包括消费支付、网</w:t>
      </w:r>
      <w:r>
        <w:rPr>
          <w:spacing w:val="40"/>
        </w:rPr>
        <w:t> </w:t>
      </w:r>
      <w:r>
        <w:rPr>
          <w:spacing w:val="40"/>
        </w:rPr>
      </w:r>
      <w:r>
        <w:rPr>
          <w:spacing w:val="-4"/>
        </w:rPr>
        <w:t>络借贷、出行住宿、通讯缴费、社交信息等各个方面，加上我国庞大的人口基数，未来中国个人征信行业的潜在市场规模将</w:t>
      </w:r>
      <w:r>
        <w:rPr>
          <w:spacing w:val="40"/>
        </w:rPr>
        <w:t> </w:t>
      </w:r>
      <w:r>
        <w:rPr>
          <w:spacing w:val="40"/>
        </w:rPr>
      </w:r>
      <w:r>
        <w:rPr/>
        <w:t>迎来爆发式增长。</w:t>
      </w:r>
    </w:p>
    <w:p>
      <w:pPr>
        <w:pStyle w:val="BodyText"/>
        <w:spacing w:line="475" w:lineRule="auto" w:before="56"/>
        <w:ind w:left="513" w:right="1055"/>
        <w:jc w:val="left"/>
      </w:pPr>
      <w:r>
        <w:rPr>
          <w:spacing w:val="-3"/>
        </w:rPr>
        <w:t>（二）公司发展战略</w:t>
      </w:r>
      <w:r>
        <w:rPr>
          <w:spacing w:val="-62"/>
        </w:rPr>
        <w:t> </w:t>
      </w:r>
      <w:r>
        <w:rPr>
          <w:spacing w:val="-62"/>
        </w:rPr>
      </w:r>
      <w:r>
        <w:rPr>
          <w:spacing w:val="-4"/>
        </w:rPr>
        <w:t>公司目前主营业务包括金融信息化服务、移动信息服务和电子商务三大领域。经过近年来的布局，公司已经发展成为涉</w:t>
      </w:r>
    </w:p>
    <w:p>
      <w:pPr>
        <w:pStyle w:val="BodyText"/>
        <w:spacing w:line="475" w:lineRule="auto" w:before="58"/>
        <w:ind w:left="513" w:right="1055" w:hanging="360"/>
        <w:jc w:val="left"/>
      </w:pPr>
      <w:r>
        <w:rPr>
          <w:spacing w:val="-3"/>
        </w:rPr>
        <w:t>及</w:t>
      </w:r>
      <w:r>
        <w:rPr>
          <w:rFonts w:ascii="宋体" w:hAnsi="宋体" w:cs="宋体" w:eastAsia="宋体" w:hint="default"/>
          <w:spacing w:val="-3"/>
        </w:rPr>
        <w:t>IT</w:t>
      </w:r>
      <w:r>
        <w:rPr>
          <w:spacing w:val="-3"/>
        </w:rPr>
        <w:t>、</w:t>
      </w:r>
      <w:r>
        <w:rPr>
          <w:rFonts w:ascii="宋体" w:hAnsi="宋体" w:cs="宋体" w:eastAsia="宋体" w:hint="default"/>
          <w:spacing w:val="-3"/>
        </w:rPr>
        <w:t>DT</w:t>
      </w:r>
      <w:r>
        <w:rPr>
          <w:spacing w:val="-3"/>
        </w:rPr>
        <w:t>、支付、个人征信、互联网保险、证券等业务领域的综合持牌金融科技公司。</w:t>
      </w:r>
      <w:r>
        <w:rPr>
          <w:spacing w:val="26"/>
        </w:rPr>
        <w:t> </w:t>
      </w:r>
      <w:r>
        <w:rPr>
          <w:spacing w:val="26"/>
        </w:rPr>
      </w:r>
      <w:r>
        <w:rPr>
          <w:spacing w:val="-3"/>
        </w:rPr>
        <w:t>未来，公司将紧紧抓住粤港澳大湾区背景下金融科技发展的重大机遇，在持续巩固三大主营业务核心竞争优势的同时，</w:t>
      </w:r>
    </w:p>
    <w:p>
      <w:pPr>
        <w:pStyle w:val="BodyText"/>
        <w:spacing w:line="477" w:lineRule="auto" w:before="58"/>
        <w:ind w:right="1055"/>
        <w:jc w:val="left"/>
      </w:pPr>
      <w:r>
        <w:rPr>
          <w:spacing w:val="-4"/>
        </w:rPr>
        <w:t>依托自身技术、客户资源、行业服务经验等优势，通过充分发挥各业务板块间的协同效应，积极推进在金融服务领域业务的</w:t>
      </w:r>
      <w:r>
        <w:rPr>
          <w:spacing w:val="41"/>
        </w:rPr>
        <w:t> </w:t>
      </w:r>
      <w:r>
        <w:rPr>
          <w:spacing w:val="41"/>
        </w:rPr>
      </w:r>
      <w:r>
        <w:rPr>
          <w:spacing w:val="-6"/>
        </w:rPr>
        <w:t>延伸，引领公司在金融服务领域实现跨越式发展；通过大力发展个人征信相关的金融基础服务业务，以及参与发起设立证券、</w:t>
      </w:r>
      <w:r>
        <w:rPr>
          <w:spacing w:val="63"/>
        </w:rPr>
        <w:t> </w:t>
      </w:r>
      <w:r>
        <w:rPr>
          <w:spacing w:val="63"/>
        </w:rPr>
      </w:r>
      <w:r>
        <w:rPr>
          <w:spacing w:val="-4"/>
        </w:rPr>
        <w:t>互联网保险、上海保交所等金融服务机构，构建以金融科技为基础的综合金融生态服务体系。在具体经营层面，公司将充分</w:t>
      </w:r>
      <w:r>
        <w:rPr>
          <w:spacing w:val="40"/>
        </w:rPr>
        <w:t> </w:t>
      </w:r>
      <w:r>
        <w:rPr>
          <w:spacing w:val="40"/>
        </w:rPr>
      </w:r>
      <w:r>
        <w:rPr>
          <w:spacing w:val="-4"/>
        </w:rPr>
        <w:t>发挥在金融服务各业务领域间的协同效应，对外做大做强既有业务，对内优化经营管理效率，在技术研发、产品创新、商业</w:t>
      </w:r>
      <w:r>
        <w:rPr>
          <w:spacing w:val="40"/>
        </w:rPr>
        <w:t> </w:t>
      </w:r>
      <w:r>
        <w:rPr>
          <w:spacing w:val="40"/>
        </w:rPr>
      </w:r>
      <w:r>
        <w:rPr>
          <w:spacing w:val="-4"/>
        </w:rPr>
        <w:t>模式创新和集团化管理等方面狠抓落实，致力于为国内金融机构、互联网金融企业、个人消费者提供全面的创新金融科技服</w:t>
      </w:r>
      <w:r>
        <w:rPr>
          <w:spacing w:val="43"/>
        </w:rPr>
        <w:t> </w:t>
      </w:r>
      <w:r>
        <w:rPr>
          <w:spacing w:val="43"/>
        </w:rPr>
      </w:r>
      <w:r>
        <w:rPr>
          <w:spacing w:val="-3"/>
        </w:rPr>
        <w:t>务，实现公司经营业绩的快速提升。</w:t>
      </w:r>
    </w:p>
    <w:p>
      <w:pPr>
        <w:pStyle w:val="BodyText"/>
        <w:spacing w:line="475" w:lineRule="auto" w:before="57"/>
        <w:ind w:left="513" w:right="5823"/>
        <w:jc w:val="left"/>
      </w:pPr>
      <w:r>
        <w:rPr>
          <w:spacing w:val="-3"/>
        </w:rPr>
        <w:t>（三）公司经营计划</w:t>
      </w:r>
      <w:r>
        <w:rPr>
          <w:spacing w:val="-62"/>
        </w:rPr>
        <w:t> </w:t>
      </w:r>
      <w:r>
        <w:rPr>
          <w:spacing w:val="-62"/>
        </w:rPr>
      </w:r>
      <w:r>
        <w:rPr>
          <w:rFonts w:ascii="宋体" w:hAnsi="宋体" w:cs="宋体" w:eastAsia="宋体" w:hint="default"/>
          <w:spacing w:val="-3"/>
        </w:rPr>
        <w:t>1</w:t>
      </w:r>
      <w:r>
        <w:rPr>
          <w:spacing w:val="-3"/>
        </w:rPr>
        <w:t>、前期披露的发展战略和经营计划在报告期内的进展</w:t>
      </w:r>
    </w:p>
    <w:p>
      <w:pPr>
        <w:pStyle w:val="BodyText"/>
        <w:spacing w:line="477" w:lineRule="auto" w:before="58"/>
        <w:ind w:right="1055" w:firstLine="360"/>
        <w:jc w:val="left"/>
      </w:pPr>
      <w:r>
        <w:rPr>
          <w:spacing w:val="-4"/>
        </w:rPr>
        <w:t>公司</w:t>
      </w:r>
      <w:r>
        <w:rPr>
          <w:rFonts w:ascii="宋体" w:hAnsi="宋体" w:cs="宋体" w:eastAsia="宋体" w:hint="default"/>
          <w:spacing w:val="-4"/>
        </w:rPr>
        <w:t>2017</w:t>
      </w:r>
      <w:r>
        <w:rPr>
          <w:spacing w:val="-4"/>
        </w:rPr>
        <w:t>年度报告中披露了公司报告期内的经营计划。报告期内，公司围绕长期战略规划和近期发展目标，立足于目前</w:t>
      </w:r>
      <w:r>
        <w:rPr>
          <w:w w:val="101"/>
        </w:rPr>
        <w:t> </w:t>
      </w:r>
      <w:r>
        <w:rPr>
          <w:spacing w:val="-6"/>
        </w:rPr>
        <w:t>已有的业务布局基础，稳步推进计划的贯彻落实。一方面，着力推动已布局的个人征信、互联网保险、证券业务的项目落地；</w:t>
      </w:r>
      <w:r>
        <w:rPr>
          <w:spacing w:val="67"/>
        </w:rPr>
        <w:t> </w:t>
      </w:r>
      <w:r>
        <w:rPr>
          <w:spacing w:val="67"/>
        </w:rPr>
      </w:r>
      <w:r>
        <w:rPr>
          <w:spacing w:val="-4"/>
        </w:rPr>
        <w:t>另一方面，发挥在各投资领域的整合优势，扎实推进公司互联网金融产业发展战略，逐步构建互联网金融的产业生态圈，推</w:t>
      </w:r>
    </w:p>
    <w:p>
      <w:pPr>
        <w:spacing w:after="0" w:line="477" w:lineRule="auto"/>
        <w:jc w:val="left"/>
        <w:sectPr>
          <w:footerReference w:type="default" r:id="rId18"/>
          <w:pgSz w:w="11910" w:h="16840"/>
          <w:pgMar w:footer="1508" w:header="871" w:top="1100" w:bottom="1700" w:left="980" w:right="0"/>
          <w:pgNumType w:start="38"/>
        </w:sectPr>
      </w:pPr>
    </w:p>
    <w:p>
      <w:pPr>
        <w:spacing w:line="240" w:lineRule="auto" w:before="1"/>
        <w:rPr>
          <w:rFonts w:ascii="宋体" w:hAnsi="宋体" w:cs="宋体" w:eastAsia="宋体" w:hint="default"/>
          <w:sz w:val="28"/>
          <w:szCs w:val="28"/>
        </w:rPr>
      </w:pPr>
    </w:p>
    <w:p>
      <w:pPr>
        <w:pStyle w:val="BodyText"/>
        <w:spacing w:line="475" w:lineRule="auto" w:before="46"/>
        <w:ind w:right="1124" w:firstLine="360"/>
        <w:jc w:val="right"/>
      </w:pPr>
      <w:r>
        <w:rPr>
          <w:rFonts w:ascii="宋体" w:hAnsi="宋体" w:cs="宋体" w:eastAsia="宋体" w:hint="default"/>
          <w:spacing w:val="-3"/>
        </w:rPr>
        <w:t>1</w:t>
      </w:r>
      <w:r>
        <w:rPr>
          <w:spacing w:val="-3"/>
        </w:rPr>
        <w:t>）围绕金融信息化、移动信息服务、电子商务等三大主营业务努力开展经营管理工作，实现公司全年经营业绩目标；</w:t>
      </w:r>
      <w:r>
        <w:rPr>
          <w:w w:val="101"/>
        </w:rPr>
        <w:t> </w:t>
      </w:r>
      <w:r>
        <w:rPr>
          <w:spacing w:val="-4"/>
        </w:rPr>
        <w:t>报告期内，公司围绕既定战略目标扎实推进已有主营业务的经营管理工作，全年营业收入和净利润实现了稳定增长。其</w:t>
      </w:r>
      <w:r>
        <w:rPr>
          <w:w w:val="101"/>
        </w:rPr>
        <w:t> </w:t>
      </w:r>
      <w:r>
        <w:rPr>
          <w:spacing w:val="-4"/>
        </w:rPr>
        <w:t>中，公司持续落实和推进金融信息化领域的市场推广力度，并成功中标中国农业银行印控仪项目，涉及标的产品的合同总金</w:t>
      </w:r>
      <w:r>
        <w:rPr>
          <w:spacing w:val="28"/>
        </w:rPr>
        <w:t> </w:t>
      </w:r>
      <w:r>
        <w:rPr>
          <w:spacing w:val="28"/>
        </w:rPr>
      </w:r>
      <w:r>
        <w:rPr>
          <w:spacing w:val="-3"/>
        </w:rPr>
        <w:t>额约为</w:t>
      </w:r>
      <w:r>
        <w:rPr>
          <w:rFonts w:ascii="宋体" w:hAnsi="宋体" w:cs="宋体" w:eastAsia="宋体" w:hint="default"/>
          <w:spacing w:val="-3"/>
        </w:rPr>
        <w:t>2.3</w:t>
      </w:r>
      <w:r>
        <w:rPr>
          <w:spacing w:val="-3"/>
        </w:rPr>
        <w:t>亿元，实现金融信息化业务营业收入的大幅增长。同时，公司移动信息服务和数据服务业务继续保持稳定的营业</w:t>
      </w:r>
    </w:p>
    <w:p>
      <w:pPr>
        <w:pStyle w:val="BodyText"/>
        <w:spacing w:line="240" w:lineRule="auto" w:before="58"/>
        <w:ind w:right="1055"/>
        <w:jc w:val="left"/>
      </w:pPr>
      <w:r>
        <w:rPr/>
        <w:t>利润。</w:t>
      </w:r>
    </w:p>
    <w:p>
      <w:pPr>
        <w:spacing w:line="240" w:lineRule="auto" w:before="8"/>
        <w:rPr>
          <w:rFonts w:ascii="宋体" w:hAnsi="宋体" w:cs="宋体" w:eastAsia="宋体" w:hint="default"/>
          <w:sz w:val="17"/>
          <w:szCs w:val="17"/>
        </w:rPr>
      </w:pPr>
    </w:p>
    <w:p>
      <w:pPr>
        <w:pStyle w:val="BodyText"/>
        <w:spacing w:line="480" w:lineRule="auto"/>
        <w:ind w:left="513" w:right="1055"/>
        <w:jc w:val="left"/>
      </w:pPr>
      <w:r>
        <w:rPr>
          <w:rFonts w:ascii="宋体" w:hAnsi="宋体" w:cs="宋体" w:eastAsia="宋体" w:hint="default"/>
          <w:spacing w:val="-3"/>
        </w:rPr>
        <w:t>2</w:t>
      </w:r>
      <w:r>
        <w:rPr>
          <w:spacing w:val="-3"/>
        </w:rPr>
        <w:t>）加强对子公司的业务和运营规范的管理，进一步完善集团化的公司内部控制管理体系；</w:t>
      </w:r>
      <w:r>
        <w:rPr>
          <w:spacing w:val="29"/>
        </w:rPr>
        <w:t> </w:t>
      </w:r>
      <w:r>
        <w:rPr>
          <w:spacing w:val="29"/>
        </w:rPr>
      </w:r>
      <w:r>
        <w:rPr>
          <w:spacing w:val="-4"/>
        </w:rPr>
        <w:t>报告期内，公司根据法律法规的相关要求并结合公司经营实际需求，建立了符合公司业务特点和经营需求的内部控制管</w:t>
      </w:r>
    </w:p>
    <w:p>
      <w:pPr>
        <w:pStyle w:val="BodyText"/>
        <w:spacing w:line="477" w:lineRule="auto" w:before="50"/>
        <w:ind w:left="513" w:right="1055" w:hanging="360"/>
        <w:jc w:val="left"/>
      </w:pPr>
      <w:r>
        <w:rPr>
          <w:spacing w:val="-3"/>
        </w:rPr>
        <w:t>理体系，并定期开展内部控制自我评价，使公司运营管理更规范、高效，为公司把控风险、稳健经营打下良好基础。</w:t>
      </w:r>
      <w:r>
        <w:rPr>
          <w:spacing w:val="60"/>
        </w:rPr>
        <w:t> </w:t>
      </w:r>
      <w:r>
        <w:rPr>
          <w:spacing w:val="60"/>
        </w:rPr>
      </w:r>
      <w:r>
        <w:rPr>
          <w:rFonts w:ascii="宋体" w:hAnsi="宋体" w:cs="宋体" w:eastAsia="宋体" w:hint="default"/>
          <w:spacing w:val="-3"/>
        </w:rPr>
        <w:t>3</w:t>
      </w:r>
      <w:r>
        <w:rPr>
          <w:spacing w:val="-3"/>
        </w:rPr>
        <w:t>）整合公司业务资源，发挥各产业布局之间的协同作用，通过创新产品和业务推动公司业绩提升；</w:t>
      </w:r>
      <w:r>
        <w:rPr>
          <w:w w:val="101"/>
        </w:rPr>
        <w:t> </w:t>
      </w:r>
      <w:r>
        <w:rPr>
          <w:spacing w:val="-5"/>
        </w:rPr>
        <w:t>报告期内，公司积极整合现有各项业务资源，旗下互联网保险、个人征信、数据服务等业务协同发展。其中，由华道征</w:t>
      </w:r>
    </w:p>
    <w:p>
      <w:pPr>
        <w:pStyle w:val="BodyText"/>
        <w:spacing w:line="475" w:lineRule="auto" w:before="56"/>
        <w:ind w:right="1055"/>
        <w:jc w:val="left"/>
      </w:pPr>
      <w:r>
        <w:rPr>
          <w:spacing w:val="-3"/>
        </w:rPr>
        <w:t>信入股的百行征信有限公司于</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月在深圳正式挂牌成立，百行征信应监管部门关于征信体系建设和构建“政府</w:t>
      </w:r>
      <w:r>
        <w:rPr>
          <w:rFonts w:ascii="宋体" w:hAnsi="宋体" w:cs="宋体" w:eastAsia="宋体" w:hint="default"/>
          <w:spacing w:val="-3"/>
        </w:rPr>
        <w:t>+</w:t>
      </w:r>
      <w:r>
        <w:rPr>
          <w:spacing w:val="-3"/>
        </w:rPr>
        <w:t>市场”</w:t>
      </w:r>
      <w:r>
        <w:rPr>
          <w:spacing w:val="81"/>
        </w:rPr>
        <w:t> </w:t>
      </w:r>
      <w:r>
        <w:rPr>
          <w:spacing w:val="81"/>
        </w:rPr>
      </w:r>
      <w:r>
        <w:rPr>
          <w:spacing w:val="-4"/>
        </w:rPr>
        <w:t>双轮驱动征信框架的总体部署要求，于</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日正式启动了个人征信系统、特别关注名单平台和信息核验平台三款产品</w:t>
      </w:r>
      <w:r>
        <w:rPr>
          <w:spacing w:val="54"/>
        </w:rPr>
        <w:t> </w:t>
      </w:r>
      <w:r>
        <w:rPr>
          <w:spacing w:val="54"/>
        </w:rPr>
      </w:r>
      <w:r>
        <w:rPr>
          <w:spacing w:val="-3"/>
        </w:rPr>
        <w:t>的上线验证测试工作；易安保险以互联网保险为特色开展业务经营，</w:t>
      </w:r>
      <w:r>
        <w:rPr>
          <w:rFonts w:ascii="宋体" w:hAnsi="宋体" w:cs="宋体" w:eastAsia="宋体" w:hint="default"/>
          <w:spacing w:val="-3"/>
        </w:rPr>
        <w:t>2018</w:t>
      </w:r>
      <w:r>
        <w:rPr>
          <w:spacing w:val="-3"/>
        </w:rPr>
        <w:t>年度实现原保险保费收入</w:t>
      </w:r>
      <w:r>
        <w:rPr>
          <w:rFonts w:ascii="宋体" w:hAnsi="宋体" w:cs="宋体" w:eastAsia="宋体" w:hint="default"/>
          <w:spacing w:val="-3"/>
        </w:rPr>
        <w:t>12.84</w:t>
      </w:r>
      <w:r>
        <w:rPr>
          <w:spacing w:val="-3"/>
        </w:rPr>
        <w:t>亿元，较上年同比</w:t>
      </w:r>
      <w:r>
        <w:rPr>
          <w:spacing w:val="83"/>
        </w:rPr>
        <w:t> </w:t>
      </w:r>
      <w:r>
        <w:rPr>
          <w:spacing w:val="83"/>
        </w:rPr>
      </w:r>
      <w:r>
        <w:rPr/>
        <w:t>增长</w:t>
      </w:r>
      <w:r>
        <w:rPr>
          <w:rFonts w:ascii="宋体" w:hAnsi="宋体" w:cs="宋体" w:eastAsia="宋体" w:hint="default"/>
        </w:rPr>
        <w:t>53.05%</w:t>
      </w:r>
      <w:r>
        <w:rPr/>
        <w:t>。</w:t>
      </w:r>
    </w:p>
    <w:p>
      <w:pPr>
        <w:pStyle w:val="BodyText"/>
        <w:spacing w:line="475" w:lineRule="auto" w:before="58"/>
        <w:ind w:left="513" w:right="1055"/>
        <w:jc w:val="left"/>
      </w:pPr>
      <w:r>
        <w:rPr>
          <w:rFonts w:ascii="宋体" w:hAnsi="宋体" w:cs="宋体" w:eastAsia="宋体" w:hint="default"/>
          <w:spacing w:val="-3"/>
        </w:rPr>
        <w:t>4</w:t>
      </w:r>
      <w:r>
        <w:rPr>
          <w:spacing w:val="-3"/>
        </w:rPr>
        <w:t>）根据公司业务发展需要，利用资本市场平台，适时开展对外投资或收购兼并，推进公司外延式发展。</w:t>
      </w:r>
      <w:r>
        <w:rPr>
          <w:spacing w:val="47"/>
        </w:rPr>
        <w:t> </w:t>
      </w:r>
      <w:r>
        <w:rPr>
          <w:spacing w:val="47"/>
        </w:rPr>
      </w:r>
      <w:r>
        <w:rPr>
          <w:spacing w:val="-4"/>
        </w:rPr>
        <w:t>报告期内，公司在金融服务领域的业务延伸发展取得了重要进展，综合金融生态服务体系的业务布局日趋完善。对外投</w:t>
      </w:r>
    </w:p>
    <w:p>
      <w:pPr>
        <w:pStyle w:val="BodyText"/>
        <w:spacing w:line="477" w:lineRule="auto" w:before="58"/>
        <w:ind w:right="1126"/>
        <w:jc w:val="both"/>
      </w:pPr>
      <w:r>
        <w:rPr>
          <w:spacing w:val="-3"/>
        </w:rPr>
        <w:t>资方面，公司使用自有资金</w:t>
      </w:r>
      <w:r>
        <w:rPr>
          <w:rFonts w:ascii="宋体" w:hAnsi="宋体" w:cs="宋体" w:eastAsia="宋体" w:hint="default"/>
          <w:spacing w:val="-3"/>
        </w:rPr>
        <w:t>300</w:t>
      </w:r>
      <w:r>
        <w:rPr>
          <w:spacing w:val="-3"/>
        </w:rPr>
        <w:t>万元设立全资子公司深圳银之杰拓扑技术有限公司，主要从事创新产品、创新业务的研究和</w:t>
      </w:r>
      <w:r>
        <w:rPr>
          <w:spacing w:val="72"/>
        </w:rPr>
        <w:t> </w:t>
      </w:r>
      <w:r>
        <w:rPr>
          <w:spacing w:val="72"/>
        </w:rPr>
      </w:r>
      <w:r>
        <w:rPr>
          <w:spacing w:val="-4"/>
        </w:rPr>
        <w:t>开拓；公司为进一步推进和完善公司组织架构，将公司全资子公司深圳市银之杰金融设备有限公司的</w:t>
      </w:r>
      <w:r>
        <w:rPr>
          <w:rFonts w:ascii="宋体" w:hAnsi="宋体" w:cs="宋体" w:eastAsia="宋体" w:hint="default"/>
          <w:spacing w:val="-4"/>
        </w:rPr>
        <w:t>100%</w:t>
      </w:r>
      <w:r>
        <w:rPr>
          <w:spacing w:val="-4"/>
        </w:rPr>
        <w:t>股权划转至全资子</w:t>
      </w:r>
      <w:r>
        <w:rPr>
          <w:spacing w:val="47"/>
        </w:rPr>
        <w:t> </w:t>
      </w:r>
      <w:r>
        <w:rPr>
          <w:spacing w:val="47"/>
        </w:rPr>
      </w:r>
      <w:r>
        <w:rPr>
          <w:spacing w:val="-3"/>
        </w:rPr>
        <w:t>公司深圳银之杰智慧科技有限公司持有，深圳市银之杰金融设备有限公司变更为公司全资孙公司。</w:t>
      </w:r>
    </w:p>
    <w:p>
      <w:pPr>
        <w:pStyle w:val="BodyText"/>
        <w:spacing w:line="240" w:lineRule="auto" w:before="52"/>
        <w:ind w:left="513" w:right="1055"/>
        <w:jc w:val="left"/>
      </w:pPr>
      <w:r>
        <w:rPr>
          <w:rFonts w:ascii="宋体" w:hAnsi="宋体" w:cs="宋体" w:eastAsia="宋体" w:hint="default"/>
        </w:rPr>
        <w:t>2</w:t>
      </w:r>
      <w:r>
        <w:rPr/>
        <w:t>、</w:t>
      </w:r>
      <w:r>
        <w:rPr>
          <w:rFonts w:ascii="宋体" w:hAnsi="宋体" w:cs="宋体" w:eastAsia="宋体" w:hint="default"/>
        </w:rPr>
        <w:t>2019</w:t>
      </w:r>
      <w:r>
        <w:rPr/>
        <w:t>年度经营计划</w:t>
      </w:r>
    </w:p>
    <w:p>
      <w:pPr>
        <w:spacing w:line="240" w:lineRule="auto" w:before="13"/>
        <w:rPr>
          <w:rFonts w:ascii="宋体" w:hAnsi="宋体" w:cs="宋体" w:eastAsia="宋体" w:hint="default"/>
          <w:sz w:val="17"/>
          <w:szCs w:val="17"/>
        </w:rPr>
      </w:pPr>
    </w:p>
    <w:p>
      <w:pPr>
        <w:pStyle w:val="BodyText"/>
        <w:spacing w:line="240" w:lineRule="auto"/>
        <w:ind w:left="513" w:right="1055"/>
        <w:jc w:val="left"/>
      </w:pPr>
      <w:r>
        <w:rPr>
          <w:rFonts w:ascii="宋体" w:hAnsi="宋体" w:cs="宋体" w:eastAsia="宋体" w:hint="default"/>
          <w:spacing w:val="-3"/>
        </w:rPr>
        <w:t>2019</w:t>
      </w:r>
      <w:r>
        <w:rPr>
          <w:spacing w:val="-3"/>
        </w:rPr>
        <w:t>年公司的经营工作主要围绕以下四个方面展开：</w:t>
      </w:r>
    </w:p>
    <w:p>
      <w:pPr>
        <w:spacing w:line="240" w:lineRule="auto" w:before="8"/>
        <w:rPr>
          <w:rFonts w:ascii="宋体" w:hAnsi="宋体" w:cs="宋体" w:eastAsia="宋体" w:hint="default"/>
          <w:sz w:val="17"/>
          <w:szCs w:val="17"/>
        </w:rPr>
      </w:pPr>
    </w:p>
    <w:p>
      <w:pPr>
        <w:pStyle w:val="BodyText"/>
        <w:spacing w:line="480" w:lineRule="auto"/>
        <w:ind w:right="1055" w:firstLine="360"/>
        <w:jc w:val="left"/>
      </w:pPr>
      <w:r>
        <w:rPr>
          <w:rFonts w:ascii="宋体" w:hAnsi="宋体" w:cs="宋体" w:eastAsia="宋体" w:hint="default"/>
          <w:spacing w:val="-3"/>
        </w:rPr>
        <w:t>1</w:t>
      </w:r>
      <w:r>
        <w:rPr>
          <w:spacing w:val="-3"/>
        </w:rPr>
        <w:t>）以业务和产品创新为驱动力，推动金融信息化、移动信息服务、电子商务等三大主营业务的开拓发展，实现公司全</w:t>
      </w:r>
      <w:r>
        <w:rPr>
          <w:w w:val="101"/>
        </w:rPr>
        <w:t> </w:t>
      </w:r>
      <w:r>
        <w:rPr/>
        <w:t>年经营业绩目标；</w:t>
      </w:r>
    </w:p>
    <w:p>
      <w:pPr>
        <w:pStyle w:val="BodyText"/>
        <w:spacing w:line="240" w:lineRule="auto" w:before="50"/>
        <w:ind w:left="513" w:right="1055"/>
        <w:jc w:val="left"/>
      </w:pPr>
      <w:r>
        <w:rPr>
          <w:rFonts w:ascii="宋体" w:hAnsi="宋体" w:cs="宋体" w:eastAsia="宋体" w:hint="default"/>
          <w:spacing w:val="-3"/>
        </w:rPr>
        <w:t>2</w:t>
      </w:r>
      <w:r>
        <w:rPr>
          <w:spacing w:val="-3"/>
        </w:rPr>
        <w:t>）积极整合公司业务资源，开拓以个人征信、数据服务为核心方向的金融科技创新市场；</w:t>
      </w:r>
    </w:p>
    <w:p>
      <w:pPr>
        <w:spacing w:line="240" w:lineRule="auto" w:before="13"/>
        <w:rPr>
          <w:rFonts w:ascii="宋体" w:hAnsi="宋体" w:cs="宋体" w:eastAsia="宋体" w:hint="default"/>
          <w:sz w:val="17"/>
          <w:szCs w:val="17"/>
        </w:rPr>
      </w:pPr>
    </w:p>
    <w:p>
      <w:pPr>
        <w:pStyle w:val="BodyText"/>
        <w:spacing w:line="240" w:lineRule="auto"/>
        <w:ind w:left="513" w:right="1055"/>
        <w:jc w:val="left"/>
      </w:pPr>
      <w:r>
        <w:rPr>
          <w:rFonts w:ascii="宋体" w:hAnsi="宋体" w:cs="宋体" w:eastAsia="宋体" w:hint="default"/>
          <w:spacing w:val="-3"/>
        </w:rPr>
        <w:t>3</w:t>
      </w:r>
      <w:r>
        <w:rPr>
          <w:spacing w:val="-3"/>
        </w:rPr>
        <w:t>）协助、推动公司对外投资的战略业务把握机遇、良性发展，为公司投资收益产生积极影响；</w:t>
      </w:r>
    </w:p>
    <w:p>
      <w:pPr>
        <w:spacing w:line="240" w:lineRule="auto" w:before="8"/>
        <w:rPr>
          <w:rFonts w:ascii="宋体" w:hAnsi="宋体" w:cs="宋体" w:eastAsia="宋体" w:hint="default"/>
          <w:sz w:val="17"/>
          <w:szCs w:val="17"/>
        </w:rPr>
      </w:pPr>
    </w:p>
    <w:p>
      <w:pPr>
        <w:pStyle w:val="BodyText"/>
        <w:spacing w:line="240" w:lineRule="auto"/>
        <w:ind w:left="513" w:right="1055"/>
        <w:jc w:val="left"/>
      </w:pPr>
      <w:r>
        <w:rPr>
          <w:rFonts w:ascii="宋体" w:hAnsi="宋体" w:cs="宋体" w:eastAsia="宋体" w:hint="default"/>
          <w:spacing w:val="-3"/>
        </w:rPr>
        <w:t>4</w:t>
      </w:r>
      <w:r>
        <w:rPr>
          <w:spacing w:val="-3"/>
        </w:rPr>
        <w:t>）持续加强公司内部控制和规范运作，提升公司经营管理效率，管控经营风险。</w:t>
      </w:r>
    </w:p>
    <w:p>
      <w:pPr>
        <w:spacing w:line="240" w:lineRule="auto" w:before="12"/>
        <w:rPr>
          <w:rFonts w:ascii="宋体" w:hAnsi="宋体" w:cs="宋体" w:eastAsia="宋体" w:hint="default"/>
          <w:sz w:val="17"/>
          <w:szCs w:val="17"/>
        </w:rPr>
      </w:pPr>
    </w:p>
    <w:p>
      <w:pPr>
        <w:pStyle w:val="BodyText"/>
        <w:spacing w:line="475" w:lineRule="auto"/>
        <w:ind w:left="513" w:right="6932"/>
        <w:jc w:val="left"/>
      </w:pPr>
      <w:r>
        <w:rPr/>
        <w:t>（四）可能面对的风险</w:t>
      </w:r>
      <w:r>
        <w:rPr>
          <w:spacing w:val="-86"/>
        </w:rPr>
        <w:t> </w:t>
      </w:r>
      <w:r>
        <w:rPr>
          <w:spacing w:val="-86"/>
        </w:rPr>
      </w:r>
      <w:r>
        <w:rPr>
          <w:rFonts w:ascii="宋体" w:hAnsi="宋体" w:cs="宋体" w:eastAsia="宋体" w:hint="default"/>
          <w:spacing w:val="-3"/>
        </w:rPr>
        <w:t>1</w:t>
      </w:r>
      <w:r>
        <w:rPr>
          <w:spacing w:val="-3"/>
        </w:rPr>
        <w:t>、新业务发展不达预期的风险</w:t>
      </w:r>
    </w:p>
    <w:p>
      <w:pPr>
        <w:pStyle w:val="BodyText"/>
        <w:spacing w:line="240" w:lineRule="auto" w:before="59"/>
        <w:ind w:right="1055" w:firstLine="360"/>
        <w:jc w:val="left"/>
      </w:pPr>
      <w:r>
        <w:rPr>
          <w:spacing w:val="-5"/>
        </w:rPr>
        <w:t>公司核心业务是金融科技服务，随着移动互联网、互联网金融、大数据等创新产业的快速发展，公司积极探索，把握历</w:t>
      </w:r>
    </w:p>
    <w:p>
      <w:pPr>
        <w:spacing w:line="240" w:lineRule="auto" w:before="8"/>
        <w:rPr>
          <w:rFonts w:ascii="宋体" w:hAnsi="宋体" w:cs="宋体" w:eastAsia="宋体" w:hint="default"/>
          <w:sz w:val="17"/>
          <w:szCs w:val="17"/>
        </w:rPr>
      </w:pPr>
    </w:p>
    <w:p>
      <w:pPr>
        <w:pStyle w:val="BodyText"/>
        <w:spacing w:line="240" w:lineRule="auto"/>
        <w:ind w:right="1055"/>
        <w:jc w:val="left"/>
      </w:pPr>
      <w:r>
        <w:rPr>
          <w:spacing w:val="-4"/>
        </w:rPr>
        <w:t>史机遇，在个人征信、互联网保险、证券、金融大数据等领域进行了新业务战略布局。已经开展或布局的业务包括：合资成</w:t>
      </w:r>
    </w:p>
    <w:p>
      <w:pPr>
        <w:spacing w:after="0" w:line="240" w:lineRule="auto"/>
        <w:jc w:val="left"/>
        <w:sectPr>
          <w:footerReference w:type="default" r:id="rId19"/>
          <w:pgSz w:w="11910" w:h="16840"/>
          <w:pgMar w:footer="1186" w:header="871" w:top="1100" w:bottom="1380" w:left="980" w:right="0"/>
          <w:pgNumType w:start="39"/>
        </w:sectPr>
      </w:pPr>
    </w:p>
    <w:p>
      <w:pPr>
        <w:spacing w:line="240" w:lineRule="auto" w:before="1"/>
        <w:rPr>
          <w:rFonts w:ascii="宋体" w:hAnsi="宋体" w:cs="宋体" w:eastAsia="宋体" w:hint="default"/>
          <w:sz w:val="28"/>
          <w:szCs w:val="28"/>
        </w:rPr>
      </w:pPr>
    </w:p>
    <w:p>
      <w:pPr>
        <w:pStyle w:val="BodyText"/>
        <w:spacing w:line="477" w:lineRule="auto" w:before="46"/>
        <w:ind w:right="1055"/>
        <w:jc w:val="left"/>
      </w:pPr>
      <w:r>
        <w:rPr>
          <w:spacing w:val="-4"/>
        </w:rPr>
        <w:t>立华道征信发展个人征信服务相关业务；发起设立易安保险开展互联网保险业务；发起设立东亚前海证券等。目前，华道征</w:t>
      </w:r>
      <w:r>
        <w:rPr>
          <w:spacing w:val="40"/>
        </w:rPr>
        <w:t> </w:t>
      </w:r>
      <w:r>
        <w:rPr>
          <w:spacing w:val="40"/>
        </w:rPr>
      </w:r>
      <w:r>
        <w:rPr>
          <w:spacing w:val="-3"/>
        </w:rPr>
        <w:t>信与其他发起人共同发起设立百行征信有限公司（以下简称“百行征信”），百行征信已于</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月获得中国人民银行个</w:t>
      </w:r>
      <w:r>
        <w:rPr>
          <w:spacing w:val="76"/>
        </w:rPr>
        <w:t> </w:t>
      </w:r>
      <w:r>
        <w:rPr>
          <w:spacing w:val="76"/>
        </w:rPr>
      </w:r>
      <w:r>
        <w:rPr>
          <w:spacing w:val="-3"/>
        </w:rPr>
        <w:t>人征信业务经营许可，并于</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月在深圳正式挂牌成立；易安保险已于</w:t>
      </w:r>
      <w:r>
        <w:rPr>
          <w:rFonts w:ascii="宋体" w:hAnsi="宋体" w:cs="宋体" w:eastAsia="宋体" w:hint="default"/>
          <w:spacing w:val="-3"/>
        </w:rPr>
        <w:t>2016</w:t>
      </w:r>
      <w:r>
        <w:rPr>
          <w:spacing w:val="-3"/>
        </w:rPr>
        <w:t>年</w:t>
      </w:r>
      <w:r>
        <w:rPr>
          <w:rFonts w:ascii="宋体" w:hAnsi="宋体" w:cs="宋体" w:eastAsia="宋体" w:hint="default"/>
          <w:spacing w:val="-3"/>
        </w:rPr>
        <w:t>2</w:t>
      </w:r>
      <w:r>
        <w:rPr>
          <w:spacing w:val="-3"/>
        </w:rPr>
        <w:t>月起开业运营；东亚前海证券已于</w:t>
      </w:r>
      <w:r>
        <w:rPr>
          <w:rFonts w:ascii="宋体" w:hAnsi="宋体" w:cs="宋体" w:eastAsia="宋体" w:hint="default"/>
          <w:spacing w:val="-3"/>
        </w:rPr>
        <w:t>2017</w:t>
      </w:r>
      <w:r>
        <w:rPr>
          <w:rFonts w:ascii="宋体" w:hAnsi="宋体" w:cs="宋体" w:eastAsia="宋体" w:hint="default"/>
          <w:spacing w:val="6"/>
        </w:rPr>
        <w:t> </w:t>
      </w:r>
      <w:r>
        <w:rPr>
          <w:spacing w:val="-6"/>
        </w:rPr>
        <w:t>年</w:t>
      </w:r>
      <w:r>
        <w:rPr>
          <w:rFonts w:ascii="宋体" w:hAnsi="宋体" w:cs="宋体" w:eastAsia="宋体" w:hint="default"/>
          <w:spacing w:val="-6"/>
        </w:rPr>
        <w:t>12</w:t>
      </w:r>
      <w:r>
        <w:rPr>
          <w:spacing w:val="-6"/>
        </w:rPr>
        <w:t>月获得中国证监会颁发的《经营证券期货业务许可证》，正式对外开展业务。鉴于公司投资的东亚前海证券、易安保险、</w:t>
      </w:r>
      <w:r>
        <w:rPr>
          <w:spacing w:val="73"/>
        </w:rPr>
        <w:t> </w:t>
      </w:r>
      <w:r>
        <w:rPr>
          <w:spacing w:val="73"/>
        </w:rPr>
      </w:r>
      <w:r>
        <w:rPr>
          <w:spacing w:val="-3"/>
        </w:rPr>
        <w:t>华道征信因业务开展初期尚未实现盈利，因此公司新业务的发展仍有较大的不确定性，存在新业务发展不达预期的风险。</w:t>
      </w:r>
    </w:p>
    <w:p>
      <w:pPr>
        <w:pStyle w:val="BodyText"/>
        <w:spacing w:line="480" w:lineRule="auto" w:before="52"/>
        <w:ind w:right="1055" w:firstLine="360"/>
        <w:jc w:val="left"/>
      </w:pPr>
      <w:r>
        <w:rPr>
          <w:spacing w:val="-4"/>
        </w:rPr>
        <w:t>针对上述风险，公司将从战略高度充分重视新业务的发展，充分调集公司人才、技术、资金和平台资源，发挥公司各项</w:t>
      </w:r>
      <w:r>
        <w:rPr>
          <w:w w:val="101"/>
        </w:rPr>
        <w:t> </w:t>
      </w:r>
      <w:r>
        <w:rPr>
          <w:spacing w:val="-3"/>
        </w:rPr>
        <w:t>业务的整合优势，与各合作方一起，努力推进新业务的快速发展。</w:t>
      </w:r>
    </w:p>
    <w:p>
      <w:pPr>
        <w:pStyle w:val="BodyText"/>
        <w:spacing w:line="480" w:lineRule="auto" w:before="50"/>
        <w:ind w:left="513" w:right="1055"/>
        <w:jc w:val="left"/>
      </w:pPr>
      <w:r>
        <w:rPr>
          <w:rFonts w:ascii="宋体" w:hAnsi="宋体" w:cs="宋体" w:eastAsia="宋体" w:hint="default"/>
        </w:rPr>
        <w:t>2</w:t>
      </w:r>
      <w:r>
        <w:rPr/>
        <w:t>、运营资金短缺风险</w:t>
      </w:r>
      <w:r>
        <w:rPr>
          <w:spacing w:val="-88"/>
        </w:rPr>
        <w:t> </w:t>
      </w:r>
      <w:r>
        <w:rPr>
          <w:spacing w:val="-88"/>
        </w:rPr>
      </w:r>
      <w:r>
        <w:rPr>
          <w:spacing w:val="-5"/>
        </w:rPr>
        <w:t>随着公司新业务板块持续拓展，经营规模不断扩大，公司对运营资金的需求日益扩大。如果不能及时解决资金需求，将</w:t>
      </w:r>
    </w:p>
    <w:p>
      <w:pPr>
        <w:pStyle w:val="BodyText"/>
        <w:spacing w:line="480" w:lineRule="auto" w:before="50"/>
        <w:ind w:left="513" w:right="1055" w:hanging="360"/>
        <w:jc w:val="left"/>
      </w:pPr>
      <w:r>
        <w:rPr>
          <w:spacing w:val="-3"/>
        </w:rPr>
        <w:t>给公司的业务运营和后续发展带来风险。</w:t>
      </w:r>
      <w:r>
        <w:rPr>
          <w:spacing w:val="-33"/>
        </w:rPr>
        <w:t> </w:t>
      </w:r>
      <w:r>
        <w:rPr>
          <w:spacing w:val="-33"/>
        </w:rPr>
      </w:r>
      <w:r>
        <w:rPr>
          <w:spacing w:val="-5"/>
        </w:rPr>
        <w:t>针对上述风险，公司首先将加强公司应收账款的管理，进一步严控企业成本，加强自有资金和募集资金的有效利用，持</w:t>
      </w:r>
    </w:p>
    <w:p>
      <w:pPr>
        <w:pStyle w:val="BodyText"/>
        <w:spacing w:line="480" w:lineRule="auto" w:before="50"/>
        <w:ind w:right="1055"/>
        <w:jc w:val="left"/>
      </w:pPr>
      <w:r>
        <w:rPr>
          <w:spacing w:val="-6"/>
        </w:rPr>
        <w:t>续改善公司现金流情况，确保日常运营资金充足；同时充分利用上市公司融资平台和其他融资渠道，适时筹措运营发展资金，</w:t>
      </w:r>
      <w:r>
        <w:rPr>
          <w:spacing w:val="63"/>
        </w:rPr>
        <w:t> </w:t>
      </w:r>
      <w:r>
        <w:rPr>
          <w:spacing w:val="63"/>
        </w:rPr>
      </w:r>
      <w:r>
        <w:rPr>
          <w:spacing w:val="-3"/>
        </w:rPr>
        <w:t>降低公司运营资金短缺的风险。</w:t>
      </w:r>
    </w:p>
    <w:p>
      <w:pPr>
        <w:pStyle w:val="BodyText"/>
        <w:spacing w:line="480" w:lineRule="auto" w:before="50"/>
        <w:ind w:left="513" w:right="1055"/>
        <w:jc w:val="left"/>
      </w:pPr>
      <w:r>
        <w:rPr>
          <w:rFonts w:ascii="宋体" w:hAnsi="宋体" w:cs="宋体" w:eastAsia="宋体" w:hint="default"/>
        </w:rPr>
        <w:t>3</w:t>
      </w:r>
      <w:r>
        <w:rPr/>
        <w:t>、短期盈利能力风险</w:t>
      </w:r>
      <w:r>
        <w:rPr>
          <w:spacing w:val="-88"/>
        </w:rPr>
        <w:t> </w:t>
      </w:r>
      <w:r>
        <w:rPr>
          <w:spacing w:val="-88"/>
        </w:rPr>
      </w:r>
      <w:r>
        <w:rPr>
          <w:spacing w:val="-4"/>
        </w:rPr>
        <w:t>公司按照既定的战略发展规划，持续开拓新的业务领域，推进公司业务向综合金融科技服务领域延伸发展。经过近年来</w:t>
      </w:r>
    </w:p>
    <w:p>
      <w:pPr>
        <w:pStyle w:val="BodyText"/>
        <w:spacing w:line="477" w:lineRule="auto" w:before="50"/>
        <w:ind w:right="1122"/>
        <w:jc w:val="both"/>
      </w:pPr>
      <w:r>
        <w:rPr>
          <w:spacing w:val="-5"/>
        </w:rPr>
        <w:t>的持续布局，公司业务已涉及金融信息化、数字金融解决方案、移动信息服务、数据服务、电子商务、个人征信、互联网保</w:t>
      </w:r>
      <w:r>
        <w:rPr>
          <w:spacing w:val="4"/>
        </w:rPr>
        <w:t> </w:t>
      </w:r>
      <w:r>
        <w:rPr>
          <w:spacing w:val="4"/>
        </w:rPr>
      </w:r>
      <w:r>
        <w:rPr>
          <w:spacing w:val="-4"/>
        </w:rPr>
        <w:t>险、证券业务等各个领域。公司实施以上战略布局，是公司为企业长远发展而采取的积极措施，并且在各项战略投资实施之</w:t>
      </w:r>
      <w:r>
        <w:rPr>
          <w:spacing w:val="40"/>
        </w:rPr>
        <w:t> </w:t>
      </w:r>
      <w:r>
        <w:rPr>
          <w:spacing w:val="40"/>
        </w:rPr>
      </w:r>
      <w:r>
        <w:rPr>
          <w:spacing w:val="-4"/>
        </w:rPr>
        <w:t>前，公司已对新兴业务的市场空间和项目可行性进行了充分的论证。但是由于部分新业务，如个人征信服务、数据服务、互</w:t>
      </w:r>
      <w:r>
        <w:rPr>
          <w:spacing w:val="40"/>
        </w:rPr>
        <w:t> </w:t>
      </w:r>
      <w:r>
        <w:rPr>
          <w:spacing w:val="40"/>
        </w:rPr>
      </w:r>
      <w:r>
        <w:rPr>
          <w:spacing w:val="-4"/>
        </w:rPr>
        <w:t>联网保险业务、证券业务等，在业务开展初期阶段需要比较高的投入，可能在一定时期内不具备盈利能力，因此可能致使公</w:t>
      </w:r>
      <w:r>
        <w:rPr>
          <w:spacing w:val="42"/>
        </w:rPr>
        <w:t> </w:t>
      </w:r>
      <w:r>
        <w:rPr>
          <w:spacing w:val="42"/>
        </w:rPr>
      </w:r>
      <w:r>
        <w:rPr>
          <w:spacing w:val="-3"/>
        </w:rPr>
        <w:t>司存在短期盈利能力下降的风险，一定时期内影响公司整体的盈利能力。</w:t>
      </w:r>
    </w:p>
    <w:p>
      <w:pPr>
        <w:pStyle w:val="BodyText"/>
        <w:spacing w:line="475" w:lineRule="auto" w:before="57"/>
        <w:ind w:right="1055" w:firstLine="360"/>
        <w:jc w:val="left"/>
      </w:pPr>
      <w:r>
        <w:rPr>
          <w:spacing w:val="-4"/>
        </w:rPr>
        <w:t>针对上述风险，公司一方面将从战略高度充分重视新兴业务的进展，全力推进新业务的健康发展，科学把控新兴业务投</w:t>
      </w:r>
      <w:r>
        <w:rPr>
          <w:w w:val="101"/>
        </w:rPr>
        <w:t> </w:t>
      </w:r>
      <w:r>
        <w:rPr>
          <w:spacing w:val="-3"/>
        </w:rPr>
        <w:t>资进度，降低投资风险；另一方面将努力推进成熟业务的业绩提升，保持公司整体盈利情况的合理性。</w:t>
      </w:r>
    </w:p>
    <w:p>
      <w:pPr>
        <w:pStyle w:val="BodyText"/>
        <w:spacing w:line="475" w:lineRule="auto" w:before="58"/>
        <w:ind w:left="513" w:right="1055"/>
        <w:jc w:val="left"/>
      </w:pPr>
      <w:r>
        <w:rPr>
          <w:rFonts w:ascii="宋体" w:hAnsi="宋体" w:cs="宋体" w:eastAsia="宋体" w:hint="default"/>
        </w:rPr>
        <w:t>4</w:t>
      </w:r>
      <w:r>
        <w:rPr/>
        <w:t>、经营管理风险</w:t>
      </w:r>
      <w:r>
        <w:rPr>
          <w:spacing w:val="-87"/>
        </w:rPr>
        <w:t> </w:t>
      </w:r>
      <w:r>
        <w:rPr>
          <w:spacing w:val="-87"/>
        </w:rPr>
      </w:r>
      <w:r>
        <w:rPr>
          <w:spacing w:val="-5"/>
        </w:rPr>
        <w:t>随着公司业务领域的持续拓展、经营规模的不断扩大，公司组织结构和管理体系日趋复杂，公司的经营决策、风险控制</w:t>
      </w:r>
    </w:p>
    <w:p>
      <w:pPr>
        <w:pStyle w:val="BodyText"/>
        <w:spacing w:line="475" w:lineRule="auto" w:before="59"/>
        <w:ind w:right="1055"/>
        <w:jc w:val="left"/>
      </w:pPr>
      <w:r>
        <w:rPr>
          <w:spacing w:val="-4"/>
        </w:rPr>
        <w:t>的难度大为增加，对公司管理团队的人才储备、管理水平以及驾驭经营管理风险的能力提出了更高的要求。如果公司在经营</w:t>
      </w:r>
      <w:r>
        <w:rPr>
          <w:spacing w:val="45"/>
        </w:rPr>
        <w:t> </w:t>
      </w:r>
      <w:r>
        <w:rPr>
          <w:spacing w:val="45"/>
        </w:rPr>
      </w:r>
      <w:r>
        <w:rPr>
          <w:spacing w:val="-3"/>
        </w:rPr>
        <w:t>管理过程中不能解决人才、文化、管理能力、管理效率等方面的新的挑战，将对公司的有效运营和业务发展带来一定风险。</w:t>
      </w:r>
    </w:p>
    <w:p>
      <w:pPr>
        <w:pStyle w:val="BodyText"/>
        <w:spacing w:line="475" w:lineRule="auto" w:before="58"/>
        <w:ind w:right="1055" w:firstLine="360"/>
        <w:jc w:val="left"/>
      </w:pPr>
      <w:r>
        <w:rPr>
          <w:spacing w:val="-5"/>
        </w:rPr>
        <w:t>针对上述风险，公司持续引进、储备高素质人才，严格按照上市公司规范治理要求，不断优化、整合业务结构，加强内</w:t>
      </w:r>
      <w:r>
        <w:rPr>
          <w:w w:val="101"/>
        </w:rPr>
        <w:t> </w:t>
      </w:r>
      <w:r>
        <w:rPr>
          <w:spacing w:val="-3"/>
        </w:rPr>
        <w:t>控体系建设，提升管理水平，提高公司经营管理抗风险的能力。</w:t>
      </w:r>
    </w:p>
    <w:p>
      <w:pPr>
        <w:spacing w:after="0" w:line="475" w:lineRule="auto"/>
        <w:jc w:val="left"/>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1055"/>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58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公司报告期内未发生接待调研、沟通、采访等活动。</w:t>
      </w:r>
    </w:p>
    <w:p>
      <w:pPr>
        <w:spacing w:after="0" w:line="338"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r>
        <w:rPr/>
        <w:pict>
          <v:shape style="position:absolute;margin-left:236.919846pt;margin-top:378.335968pt;width:298.3pt;height:19.75pt;mso-position-horizontal-relative:page;mso-position-vertical-relative:page;z-index:-821344"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470"/>
        <w:jc w:val="center"/>
        <w:rPr>
          <w:b w:val="0"/>
          <w:bCs w:val="0"/>
        </w:rPr>
      </w:pPr>
      <w:bookmarkStart w:name="_bookmark3" w:id="4"/>
      <w:bookmarkEnd w:id="4"/>
      <w:r>
        <w:rPr>
          <w:b w:val="0"/>
          <w:bCs w:val="0"/>
        </w:rPr>
      </w:r>
      <w:r>
        <w:rPr/>
        <w:t>第五节</w:t>
      </w:r>
      <w:r>
        <w:rPr>
          <w:spacing w:val="-1"/>
        </w:rPr>
        <w:t> </w:t>
      </w:r>
      <w:r>
        <w:rPr/>
        <w:t>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055"/>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055"/>
        <w:jc w:val="left"/>
      </w:pPr>
      <w:r>
        <w:rPr>
          <w:spacing w:val="-3"/>
        </w:rPr>
        <w:t>报告期内普通股利润分配政策，特别是现金分红政策的制定、执行或调整情况</w:t>
      </w:r>
    </w:p>
    <w:p>
      <w:pPr>
        <w:pStyle w:val="BodyText"/>
        <w:spacing w:line="338" w:lineRule="auto" w:before="115"/>
        <w:ind w:right="28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公司报告期利润分配预案及资本公积金转增股本预案与公司章程和分红管理办法等的相关规定一致</w:t>
      </w:r>
    </w:p>
    <w:p>
      <w:pPr>
        <w:pStyle w:val="BodyText"/>
        <w:spacing w:line="348" w:lineRule="auto" w:before="46"/>
        <w:ind w:right="285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46"/>
        <w:ind w:left="0" w:right="1126"/>
        <w:jc w:val="right"/>
      </w:pPr>
      <w:r>
        <w:rPr/>
        <w:pict>
          <v:shape style="position:absolute;margin-left:56.424pt;margin-top:-322.088287pt;width:480pt;height:341.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7"/>
                    <w:gridCol w:w="5854"/>
                  </w:tblGrid>
                  <w:tr>
                    <w:trPr>
                      <w:trHeight w:val="399"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706,640,535</w:t>
                        </w:r>
                      </w:p>
                    </w:tc>
                  </w:tr>
                  <w:tr>
                    <w:trPr>
                      <w:trHeight w:val="398"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14,132,810.70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5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14,132,810.70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123,229,687.17</w:t>
                        </w:r>
                      </w:p>
                    </w:tc>
                  </w:tr>
                  <w:tr>
                    <w:trPr>
                      <w:trHeight w:val="71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690"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经瑞华会计师事务所审计，</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年度母公司实现净利润 </w:t>
                        </w:r>
                        <w:r>
                          <w:rPr>
                            <w:rFonts w:ascii="Times New Roman" w:hAnsi="Times New Roman" w:cs="Times New Roman" w:eastAsia="Times New Roman" w:hint="default"/>
                            <w:sz w:val="18"/>
                            <w:szCs w:val="18"/>
                          </w:rPr>
                          <w:t>16,403,803.49 </w:t>
                        </w:r>
                        <w:r>
                          <w:rPr>
                            <w:rFonts w:ascii="宋体" w:hAnsi="宋体" w:cs="宋体" w:eastAsia="宋体" w:hint="default"/>
                            <w:spacing w:val="-3"/>
                            <w:sz w:val="18"/>
                            <w:szCs w:val="18"/>
                          </w:rPr>
                          <w:t>元，根据《公司法》和《公司章程》的有关规定，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按照实现净利润的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提取法定盈余公积</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1,640,380.35</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元后，加上年初未分配利润</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108,466,264.03</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元，减去</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年度现金</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123,229,687.17 </w:t>
                        </w:r>
                        <w:r>
                          <w:rPr>
                            <w:rFonts w:ascii="宋体" w:hAnsi="宋体" w:cs="宋体" w:eastAsia="宋体" w:hint="default"/>
                            <w:sz w:val="18"/>
                            <w:szCs w:val="18"/>
                          </w:rPr>
                          <w:t>元。</w:t>
                        </w:r>
                      </w:p>
                      <w:p>
                        <w:pPr>
                          <w:pStyle w:val="TableParagraph"/>
                          <w:spacing w:line="240" w:lineRule="auto" w:before="96"/>
                          <w:ind w:left="24" w:right="0"/>
                          <w:jc w:val="left"/>
                          <w:rPr>
                            <w:rFonts w:ascii="宋体" w:hAnsi="宋体" w:cs="宋体" w:eastAsia="宋体" w:hint="default"/>
                            <w:sz w:val="18"/>
                            <w:szCs w:val="18"/>
                          </w:rPr>
                        </w:pPr>
                        <w:r>
                          <w:rPr>
                            <w:rFonts w:ascii="宋体" w:hAnsi="宋体" w:cs="宋体" w:eastAsia="宋体" w:hint="default"/>
                            <w:sz w:val="18"/>
                            <w:szCs w:val="18"/>
                          </w:rPr>
                          <w:t>公司董事会拟定</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年度利润分配预案为：以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日总股本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706,640,535.00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股为基数，向全体股东每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股派</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人</w:t>
                        </w:r>
                        <w:r>
                          <w:rPr>
                            <w:rFonts w:ascii="宋体" w:hAnsi="宋体" w:cs="宋体" w:eastAsia="宋体" w:hint="default"/>
                            <w:spacing w:val="-5"/>
                            <w:w w:val="101"/>
                            <w:sz w:val="18"/>
                            <w:szCs w:val="18"/>
                          </w:rPr>
                          <w:t>民</w:t>
                        </w:r>
                        <w:r>
                          <w:rPr>
                            <w:rFonts w:ascii="宋体" w:hAnsi="宋体" w:cs="宋体" w:eastAsia="宋体" w:hint="default"/>
                            <w:w w:val="101"/>
                            <w:sz w:val="18"/>
                            <w:szCs w:val="18"/>
                          </w:rPr>
                          <w:t>币</w:t>
                        </w:r>
                        <w:r>
                          <w:rPr>
                            <w:rFonts w:ascii="宋体" w:hAnsi="宋体" w:cs="宋体" w:eastAsia="宋体" w:hint="default"/>
                            <w:spacing w:val="-5"/>
                            <w:w w:val="101"/>
                            <w:sz w:val="18"/>
                            <w:szCs w:val="18"/>
                          </w:rPr>
                          <w:t>现</w:t>
                        </w:r>
                        <w:r>
                          <w:rPr>
                            <w:rFonts w:ascii="宋体" w:hAnsi="宋体" w:cs="宋体" w:eastAsia="宋体" w:hint="default"/>
                            <w:spacing w:val="-10"/>
                            <w:w w:val="101"/>
                            <w:sz w:val="18"/>
                            <w:szCs w:val="18"/>
                          </w:rPr>
                          <w:t>金</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，合计</w:t>
                        </w:r>
                        <w:r>
                          <w:rPr>
                            <w:rFonts w:ascii="宋体" w:hAnsi="宋体" w:cs="宋体" w:eastAsia="宋体" w:hint="default"/>
                            <w:w w:val="101"/>
                            <w:sz w:val="18"/>
                            <w:szCs w:val="18"/>
                          </w:rPr>
                          <w:t>派</w:t>
                        </w:r>
                        <w:r>
                          <w:rPr>
                            <w:rFonts w:ascii="宋体" w:hAnsi="宋体" w:cs="宋体" w:eastAsia="宋体" w:hint="default"/>
                            <w:spacing w:val="-5"/>
                            <w:w w:val="101"/>
                            <w:sz w:val="18"/>
                            <w:szCs w:val="18"/>
                          </w:rPr>
                          <w:t>发</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股利</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pacing w:val="-10"/>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pacing w:val="-96"/>
                            <w:w w:val="101"/>
                            <w:sz w:val="18"/>
                            <w:szCs w:val="18"/>
                          </w:rPr>
                          <w:t>）</w:t>
                        </w:r>
                        <w:r>
                          <w:rPr>
                            <w:rFonts w:ascii="宋体" w:hAnsi="宋体" w:cs="宋体" w:eastAsia="宋体" w:hint="default"/>
                            <w:spacing w:val="-10"/>
                            <w:w w:val="101"/>
                            <w:sz w:val="18"/>
                            <w:szCs w:val="18"/>
                          </w:rPr>
                          <w:t>，</w:t>
                        </w:r>
                        <w:r>
                          <w:rPr>
                            <w:rFonts w:ascii="宋体" w:hAnsi="宋体" w:cs="宋体" w:eastAsia="宋体" w:hint="default"/>
                            <w:w w:val="101"/>
                            <w:sz w:val="18"/>
                            <w:szCs w:val="18"/>
                          </w:rPr>
                          <w:t>剩</w:t>
                        </w:r>
                        <w:r>
                          <w:rPr>
                            <w:rFonts w:ascii="宋体" w:hAnsi="宋体" w:cs="宋体" w:eastAsia="宋体" w:hint="default"/>
                            <w:spacing w:val="-5"/>
                            <w:w w:val="101"/>
                            <w:sz w:val="18"/>
                            <w:szCs w:val="18"/>
                          </w:rPr>
                          <w:t>余</w:t>
                        </w:r>
                        <w:r>
                          <w:rPr>
                            <w:rFonts w:ascii="宋体" w:hAnsi="宋体" w:cs="宋体" w:eastAsia="宋体" w:hint="default"/>
                            <w:w w:val="101"/>
                            <w:sz w:val="18"/>
                            <w:szCs w:val="18"/>
                          </w:rPr>
                          <w:t>未</w:t>
                        </w:r>
                        <w:r>
                          <w:rPr>
                            <w:rFonts w:ascii="宋体" w:hAnsi="宋体" w:cs="宋体" w:eastAsia="宋体" w:hint="default"/>
                            <w:spacing w:val="-5"/>
                            <w:w w:val="101"/>
                            <w:sz w:val="18"/>
                            <w:szCs w:val="18"/>
                          </w:rPr>
                          <w:t>分</w:t>
                        </w:r>
                        <w:r>
                          <w:rPr>
                            <w:rFonts w:ascii="宋体" w:hAnsi="宋体" w:cs="宋体" w:eastAsia="宋体" w:hint="default"/>
                            <w:w w:val="101"/>
                            <w:sz w:val="18"/>
                            <w:szCs w:val="18"/>
                          </w:rPr>
                          <w:t>配利润</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结</w:t>
                        </w:r>
                        <w:r>
                          <w:rPr>
                            <w:rFonts w:ascii="宋体" w:hAnsi="宋体" w:cs="宋体" w:eastAsia="宋体" w:hint="default"/>
                            <w:spacing w:val="-5"/>
                            <w:w w:val="101"/>
                            <w:sz w:val="18"/>
                            <w:szCs w:val="18"/>
                          </w:rPr>
                          <w:t>转</w:t>
                        </w:r>
                        <w:r>
                          <w:rPr>
                            <w:rFonts w:ascii="宋体" w:hAnsi="宋体" w:cs="宋体" w:eastAsia="宋体" w:hint="default"/>
                            <w:w w:val="101"/>
                            <w:sz w:val="18"/>
                            <w:szCs w:val="18"/>
                          </w:rPr>
                          <w:t>以</w:t>
                        </w:r>
                        <w:r>
                          <w:rPr>
                            <w:rFonts w:ascii="宋体" w:hAnsi="宋体" w:cs="宋体" w:eastAsia="宋体" w:hint="default"/>
                            <w:spacing w:val="-5"/>
                            <w:w w:val="101"/>
                            <w:sz w:val="18"/>
                            <w:szCs w:val="18"/>
                          </w:rPr>
                          <w:t>后</w:t>
                        </w:r>
                        <w:r>
                          <w:rPr>
                            <w:rFonts w:ascii="宋体" w:hAnsi="宋体" w:cs="宋体" w:eastAsia="宋体" w:hint="default"/>
                            <w:w w:val="101"/>
                            <w:sz w:val="18"/>
                            <w:szCs w:val="18"/>
                          </w:rPr>
                          <w:t>年度</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3"/>
        <w:rPr>
          <w:rFonts w:ascii="宋体" w:hAnsi="宋体" w:cs="宋体" w:eastAsia="宋体" w:hint="default"/>
          <w:sz w:val="12"/>
          <w:szCs w:val="12"/>
        </w:rPr>
      </w:pPr>
    </w:p>
    <w:p>
      <w:pPr>
        <w:pStyle w:val="BodyText"/>
        <w:spacing w:line="477" w:lineRule="auto" w:before="46"/>
        <w:ind w:left="513" w:right="1055"/>
        <w:jc w:val="left"/>
      </w:pPr>
      <w:r>
        <w:rPr>
          <w:spacing w:val="-3"/>
        </w:rPr>
        <w:t>公司近</w:t>
      </w:r>
      <w:r>
        <w:rPr>
          <w:rFonts w:ascii="宋体" w:hAnsi="宋体" w:cs="宋体" w:eastAsia="宋体" w:hint="default"/>
          <w:spacing w:val="-3"/>
        </w:rPr>
        <w:t>3</w:t>
      </w:r>
      <w:r>
        <w:rPr>
          <w:spacing w:val="-3"/>
        </w:rPr>
        <w:t>年（包括本报告期）的普通股股利分配方案（预案）、资本公积金转增股本方案（预案）情况</w:t>
      </w:r>
      <w:r>
        <w:rPr>
          <w:spacing w:val="47"/>
        </w:rPr>
        <w:t> </w:t>
      </w:r>
      <w:r>
        <w:rPr>
          <w:spacing w:val="47"/>
        </w:rPr>
      </w:r>
      <w:r>
        <w:rPr>
          <w:rFonts w:ascii="宋体" w:hAnsi="宋体" w:cs="宋体" w:eastAsia="宋体" w:hint="default"/>
        </w:rPr>
        <w:t>1</w:t>
      </w:r>
      <w:r>
        <w:rPr/>
        <w:t>．</w:t>
      </w:r>
      <w:r>
        <w:rPr>
          <w:rFonts w:ascii="宋体" w:hAnsi="宋体" w:cs="宋体" w:eastAsia="宋体" w:hint="default"/>
        </w:rPr>
        <w:t>2018</w:t>
      </w:r>
      <w:r>
        <w:rPr/>
        <w:t>年度利润分配预案</w:t>
      </w:r>
      <w:r>
        <w:rPr>
          <w:spacing w:val="-88"/>
        </w:rPr>
        <w:t> </w:t>
      </w:r>
      <w:r>
        <w:rPr>
          <w:spacing w:val="-88"/>
        </w:rPr>
      </w:r>
      <w:r>
        <w:rPr>
          <w:spacing w:val="-4"/>
        </w:rPr>
        <w:t>经瑞华会计师事务所审计，</w:t>
      </w:r>
      <w:r>
        <w:rPr>
          <w:rFonts w:ascii="宋体" w:hAnsi="宋体" w:cs="宋体" w:eastAsia="宋体" w:hint="default"/>
          <w:spacing w:val="-4"/>
        </w:rPr>
        <w:t>2018</w:t>
      </w:r>
      <w:r>
        <w:rPr>
          <w:spacing w:val="-4"/>
        </w:rPr>
        <w:t>年度母公司实现净利润</w:t>
      </w:r>
      <w:r>
        <w:rPr>
          <w:rFonts w:ascii="宋体" w:hAnsi="宋体" w:cs="宋体" w:eastAsia="宋体" w:hint="default"/>
          <w:spacing w:val="-4"/>
        </w:rPr>
        <w:t>16,403,803.49</w:t>
      </w:r>
      <w:r>
        <w:rPr>
          <w:spacing w:val="-4"/>
        </w:rPr>
        <w:t>元，根据《公司法》和《公司章程》的有关规定，</w:t>
      </w:r>
    </w:p>
    <w:p>
      <w:pPr>
        <w:pStyle w:val="BodyText"/>
        <w:spacing w:line="480" w:lineRule="auto" w:before="52"/>
        <w:ind w:right="1055"/>
        <w:jc w:val="left"/>
      </w:pPr>
      <w:r>
        <w:rPr>
          <w:spacing w:val="-2"/>
        </w:rPr>
        <w:t>按照实现净利润的</w:t>
      </w:r>
      <w:r>
        <w:rPr>
          <w:rFonts w:ascii="宋体" w:hAnsi="宋体" w:cs="宋体" w:eastAsia="宋体" w:hint="default"/>
          <w:spacing w:val="-2"/>
        </w:rPr>
        <w:t>10%</w:t>
      </w:r>
      <w:r>
        <w:rPr>
          <w:spacing w:val="-2"/>
        </w:rPr>
        <w:t>提取法定盈余公积</w:t>
      </w:r>
      <w:r>
        <w:rPr>
          <w:rFonts w:ascii="宋体" w:hAnsi="宋体" w:cs="宋体" w:eastAsia="宋体" w:hint="default"/>
          <w:spacing w:val="-2"/>
        </w:rPr>
        <w:t>1,640,380.35</w:t>
      </w:r>
      <w:r>
        <w:rPr>
          <w:spacing w:val="-2"/>
        </w:rPr>
        <w:t>元后，加上年初未分配利润</w:t>
      </w:r>
      <w:r>
        <w:rPr>
          <w:rFonts w:ascii="宋体" w:hAnsi="宋体" w:cs="宋体" w:eastAsia="宋体" w:hint="default"/>
          <w:spacing w:val="-2"/>
        </w:rPr>
        <w:t>108,466,264.03</w:t>
      </w:r>
      <w:r>
        <w:rPr>
          <w:spacing w:val="-2"/>
        </w:rPr>
        <w:t>元，减去</w:t>
      </w:r>
      <w:r>
        <w:rPr>
          <w:rFonts w:ascii="宋体" w:hAnsi="宋体" w:cs="宋体" w:eastAsia="宋体" w:hint="default"/>
          <w:spacing w:val="-2"/>
        </w:rPr>
        <w:t>2017</w:t>
      </w:r>
      <w:r>
        <w:rPr>
          <w:spacing w:val="-2"/>
        </w:rPr>
        <w:t>年度现金分</w:t>
      </w:r>
      <w:r>
        <w:rPr>
          <w:spacing w:val="46"/>
        </w:rPr>
        <w:t> </w:t>
      </w:r>
      <w:r>
        <w:rPr>
          <w:spacing w:val="46"/>
        </w:rPr>
      </w:r>
      <w:r>
        <w:rPr/>
        <w:t>红</w:t>
      </w:r>
      <w:r>
        <w:rPr>
          <w:rFonts w:ascii="宋体" w:hAnsi="宋体" w:cs="宋体" w:eastAsia="宋体" w:hint="default"/>
        </w:rPr>
        <w:t>0</w:t>
      </w:r>
      <w:r>
        <w:rPr/>
        <w:t>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日，母公司可供股东分配的利润为</w:t>
      </w:r>
      <w:r>
        <w:rPr>
          <w:rFonts w:ascii="宋体" w:hAnsi="宋体" w:cs="宋体" w:eastAsia="宋体" w:hint="default"/>
        </w:rPr>
        <w:t>123,229,687.17</w:t>
      </w:r>
      <w:r>
        <w:rPr/>
        <w:t>元。</w:t>
      </w:r>
    </w:p>
    <w:p>
      <w:pPr>
        <w:pStyle w:val="BodyText"/>
        <w:spacing w:line="240" w:lineRule="auto" w:before="50"/>
        <w:ind w:left="513" w:right="1055"/>
        <w:jc w:val="left"/>
        <w:rPr>
          <w:rFonts w:ascii="宋体" w:hAnsi="宋体" w:cs="宋体" w:eastAsia="宋体" w:hint="default"/>
        </w:rPr>
      </w:pPr>
      <w:r>
        <w:rPr>
          <w:w w:val="101"/>
        </w:rPr>
        <w:t>公</w:t>
      </w:r>
      <w:r>
        <w:rPr>
          <w:spacing w:val="-5"/>
          <w:w w:val="101"/>
        </w:rPr>
        <w:t>司</w:t>
      </w:r>
      <w:r>
        <w:rPr>
          <w:w w:val="101"/>
        </w:rPr>
        <w:t>董</w:t>
      </w:r>
      <w:r>
        <w:rPr>
          <w:spacing w:val="-5"/>
          <w:w w:val="101"/>
        </w:rPr>
        <w:t>事</w:t>
      </w:r>
      <w:r>
        <w:rPr>
          <w:w w:val="101"/>
        </w:rPr>
        <w:t>会</w:t>
      </w:r>
      <w:r>
        <w:rPr>
          <w:spacing w:val="-5"/>
          <w:w w:val="101"/>
        </w:rPr>
        <w:t>拟</w:t>
      </w:r>
      <w:r>
        <w:rPr>
          <w:w w:val="101"/>
        </w:rPr>
        <w:t>定</w:t>
      </w:r>
      <w:r>
        <w:rPr>
          <w:rFonts w:ascii="宋体" w:hAnsi="宋体" w:cs="宋体" w:eastAsia="宋体" w:hint="default"/>
          <w:w w:val="101"/>
        </w:rPr>
        <w:t>20</w:t>
      </w:r>
      <w:r>
        <w:rPr>
          <w:rFonts w:ascii="宋体" w:hAnsi="宋体" w:cs="宋体" w:eastAsia="宋体" w:hint="default"/>
          <w:spacing w:val="-5"/>
          <w:w w:val="101"/>
        </w:rPr>
        <w:t>1</w:t>
      </w:r>
      <w:r>
        <w:rPr>
          <w:rFonts w:ascii="宋体" w:hAnsi="宋体" w:cs="宋体" w:eastAsia="宋体" w:hint="default"/>
          <w:w w:val="101"/>
        </w:rPr>
        <w:t>8</w:t>
      </w:r>
      <w:r>
        <w:rPr>
          <w:spacing w:val="-5"/>
          <w:w w:val="101"/>
        </w:rPr>
        <w:t>年</w:t>
      </w:r>
      <w:r>
        <w:rPr>
          <w:w w:val="101"/>
        </w:rPr>
        <w:t>度</w:t>
      </w:r>
      <w:r>
        <w:rPr>
          <w:spacing w:val="-5"/>
          <w:w w:val="101"/>
        </w:rPr>
        <w:t>利</w:t>
      </w:r>
      <w:r>
        <w:rPr>
          <w:w w:val="101"/>
        </w:rPr>
        <w:t>润</w:t>
      </w:r>
      <w:r>
        <w:rPr>
          <w:spacing w:val="-5"/>
          <w:w w:val="101"/>
        </w:rPr>
        <w:t>分</w:t>
      </w:r>
      <w:r>
        <w:rPr>
          <w:w w:val="101"/>
        </w:rPr>
        <w:t>配</w:t>
      </w:r>
      <w:r>
        <w:rPr>
          <w:spacing w:val="-5"/>
          <w:w w:val="101"/>
        </w:rPr>
        <w:t>预</w:t>
      </w:r>
      <w:r>
        <w:rPr>
          <w:w w:val="101"/>
        </w:rPr>
        <w:t>案</w:t>
      </w:r>
      <w:r>
        <w:rPr>
          <w:spacing w:val="-5"/>
          <w:w w:val="101"/>
        </w:rPr>
        <w:t>为</w:t>
      </w:r>
      <w:r>
        <w:rPr>
          <w:spacing w:val="-87"/>
          <w:w w:val="101"/>
        </w:rPr>
        <w:t>：</w:t>
      </w:r>
      <w:r>
        <w:rPr>
          <w:w w:val="101"/>
        </w:rPr>
        <w:t>以</w:t>
      </w:r>
      <w:r>
        <w:rPr>
          <w:rFonts w:ascii="宋体" w:hAnsi="宋体" w:cs="宋体" w:eastAsia="宋体" w:hint="default"/>
          <w:spacing w:val="-5"/>
          <w:w w:val="101"/>
        </w:rPr>
        <w:t>2</w:t>
      </w:r>
      <w:r>
        <w:rPr>
          <w:rFonts w:ascii="宋体" w:hAnsi="宋体" w:cs="宋体" w:eastAsia="宋体" w:hint="default"/>
          <w:w w:val="101"/>
        </w:rPr>
        <w:t>01</w:t>
      </w:r>
      <w:r>
        <w:rPr>
          <w:rFonts w:ascii="宋体" w:hAnsi="宋体" w:cs="宋体" w:eastAsia="宋体" w:hint="default"/>
          <w:spacing w:val="-5"/>
          <w:w w:val="101"/>
        </w:rPr>
        <w:t>8</w:t>
      </w:r>
      <w:r>
        <w:rPr>
          <w:w w:val="101"/>
        </w:rPr>
        <w:t>年</w:t>
      </w:r>
      <w:r>
        <w:rPr>
          <w:rFonts w:ascii="宋体" w:hAnsi="宋体" w:cs="宋体" w:eastAsia="宋体" w:hint="default"/>
          <w:w w:val="101"/>
        </w:rPr>
        <w:t>1</w:t>
      </w:r>
      <w:r>
        <w:rPr>
          <w:rFonts w:ascii="宋体" w:hAnsi="宋体" w:cs="宋体" w:eastAsia="宋体" w:hint="default"/>
          <w:spacing w:val="-5"/>
          <w:w w:val="101"/>
        </w:rPr>
        <w:t>2</w:t>
      </w:r>
      <w:r>
        <w:rPr>
          <w:w w:val="101"/>
        </w:rPr>
        <w:t>月</w:t>
      </w:r>
      <w:r>
        <w:rPr>
          <w:rFonts w:ascii="宋体" w:hAnsi="宋体" w:cs="宋体" w:eastAsia="宋体" w:hint="default"/>
          <w:w w:val="101"/>
        </w:rPr>
        <w:t>3</w:t>
      </w:r>
      <w:r>
        <w:rPr>
          <w:rFonts w:ascii="宋体" w:hAnsi="宋体" w:cs="宋体" w:eastAsia="宋体" w:hint="default"/>
          <w:spacing w:val="-5"/>
          <w:w w:val="101"/>
        </w:rPr>
        <w:t>1</w:t>
      </w:r>
      <w:r>
        <w:rPr>
          <w:spacing w:val="-5"/>
          <w:w w:val="101"/>
        </w:rPr>
        <w:t>日</w:t>
      </w:r>
      <w:r>
        <w:rPr>
          <w:w w:val="101"/>
        </w:rPr>
        <w:t>总</w:t>
      </w:r>
      <w:r>
        <w:rPr>
          <w:spacing w:val="-5"/>
          <w:w w:val="101"/>
        </w:rPr>
        <w:t>股</w:t>
      </w:r>
      <w:r>
        <w:rPr>
          <w:w w:val="101"/>
        </w:rPr>
        <w:t>本</w:t>
      </w:r>
      <w:r>
        <w:rPr>
          <w:rFonts w:ascii="宋体" w:hAnsi="宋体" w:cs="宋体" w:eastAsia="宋体" w:hint="default"/>
          <w:w w:val="101"/>
        </w:rPr>
        <w:t>70</w:t>
      </w:r>
      <w:r>
        <w:rPr>
          <w:rFonts w:ascii="宋体" w:hAnsi="宋体" w:cs="宋体" w:eastAsia="宋体" w:hint="default"/>
          <w:spacing w:val="-5"/>
          <w:w w:val="101"/>
        </w:rPr>
        <w:t>6</w:t>
      </w:r>
      <w:r>
        <w:rPr>
          <w:rFonts w:ascii="宋体" w:hAnsi="宋体" w:cs="宋体" w:eastAsia="宋体" w:hint="default"/>
          <w:w w:val="101"/>
        </w:rPr>
        <w:t>,64</w:t>
      </w:r>
      <w:r>
        <w:rPr>
          <w:rFonts w:ascii="宋体" w:hAnsi="宋体" w:cs="宋体" w:eastAsia="宋体" w:hint="default"/>
          <w:spacing w:val="-5"/>
          <w:w w:val="101"/>
        </w:rPr>
        <w:t>0</w:t>
      </w:r>
      <w:r>
        <w:rPr>
          <w:rFonts w:ascii="宋体" w:hAnsi="宋体" w:cs="宋体" w:eastAsia="宋体" w:hint="default"/>
          <w:w w:val="101"/>
        </w:rPr>
        <w:t>,53</w:t>
      </w:r>
      <w:r>
        <w:rPr>
          <w:rFonts w:ascii="宋体" w:hAnsi="宋体" w:cs="宋体" w:eastAsia="宋体" w:hint="default"/>
          <w:spacing w:val="-5"/>
          <w:w w:val="101"/>
        </w:rPr>
        <w:t>5</w:t>
      </w:r>
      <w:r>
        <w:rPr>
          <w:rFonts w:ascii="宋体" w:hAnsi="宋体" w:cs="宋体" w:eastAsia="宋体" w:hint="default"/>
          <w:w w:val="101"/>
        </w:rPr>
        <w:t>.0</w:t>
      </w:r>
      <w:r>
        <w:rPr>
          <w:rFonts w:ascii="宋体" w:hAnsi="宋体" w:cs="宋体" w:eastAsia="宋体" w:hint="default"/>
          <w:spacing w:val="-5"/>
          <w:w w:val="101"/>
        </w:rPr>
        <w:t>0</w:t>
      </w:r>
      <w:r>
        <w:rPr>
          <w:w w:val="101"/>
        </w:rPr>
        <w:t>股</w:t>
      </w:r>
      <w:r>
        <w:rPr>
          <w:spacing w:val="-5"/>
          <w:w w:val="101"/>
        </w:rPr>
        <w:t>为</w:t>
      </w:r>
      <w:r>
        <w:rPr>
          <w:w w:val="101"/>
        </w:rPr>
        <w:t>基</w:t>
      </w:r>
      <w:r>
        <w:rPr>
          <w:spacing w:val="-5"/>
          <w:w w:val="101"/>
        </w:rPr>
        <w:t>数</w:t>
      </w:r>
      <w:r>
        <w:rPr>
          <w:spacing w:val="-87"/>
          <w:w w:val="101"/>
        </w:rPr>
        <w:t>，</w:t>
      </w:r>
      <w:r>
        <w:rPr>
          <w:spacing w:val="-5"/>
          <w:w w:val="101"/>
        </w:rPr>
        <w:t>向</w:t>
      </w:r>
      <w:r>
        <w:rPr>
          <w:w w:val="101"/>
        </w:rPr>
        <w:t>全</w:t>
      </w:r>
      <w:r>
        <w:rPr>
          <w:spacing w:val="-5"/>
          <w:w w:val="101"/>
        </w:rPr>
        <w:t>体</w:t>
      </w:r>
      <w:r>
        <w:rPr>
          <w:w w:val="101"/>
        </w:rPr>
        <w:t>股</w:t>
      </w:r>
      <w:r>
        <w:rPr>
          <w:spacing w:val="-5"/>
          <w:w w:val="101"/>
        </w:rPr>
        <w:t>东</w:t>
      </w:r>
      <w:r>
        <w:rPr>
          <w:w w:val="101"/>
        </w:rPr>
        <w:t>每</w:t>
      </w:r>
      <w:r>
        <w:rPr>
          <w:rFonts w:ascii="宋体" w:hAnsi="宋体" w:cs="宋体" w:eastAsia="宋体" w:hint="default"/>
          <w:w w:val="101"/>
        </w:rPr>
        <w:t>1</w:t>
      </w:r>
      <w:r>
        <w:rPr>
          <w:rFonts w:ascii="宋体" w:hAnsi="宋体" w:cs="宋体" w:eastAsia="宋体" w:hint="default"/>
          <w:spacing w:val="-5"/>
          <w:w w:val="101"/>
        </w:rPr>
        <w:t>0</w:t>
      </w:r>
      <w:r>
        <w:rPr>
          <w:w w:val="101"/>
        </w:rPr>
        <w:t>股派</w:t>
      </w:r>
      <w:r>
        <w:rPr>
          <w:rFonts w:ascii="宋体" w:hAnsi="宋体" w:cs="宋体" w:eastAsia="宋体" w:hint="default"/>
          <w:spacing w:val="-5"/>
          <w:w w:val="101"/>
        </w:rPr>
        <w:t>0</w:t>
      </w:r>
      <w:r>
        <w:rPr>
          <w:rFonts w:ascii="宋体" w:hAnsi="宋体" w:cs="宋体" w:eastAsia="宋体" w:hint="default"/>
          <w:w w:val="101"/>
        </w:rPr>
        <w:t>.2</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left="0" w:right="1123"/>
        <w:jc w:val="right"/>
      </w:pPr>
      <w:r>
        <w:rPr>
          <w:spacing w:val="-2"/>
        </w:rPr>
        <w:t>元人民币现金（含税），合计派发现金股利</w:t>
      </w:r>
      <w:r>
        <w:rPr>
          <w:rFonts w:ascii="宋体" w:hAnsi="宋体" w:cs="宋体" w:eastAsia="宋体" w:hint="default"/>
          <w:spacing w:val="-2"/>
        </w:rPr>
        <w:t>14,132,810.70</w:t>
      </w:r>
      <w:r>
        <w:rPr>
          <w:spacing w:val="-2"/>
        </w:rPr>
        <w:t>元（含税），剩余未分配利润</w:t>
      </w:r>
      <w:r>
        <w:rPr>
          <w:rFonts w:ascii="宋体" w:hAnsi="宋体" w:cs="宋体" w:eastAsia="宋体" w:hint="default"/>
          <w:spacing w:val="-2"/>
        </w:rPr>
        <w:t>109,096,876.47</w:t>
      </w:r>
      <w:r>
        <w:rPr>
          <w:spacing w:val="-2"/>
        </w:rPr>
        <w:t>元结转以后年度。</w:t>
      </w:r>
      <w:r>
        <w:rPr>
          <w:spacing w:val="18"/>
        </w:rPr>
        <w:t> </w:t>
      </w:r>
      <w:r>
        <w:rPr>
          <w:spacing w:val="18"/>
        </w:rPr>
      </w:r>
      <w:r>
        <w:rPr>
          <w:spacing w:val="-4"/>
        </w:rPr>
        <w:t>公司独立董事认为：公司</w:t>
      </w:r>
      <w:r>
        <w:rPr>
          <w:rFonts w:ascii="宋体" w:hAnsi="宋体" w:cs="宋体" w:eastAsia="宋体" w:hint="default"/>
          <w:spacing w:val="-4"/>
        </w:rPr>
        <w:t>2018</w:t>
      </w:r>
      <w:r>
        <w:rPr>
          <w:spacing w:val="-4"/>
        </w:rPr>
        <w:t>年度利润分配预案符合公司实际情况，在保证公司正常经营和长远发展的前提下，更好地</w:t>
      </w:r>
      <w:r>
        <w:rPr>
          <w:w w:val="101"/>
        </w:rPr>
        <w:t> </w:t>
      </w:r>
      <w:r>
        <w:rPr>
          <w:spacing w:val="-4"/>
        </w:rPr>
        <w:t>兼顾了股东的即期利益和长远利益；符合中国证监会《关于进一步落实上市公司现金分红有关事项的通知》、《上市公司监</w:t>
      </w:r>
      <w:r>
        <w:rPr>
          <w:spacing w:val="23"/>
        </w:rPr>
        <w:t> </w:t>
      </w:r>
      <w:r>
        <w:rPr>
          <w:spacing w:val="23"/>
        </w:rPr>
      </w:r>
      <w:r>
        <w:rPr>
          <w:spacing w:val="-3"/>
        </w:rPr>
        <w:t>管指引第</w:t>
      </w:r>
      <w:r>
        <w:rPr>
          <w:rFonts w:ascii="宋体" w:hAnsi="宋体" w:cs="宋体" w:eastAsia="宋体" w:hint="default"/>
          <w:spacing w:val="-3"/>
        </w:rPr>
        <w:t>3</w:t>
      </w:r>
      <w:r>
        <w:rPr>
          <w:spacing w:val="-3"/>
        </w:rPr>
        <w:t>号——上市公司现金分红》的文件精神；不存在违反法律、法规、公司章程的情形，也不存在损害公司股东尤其</w:t>
      </w:r>
    </w:p>
    <w:p>
      <w:pPr>
        <w:pStyle w:val="BodyText"/>
        <w:spacing w:line="477" w:lineRule="auto" w:before="58"/>
        <w:ind w:left="513" w:right="5823" w:hanging="360"/>
        <w:jc w:val="left"/>
      </w:pPr>
      <w:r>
        <w:rPr>
          <w:spacing w:val="-3"/>
        </w:rPr>
        <w:t>是中小股东利益的情形，有利于公司的正常经营和健康发展。</w:t>
      </w:r>
      <w:r>
        <w:rPr>
          <w:spacing w:val="-10"/>
        </w:rPr>
        <w:t> </w:t>
      </w:r>
      <w:r>
        <w:rPr>
          <w:spacing w:val="-10"/>
        </w:rPr>
      </w:r>
      <w:r>
        <w:rPr>
          <w:spacing w:val="-3"/>
        </w:rPr>
        <w:t>本利润分配预案尚需提交公司</w:t>
      </w:r>
      <w:r>
        <w:rPr>
          <w:rFonts w:ascii="宋体" w:hAnsi="宋体" w:cs="宋体" w:eastAsia="宋体" w:hint="default"/>
          <w:spacing w:val="-3"/>
        </w:rPr>
        <w:t>2018</w:t>
      </w:r>
      <w:r>
        <w:rPr>
          <w:spacing w:val="-3"/>
        </w:rPr>
        <w:t>年度股东大会审议。</w:t>
      </w:r>
      <w:r>
        <w:rPr>
          <w:w w:val="101"/>
        </w:rPr>
        <w:t> </w:t>
      </w:r>
      <w:r>
        <w:rPr>
          <w:rFonts w:ascii="宋体" w:hAnsi="宋体" w:cs="宋体" w:eastAsia="宋体" w:hint="default"/>
        </w:rPr>
        <w:t>2</w:t>
      </w:r>
      <w:r>
        <w:rPr/>
        <w:t>．</w:t>
      </w:r>
      <w:r>
        <w:rPr>
          <w:rFonts w:ascii="宋体" w:hAnsi="宋体" w:cs="宋体" w:eastAsia="宋体" w:hint="default"/>
        </w:rPr>
        <w:t>2017</w:t>
      </w:r>
      <w:r>
        <w:rPr/>
        <w:t>年度利润分配预案</w:t>
      </w:r>
    </w:p>
    <w:p>
      <w:pPr>
        <w:pStyle w:val="BodyText"/>
        <w:spacing w:line="477" w:lineRule="auto" w:before="52"/>
        <w:ind w:right="1045" w:firstLine="360"/>
        <w:jc w:val="left"/>
      </w:pPr>
      <w:r>
        <w:rPr>
          <w:spacing w:val="-3"/>
        </w:rPr>
        <w:t>经瑞华会计师事务所审计，</w:t>
      </w:r>
      <w:r>
        <w:rPr>
          <w:rFonts w:ascii="宋体" w:hAnsi="宋体" w:cs="宋体" w:eastAsia="宋体" w:hint="default"/>
          <w:spacing w:val="-3"/>
        </w:rPr>
        <w:t>2017</w:t>
      </w:r>
      <w:r>
        <w:rPr>
          <w:spacing w:val="-3"/>
        </w:rPr>
        <w:t>年度母公司实现净利润</w:t>
      </w:r>
      <w:r>
        <w:rPr>
          <w:rFonts w:ascii="宋体" w:hAnsi="宋体" w:cs="宋体" w:eastAsia="宋体" w:hint="default"/>
          <w:spacing w:val="-3"/>
        </w:rPr>
        <w:t>8,022,901.23</w:t>
      </w:r>
      <w:r>
        <w:rPr>
          <w:spacing w:val="-3"/>
        </w:rPr>
        <w:t>元，根据《公司法》和《公司章程》的有关规定，</w:t>
      </w:r>
      <w:r>
        <w:rPr>
          <w:w w:val="101"/>
        </w:rPr>
        <w:t> </w:t>
      </w:r>
      <w:r>
        <w:rPr>
          <w:spacing w:val="-4"/>
        </w:rPr>
        <w:t>按照实现净利润的</w:t>
      </w:r>
      <w:r>
        <w:rPr>
          <w:rFonts w:ascii="宋体" w:hAnsi="宋体" w:cs="宋体" w:eastAsia="宋体" w:hint="default"/>
          <w:spacing w:val="-4"/>
        </w:rPr>
        <w:t>10</w:t>
      </w:r>
      <w:r>
        <w:rPr>
          <w:spacing w:val="-4"/>
        </w:rPr>
        <w:t>％提取法定盈余公积</w:t>
      </w:r>
      <w:r>
        <w:rPr>
          <w:rFonts w:ascii="宋体" w:hAnsi="宋体" w:cs="宋体" w:eastAsia="宋体" w:hint="default"/>
          <w:spacing w:val="-4"/>
        </w:rPr>
        <w:t>802,290.12</w:t>
      </w:r>
      <w:r>
        <w:rPr>
          <w:spacing w:val="-4"/>
        </w:rPr>
        <w:t>元后，加上年初未分配利润</w:t>
      </w:r>
      <w:r>
        <w:rPr>
          <w:rFonts w:ascii="宋体" w:hAnsi="宋体" w:cs="宋体" w:eastAsia="宋体" w:hint="default"/>
          <w:spacing w:val="-4"/>
        </w:rPr>
        <w:t>111,505,855.40</w:t>
      </w:r>
      <w:r>
        <w:rPr>
          <w:spacing w:val="-4"/>
        </w:rPr>
        <w:t>元，减去</w:t>
      </w:r>
      <w:r>
        <w:rPr>
          <w:rFonts w:ascii="宋体" w:hAnsi="宋体" w:cs="宋体" w:eastAsia="宋体" w:hint="default"/>
          <w:spacing w:val="-4"/>
        </w:rPr>
        <w:t>2016</w:t>
      </w:r>
      <w:r>
        <w:rPr>
          <w:spacing w:val="-4"/>
        </w:rPr>
        <w:t>年度现金分红</w:t>
      </w:r>
      <w:r>
        <w:rPr>
          <w:spacing w:val="16"/>
        </w:rPr>
        <w:t> </w:t>
      </w:r>
      <w:r>
        <w:rPr>
          <w:spacing w:val="16"/>
        </w:rPr>
      </w:r>
      <w:r>
        <w:rPr>
          <w:rFonts w:ascii="宋体" w:hAnsi="宋体" w:cs="宋体" w:eastAsia="宋体" w:hint="default"/>
          <w:spacing w:val="-2"/>
        </w:rPr>
        <w:t>10,260,202.48</w:t>
      </w:r>
      <w:r>
        <w:rPr>
          <w:spacing w:val="-2"/>
        </w:rPr>
        <w:t>元，截至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日，母公司可供股东分配的利润为</w:t>
      </w:r>
      <w:r>
        <w:rPr>
          <w:rFonts w:ascii="宋体" w:hAnsi="宋体" w:cs="宋体" w:eastAsia="宋体" w:hint="default"/>
          <w:spacing w:val="-2"/>
        </w:rPr>
        <w:t>108,466,264.03</w:t>
      </w:r>
      <w:r>
        <w:rPr>
          <w:spacing w:val="-2"/>
        </w:rPr>
        <w:t>元。</w:t>
      </w:r>
      <w:r>
        <w:rPr>
          <w:rFonts w:ascii="宋体" w:hAnsi="宋体" w:cs="宋体" w:eastAsia="宋体" w:hint="default"/>
          <w:spacing w:val="-2"/>
        </w:rPr>
        <w:t>2017</w:t>
      </w:r>
      <w:r>
        <w:rPr>
          <w:spacing w:val="-2"/>
        </w:rPr>
        <w:t>年度母公司经营活动产生</w:t>
      </w:r>
      <w:r>
        <w:rPr>
          <w:spacing w:val="55"/>
        </w:rPr>
        <w:t> </w:t>
      </w:r>
      <w:r>
        <w:rPr>
          <w:spacing w:val="55"/>
        </w:rPr>
      </w:r>
      <w:r>
        <w:rPr/>
        <w:t>的现金流量净额为</w:t>
      </w:r>
      <w:r>
        <w:rPr>
          <w:rFonts w:ascii="宋体" w:hAnsi="宋体" w:cs="宋体" w:eastAsia="宋体" w:hint="default"/>
        </w:rPr>
        <w:t>-122,034,463.02</w:t>
      </w:r>
      <w:r>
        <w:rPr/>
        <w:t>元，合并口径公司经营活动产生的现金流量净额为</w:t>
      </w:r>
      <w:r>
        <w:rPr>
          <w:rFonts w:ascii="宋体" w:hAnsi="宋体" w:cs="宋体" w:eastAsia="宋体" w:hint="default"/>
        </w:rPr>
        <w:t>-69,662,634.00</w:t>
      </w:r>
      <w:r>
        <w:rPr/>
        <w:t>元。</w:t>
      </w:r>
    </w:p>
    <w:p>
      <w:pPr>
        <w:pStyle w:val="BodyText"/>
        <w:spacing w:line="477" w:lineRule="auto" w:before="52"/>
        <w:ind w:right="1124" w:firstLine="360"/>
        <w:jc w:val="both"/>
      </w:pPr>
      <w:r>
        <w:rPr>
          <w:spacing w:val="-5"/>
        </w:rPr>
        <w:t>根据《公司章程》关于利润分配的有关规定，鉴于公司上年度盈利情况、现金流情况以及未来经营发展需要，为保障公</w:t>
      </w:r>
      <w:r>
        <w:rPr>
          <w:w w:val="101"/>
        </w:rPr>
        <w:t> </w:t>
      </w:r>
      <w:r>
        <w:rPr>
          <w:spacing w:val="-4"/>
        </w:rPr>
        <w:t>司生产经营的正常运行，增强抵御风险能力，实现公司持续、稳定、健康发展，更好的维护全体股东的长远利益，经公司董</w:t>
      </w:r>
      <w:r>
        <w:rPr>
          <w:spacing w:val="40"/>
        </w:rPr>
        <w:t> </w:t>
      </w:r>
      <w:r>
        <w:rPr>
          <w:spacing w:val="40"/>
        </w:rPr>
      </w:r>
      <w:r>
        <w:rPr>
          <w:spacing w:val="-3"/>
        </w:rPr>
        <w:t>事会研究决定：</w:t>
      </w:r>
      <w:r>
        <w:rPr>
          <w:rFonts w:ascii="宋体" w:hAnsi="宋体" w:cs="宋体" w:eastAsia="宋体" w:hint="default"/>
          <w:spacing w:val="-3"/>
        </w:rPr>
        <w:t>2017</w:t>
      </w:r>
      <w:r>
        <w:rPr>
          <w:spacing w:val="-3"/>
        </w:rPr>
        <w:t>年度不进行现金分红，也不进行资本公积金转增股本，可供股东分配的利润结转以后年度。</w:t>
      </w:r>
    </w:p>
    <w:p>
      <w:pPr>
        <w:pStyle w:val="BodyText"/>
        <w:spacing w:line="475" w:lineRule="auto" w:before="56"/>
        <w:ind w:right="1055" w:firstLine="360"/>
        <w:jc w:val="left"/>
      </w:pPr>
      <w:r>
        <w:rPr>
          <w:spacing w:val="-3"/>
        </w:rPr>
        <w:t>公司独立董事认为：综合考虑公司</w:t>
      </w:r>
      <w:r>
        <w:rPr>
          <w:rFonts w:ascii="宋体" w:hAnsi="宋体" w:cs="宋体" w:eastAsia="宋体" w:hint="default"/>
          <w:spacing w:val="-3"/>
        </w:rPr>
        <w:t>2017</w:t>
      </w:r>
      <w:r>
        <w:rPr>
          <w:spacing w:val="-3"/>
        </w:rPr>
        <w:t>年度的盈利情况、现金流情况以及未来经营发展需要，公司董事会关于“2017</w:t>
      </w:r>
      <w:r>
        <w:rPr>
          <w:w w:val="101"/>
        </w:rPr>
        <w:t> </w:t>
      </w:r>
      <w:r>
        <w:rPr>
          <w:spacing w:val="-3"/>
        </w:rPr>
        <w:t>年度不进行现金分红，也不进行资本公积金转增股本”的预案符合公司实际情况，是基于公司持续经营与长期发展的考虑，</w:t>
      </w:r>
      <w:r>
        <w:rPr>
          <w:spacing w:val="66"/>
        </w:rPr>
        <w:t> </w:t>
      </w:r>
      <w:r>
        <w:rPr>
          <w:spacing w:val="66"/>
        </w:rPr>
      </w:r>
      <w:r>
        <w:rPr>
          <w:spacing w:val="-4"/>
        </w:rPr>
        <w:t>符合《公司章程》中利润分配政策的有关规定，不存在损害公司股东特别是中小股东利益的情形，有利于公司的正常经营和</w:t>
      </w:r>
      <w:r>
        <w:rPr>
          <w:spacing w:val="40"/>
        </w:rPr>
        <w:t> </w:t>
      </w:r>
      <w:r>
        <w:rPr>
          <w:spacing w:val="40"/>
        </w:rPr>
      </w:r>
      <w:r>
        <w:rPr>
          <w:spacing w:val="-3"/>
        </w:rPr>
        <w:t>可持续发展。因此，我们同意董事会制定的</w:t>
      </w:r>
      <w:r>
        <w:rPr>
          <w:rFonts w:ascii="宋体" w:hAnsi="宋体" w:cs="宋体" w:eastAsia="宋体" w:hint="default"/>
          <w:spacing w:val="-3"/>
        </w:rPr>
        <w:t>2017</w:t>
      </w:r>
      <w:r>
        <w:rPr>
          <w:spacing w:val="-3"/>
        </w:rPr>
        <w:t>年度不进行利润分配的议案，并同意提交公司股东大会审议。</w:t>
      </w:r>
    </w:p>
    <w:p>
      <w:pPr>
        <w:pStyle w:val="BodyText"/>
        <w:spacing w:line="240" w:lineRule="auto" w:before="58"/>
        <w:ind w:left="513" w:right="1055"/>
        <w:jc w:val="left"/>
      </w:pPr>
      <w:r>
        <w:rPr>
          <w:rFonts w:ascii="宋体" w:hAnsi="宋体" w:cs="宋体" w:eastAsia="宋体" w:hint="default"/>
          <w:spacing w:val="-3"/>
        </w:rPr>
        <w:t>2017</w:t>
      </w:r>
      <w:r>
        <w:rPr>
          <w:spacing w:val="-3"/>
        </w:rPr>
        <w:t>年度不进行利润分配的预案已提交公司</w:t>
      </w:r>
      <w:r>
        <w:rPr>
          <w:rFonts w:ascii="宋体" w:hAnsi="宋体" w:cs="宋体" w:eastAsia="宋体" w:hint="default"/>
          <w:spacing w:val="-3"/>
        </w:rPr>
        <w:t>2017</w:t>
      </w:r>
      <w:r>
        <w:rPr>
          <w:spacing w:val="-3"/>
        </w:rPr>
        <w:t>年度股东大会审议通过。</w:t>
      </w:r>
    </w:p>
    <w:p>
      <w:pPr>
        <w:spacing w:line="240" w:lineRule="auto" w:before="8"/>
        <w:rPr>
          <w:rFonts w:ascii="宋体" w:hAnsi="宋体" w:cs="宋体" w:eastAsia="宋体" w:hint="default"/>
          <w:sz w:val="17"/>
          <w:szCs w:val="17"/>
        </w:rPr>
      </w:pPr>
    </w:p>
    <w:p>
      <w:pPr>
        <w:pStyle w:val="BodyText"/>
        <w:spacing w:line="240" w:lineRule="auto"/>
        <w:ind w:left="513" w:right="1055"/>
        <w:jc w:val="left"/>
      </w:pPr>
      <w:r>
        <w:rPr>
          <w:rFonts w:ascii="宋体" w:hAnsi="宋体" w:cs="宋体" w:eastAsia="宋体" w:hint="default"/>
        </w:rPr>
        <w:t>3</w:t>
      </w:r>
      <w:r>
        <w:rPr/>
        <w:t>．</w:t>
      </w:r>
      <w:r>
        <w:rPr>
          <w:rFonts w:ascii="宋体" w:hAnsi="宋体" w:cs="宋体" w:eastAsia="宋体" w:hint="default"/>
        </w:rPr>
        <w:t>2016</w:t>
      </w:r>
      <w:r>
        <w:rPr/>
        <w:t>年度利润分配预案</w:t>
      </w:r>
    </w:p>
    <w:p>
      <w:pPr>
        <w:spacing w:line="240" w:lineRule="auto" w:before="13"/>
        <w:rPr>
          <w:rFonts w:ascii="宋体" w:hAnsi="宋体" w:cs="宋体" w:eastAsia="宋体" w:hint="default"/>
          <w:sz w:val="17"/>
          <w:szCs w:val="17"/>
        </w:rPr>
      </w:pPr>
    </w:p>
    <w:p>
      <w:pPr>
        <w:pStyle w:val="BodyText"/>
        <w:spacing w:line="475" w:lineRule="auto"/>
        <w:ind w:right="1122" w:firstLine="360"/>
        <w:jc w:val="both"/>
      </w:pPr>
      <w:r>
        <w:rPr>
          <w:rFonts w:ascii="宋体" w:hAnsi="宋体" w:cs="宋体" w:eastAsia="宋体" w:hint="default"/>
          <w:spacing w:val="-3"/>
        </w:rPr>
        <w:t>2016</w:t>
      </w:r>
      <w:r>
        <w:rPr>
          <w:spacing w:val="-3"/>
        </w:rPr>
        <w:t>年度，公司以经瑞华会计师事务所审计的母公司可供分配利润为基础，以</w:t>
      </w:r>
      <w:r>
        <w:rPr>
          <w:rFonts w:ascii="宋体" w:hAnsi="宋体" w:cs="宋体" w:eastAsia="宋体" w:hint="default"/>
          <w:spacing w:val="-3"/>
        </w:rPr>
        <w:t>2016</w:t>
      </w:r>
      <w:r>
        <w:rPr>
          <w:spacing w:val="-3"/>
        </w:rPr>
        <w:t>年末总股本</w:t>
      </w:r>
      <w:r>
        <w:rPr>
          <w:rFonts w:ascii="宋体" w:hAnsi="宋体" w:cs="宋体" w:eastAsia="宋体" w:hint="default"/>
          <w:spacing w:val="-3"/>
        </w:rPr>
        <w:t>684,013,769</w:t>
      </w:r>
      <w:r>
        <w:rPr>
          <w:spacing w:val="-3"/>
        </w:rPr>
        <w:t>股为基数，</w:t>
      </w:r>
      <w:r>
        <w:rPr>
          <w:w w:val="101"/>
        </w:rPr>
        <w:t> </w:t>
      </w:r>
      <w:r>
        <w:rPr>
          <w:spacing w:val="-2"/>
        </w:rPr>
        <w:t>向全体股东每</w:t>
      </w:r>
      <w:r>
        <w:rPr>
          <w:rFonts w:ascii="宋体" w:hAnsi="宋体" w:cs="宋体" w:eastAsia="宋体" w:hint="default"/>
          <w:spacing w:val="-2"/>
        </w:rPr>
        <w:t>10</w:t>
      </w:r>
      <w:r>
        <w:rPr>
          <w:spacing w:val="-2"/>
        </w:rPr>
        <w:t>股派发人民币</w:t>
      </w:r>
      <w:r>
        <w:rPr>
          <w:rFonts w:ascii="宋体" w:hAnsi="宋体" w:cs="宋体" w:eastAsia="宋体" w:hint="default"/>
          <w:spacing w:val="-2"/>
        </w:rPr>
        <w:t>0.15</w:t>
      </w:r>
      <w:r>
        <w:rPr>
          <w:spacing w:val="-2"/>
        </w:rPr>
        <w:t>元现金（含税）</w:t>
      </w:r>
      <w:r>
        <w:rPr>
          <w:rFonts w:ascii="宋体" w:hAnsi="宋体" w:cs="宋体" w:eastAsia="宋体" w:hint="default"/>
          <w:spacing w:val="-2"/>
        </w:rPr>
        <w:t>,</w:t>
      </w:r>
      <w:r>
        <w:rPr>
          <w:spacing w:val="-2"/>
        </w:rPr>
        <w:t>合计派发现金股利利</w:t>
      </w:r>
      <w:r>
        <w:rPr>
          <w:rFonts w:ascii="宋体" w:hAnsi="宋体" w:cs="宋体" w:eastAsia="宋体" w:hint="default"/>
          <w:spacing w:val="-2"/>
        </w:rPr>
        <w:t>10,260,206.54</w:t>
      </w:r>
      <w:r>
        <w:rPr>
          <w:spacing w:val="-2"/>
        </w:rPr>
        <w:t>元（含税）。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w:t>
      </w:r>
      <w:r>
        <w:rPr>
          <w:rFonts w:ascii="宋体" w:hAnsi="宋体" w:cs="宋体" w:eastAsia="宋体" w:hint="default"/>
          <w:spacing w:val="-2"/>
        </w:rPr>
        <w:t>,</w:t>
      </w:r>
      <w:r>
        <w:rPr>
          <w:spacing w:val="-2"/>
        </w:rPr>
        <w:t>公司第</w:t>
      </w:r>
      <w:r>
        <w:rPr>
          <w:spacing w:val="40"/>
        </w:rPr>
        <w:t> </w:t>
      </w:r>
      <w:r>
        <w:rPr>
          <w:spacing w:val="40"/>
        </w:rPr>
      </w:r>
      <w:r>
        <w:rPr>
          <w:spacing w:val="-4"/>
        </w:rPr>
        <w:t>三届董事会第三十二次会议审议通过了《</w:t>
      </w:r>
      <w:r>
        <w:rPr>
          <w:rFonts w:ascii="宋体" w:hAnsi="宋体" w:cs="宋体" w:eastAsia="宋体" w:hint="default"/>
          <w:spacing w:val="-4"/>
        </w:rPr>
        <w:t>2016</w:t>
      </w:r>
      <w:r>
        <w:rPr>
          <w:spacing w:val="-4"/>
        </w:rPr>
        <w:t>年度利润分配预案》；</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4</w:t>
      </w:r>
      <w:r>
        <w:rPr>
          <w:spacing w:val="-4"/>
        </w:rPr>
        <w:t>日，</w:t>
      </w:r>
      <w:r>
        <w:rPr>
          <w:rFonts w:ascii="宋体" w:hAnsi="宋体" w:cs="宋体" w:eastAsia="宋体" w:hint="default"/>
          <w:spacing w:val="-4"/>
        </w:rPr>
        <w:t>2016</w:t>
      </w:r>
      <w:r>
        <w:rPr>
          <w:spacing w:val="-4"/>
        </w:rPr>
        <w:t>年度股东大会审议通过上述权益分</w:t>
      </w:r>
      <w:r>
        <w:rPr>
          <w:spacing w:val="70"/>
        </w:rPr>
        <w:t> </w:t>
      </w:r>
      <w:r>
        <w:rPr>
          <w:spacing w:val="70"/>
        </w:rPr>
      </w:r>
      <w:r>
        <w:rPr/>
        <w:t>派方案；</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日，上述已方案实施完毕。</w:t>
      </w:r>
    </w:p>
    <w:p>
      <w:pPr>
        <w:pStyle w:val="BodyText"/>
        <w:spacing w:line="240" w:lineRule="auto" w:before="59"/>
        <w:ind w:left="513" w:right="1055"/>
        <w:jc w:val="left"/>
      </w:pPr>
      <w:r>
        <w:rPr>
          <w:spacing w:val="-3"/>
        </w:rPr>
        <w:t>公司近三年（包括本报告期）普通股现金分红情况表</w:t>
      </w:r>
    </w:p>
    <w:p>
      <w:pPr>
        <w:spacing w:line="240" w:lineRule="auto" w:before="8"/>
        <w:rPr>
          <w:rFonts w:ascii="宋体" w:hAnsi="宋体" w:cs="宋体" w:eastAsia="宋体" w:hint="default"/>
          <w:sz w:val="14"/>
          <w:szCs w:val="14"/>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165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52" w:right="46"/>
              <w:jc w:val="both"/>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占合并报表中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归属于上市公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司普通股股东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的净利润的比</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52" w:right="4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6"/>
              <w:ind w:left="412" w:right="137"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46" w:firstLine="91"/>
              <w:jc w:val="left"/>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表中归属于上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市公司普通股</w:t>
            </w:r>
          </w:p>
        </w:tc>
      </w:tr>
    </w:tbl>
    <w:p>
      <w:pPr>
        <w:spacing w:after="0" w:line="319"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67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率</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46"/>
              <w:jc w:val="right"/>
              <w:rPr>
                <w:rFonts w:ascii="宋体" w:hAnsi="宋体" w:cs="宋体" w:eastAsia="宋体" w:hint="default"/>
                <w:sz w:val="18"/>
                <w:szCs w:val="18"/>
              </w:rPr>
            </w:pPr>
            <w:r>
              <w:rPr>
                <w:rFonts w:ascii="宋体" w:hAnsi="宋体" w:cs="宋体" w:eastAsia="宋体" w:hint="default"/>
                <w:spacing w:val="-2"/>
                <w:sz w:val="18"/>
                <w:szCs w:val="18"/>
              </w:rPr>
              <w:t>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326" w:right="46" w:hanging="274"/>
              <w:jc w:val="left"/>
              <w:rPr>
                <w:rFonts w:ascii="宋体" w:hAnsi="宋体" w:cs="宋体" w:eastAsia="宋体" w:hint="default"/>
                <w:sz w:val="18"/>
                <w:szCs w:val="18"/>
              </w:rPr>
            </w:pPr>
            <w:r>
              <w:rPr>
                <w:rFonts w:ascii="宋体" w:hAnsi="宋体" w:cs="宋体" w:eastAsia="宋体" w:hint="default"/>
                <w:spacing w:val="-2"/>
                <w:sz w:val="18"/>
                <w:szCs w:val="18"/>
              </w:rPr>
              <w:t>股东的净利润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的比率</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14,132,810.70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35,750,737.69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14,132,810.70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39.53%</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22,238,457.43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10,260,202.48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
              <w:jc w:val="right"/>
              <w:rPr>
                <w:rFonts w:ascii="Times New Roman" w:hAnsi="Times New Roman" w:cs="Times New Roman" w:eastAsia="Times New Roman" w:hint="default"/>
                <w:sz w:val="12"/>
                <w:szCs w:val="12"/>
              </w:rPr>
            </w:pPr>
            <w:r>
              <w:rPr>
                <w:rFonts w:ascii="Times New Roman"/>
                <w:spacing w:val="-1"/>
                <w:sz w:val="18"/>
              </w:rPr>
              <w:t>80,796,778.02</w:t>
            </w:r>
            <w:r>
              <w:rPr>
                <w:rFonts w:ascii="Times New Roman"/>
                <w:color w:val="FF0000"/>
                <w:spacing w:val="-1"/>
                <w:position w:val="8"/>
                <w:sz w:val="12"/>
              </w:rPr>
              <w:t>1</w:t>
            </w:r>
            <w:r>
              <w:rPr>
                <w:rFonts w:ascii="Times New Roman"/>
                <w:spacing w:val="-1"/>
                <w:sz w:val="12"/>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10,260,202.48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12.70%</w:t>
            </w:r>
          </w:p>
        </w:tc>
      </w:tr>
    </w:tbl>
    <w:p>
      <w:pPr>
        <w:pStyle w:val="BodyText"/>
        <w:spacing w:line="240" w:lineRule="auto" w:before="92"/>
        <w:ind w:left="513" w:right="1055"/>
        <w:jc w:val="left"/>
      </w:pPr>
      <w:r>
        <w:rPr/>
        <w:t>注：</w:t>
      </w:r>
      <w:r>
        <w:rPr>
          <w:rFonts w:ascii="宋体" w:hAnsi="宋体" w:cs="宋体" w:eastAsia="宋体" w:hint="default"/>
        </w:rPr>
        <w:t>1 </w:t>
      </w:r>
      <w:r>
        <w:rPr>
          <w:rFonts w:ascii="宋体" w:hAnsi="宋体" w:cs="宋体" w:eastAsia="宋体" w:hint="default"/>
          <w:spacing w:val="84"/>
        </w:rPr>
        <w:t> </w:t>
      </w:r>
      <w:r>
        <w:rPr>
          <w:spacing w:val="-3"/>
        </w:rPr>
        <w:t>根据</w:t>
      </w:r>
      <w:r>
        <w:rPr>
          <w:rFonts w:ascii="宋体" w:hAnsi="宋体" w:cs="宋体" w:eastAsia="宋体" w:hint="default"/>
          <w:spacing w:val="-3"/>
        </w:rPr>
        <w:t>2016</w:t>
      </w:r>
      <w:r>
        <w:rPr>
          <w:spacing w:val="-3"/>
        </w:rPr>
        <w:t>年度利润分配方案，公司计划派发现金股利</w:t>
      </w:r>
      <w:r>
        <w:rPr>
          <w:rFonts w:ascii="宋体" w:hAnsi="宋体" w:cs="宋体" w:eastAsia="宋体" w:hint="default"/>
          <w:spacing w:val="-3"/>
        </w:rPr>
        <w:t>10,260,206.54</w:t>
      </w:r>
      <w:r>
        <w:rPr>
          <w:spacing w:val="-3"/>
        </w:rPr>
        <w:t>元，实施派送过程中产生零碎股息</w:t>
      </w:r>
      <w:r>
        <w:rPr>
          <w:rFonts w:ascii="宋体" w:hAnsi="宋体" w:cs="宋体" w:eastAsia="宋体" w:hint="default"/>
          <w:spacing w:val="-3"/>
        </w:rPr>
        <w:t>4.06</w:t>
      </w:r>
      <w:r>
        <w:rPr>
          <w:spacing w:val="-3"/>
        </w:rPr>
        <w:t>元退</w:t>
      </w:r>
    </w:p>
    <w:p>
      <w:pPr>
        <w:spacing w:line="240" w:lineRule="auto" w:before="8"/>
        <w:rPr>
          <w:rFonts w:ascii="宋体" w:hAnsi="宋体" w:cs="宋体" w:eastAsia="宋体" w:hint="default"/>
          <w:sz w:val="17"/>
          <w:szCs w:val="17"/>
        </w:rPr>
      </w:pPr>
    </w:p>
    <w:p>
      <w:pPr>
        <w:pStyle w:val="BodyText"/>
        <w:spacing w:line="441" w:lineRule="auto"/>
        <w:ind w:right="1055"/>
        <w:jc w:val="left"/>
      </w:pPr>
      <w:r>
        <w:rPr/>
        <w:t>回公司账户，实际派发现金股利</w:t>
      </w:r>
      <w:r>
        <w:rPr>
          <w:rFonts w:ascii="宋体" w:hAnsi="宋体" w:cs="宋体" w:eastAsia="宋体" w:hint="default"/>
        </w:rPr>
        <w:t>10,260,202.48</w:t>
      </w:r>
      <w:r>
        <w:rPr/>
        <w:t>元。</w:t>
      </w:r>
      <w:r>
        <w:rPr>
          <w:spacing w:val="-86"/>
        </w:rPr>
        <w:t> </w:t>
      </w:r>
      <w:r>
        <w:rPr>
          <w:spacing w:val="-3"/>
        </w:rPr>
        <w:t>公司报告期内盈利且母公司可供普通股股东分配利润为正但未提出普通股现金红利分配预案</w:t>
      </w:r>
    </w:p>
    <w:p>
      <w:pPr>
        <w:pStyle w:val="BodyText"/>
        <w:spacing w:line="213" w:lineRule="exact"/>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055"/>
        <w:jc w:val="left"/>
        <w:rPr>
          <w:b w:val="0"/>
          <w:bCs w:val="0"/>
        </w:rPr>
      </w:pP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54" w:lineRule="auto"/>
        <w:ind w:right="1055"/>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588"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62"/>
              <w:ind w:left="105" w:right="195"/>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3"/>
              <w:jc w:val="left"/>
              <w:rPr>
                <w:rFonts w:ascii="宋体" w:hAnsi="宋体" w:cs="宋体" w:eastAsia="宋体" w:hint="default"/>
                <w:sz w:val="18"/>
                <w:szCs w:val="18"/>
              </w:rPr>
            </w:pPr>
            <w:r>
              <w:rPr>
                <w:rFonts w:ascii="宋体" w:hAnsi="宋体" w:cs="宋体" w:eastAsia="宋体" w:hint="default"/>
                <w:spacing w:val="-16"/>
                <w:w w:val="101"/>
                <w:sz w:val="18"/>
                <w:szCs w:val="18"/>
              </w:rPr>
              <w:t>冯军、李岩、</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深圳弘道天</w:t>
            </w:r>
            <w:r>
              <w:rPr>
                <w:rFonts w:ascii="宋体" w:hAnsi="宋体" w:cs="宋体" w:eastAsia="宋体" w:hint="default"/>
                <w:w w:val="101"/>
                <w:sz w:val="18"/>
                <w:szCs w:val="18"/>
              </w:rPr>
              <w:t> </w:t>
            </w:r>
            <w:r>
              <w:rPr>
                <w:rFonts w:ascii="宋体" w:hAnsi="宋体" w:cs="宋体" w:eastAsia="宋体" w:hint="default"/>
                <w:sz w:val="18"/>
                <w:szCs w:val="18"/>
              </w:rPr>
              <w:t>瑞投资有限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108"/>
              <w:jc w:val="both"/>
              <w:rPr>
                <w:rFonts w:ascii="宋体" w:hAnsi="宋体" w:cs="宋体" w:eastAsia="宋体" w:hint="default"/>
                <w:sz w:val="18"/>
                <w:szCs w:val="18"/>
              </w:rPr>
            </w:pPr>
            <w:r>
              <w:rPr>
                <w:rFonts w:ascii="宋体" w:hAnsi="宋体" w:cs="宋体" w:eastAsia="宋体" w:hint="default"/>
                <w:spacing w:val="-2"/>
                <w:sz w:val="18"/>
                <w:szCs w:val="18"/>
              </w:rPr>
              <w:t>关于同业竞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易、资金占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用方面的承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5" w:right="10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避免关联交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易的承诺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94"/>
              <w:jc w:val="left"/>
              <w:rPr>
                <w:rFonts w:ascii="宋体" w:hAnsi="宋体" w:cs="宋体" w:eastAsia="宋体" w:hint="default"/>
                <w:sz w:val="18"/>
                <w:szCs w:val="18"/>
              </w:rPr>
            </w:pPr>
            <w:r>
              <w:rPr>
                <w:rFonts w:ascii="宋体" w:hAnsi="宋体" w:cs="宋体" w:eastAsia="宋体" w:hint="default"/>
                <w:sz w:val="18"/>
                <w:szCs w:val="18"/>
              </w:rPr>
              <w:t>截止报告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均遵守以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上承诺，未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发生违反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的情况。</w:t>
            </w:r>
          </w:p>
        </w:tc>
      </w:tr>
      <w:tr>
        <w:trPr>
          <w:trHeight w:val="258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3"/>
              <w:jc w:val="left"/>
              <w:rPr>
                <w:rFonts w:ascii="宋体" w:hAnsi="宋体" w:cs="宋体" w:eastAsia="宋体" w:hint="default"/>
                <w:sz w:val="18"/>
                <w:szCs w:val="18"/>
              </w:rPr>
            </w:pPr>
            <w:r>
              <w:rPr>
                <w:rFonts w:ascii="宋体" w:hAnsi="宋体" w:cs="宋体" w:eastAsia="宋体" w:hint="default"/>
                <w:spacing w:val="-16"/>
                <w:w w:val="101"/>
                <w:sz w:val="18"/>
                <w:szCs w:val="18"/>
              </w:rPr>
              <w:t>冯军、李岩、</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深圳弘道天</w:t>
            </w:r>
            <w:r>
              <w:rPr>
                <w:rFonts w:ascii="宋体" w:hAnsi="宋体" w:cs="宋体" w:eastAsia="宋体" w:hint="default"/>
                <w:w w:val="101"/>
                <w:sz w:val="18"/>
                <w:szCs w:val="18"/>
              </w:rPr>
              <w:t> </w:t>
            </w:r>
            <w:r>
              <w:rPr>
                <w:rFonts w:ascii="宋体" w:hAnsi="宋体" w:cs="宋体" w:eastAsia="宋体" w:hint="default"/>
                <w:sz w:val="18"/>
                <w:szCs w:val="18"/>
              </w:rPr>
              <w:t>瑞投资有限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108"/>
              <w:jc w:val="both"/>
              <w:rPr>
                <w:rFonts w:ascii="宋体" w:hAnsi="宋体" w:cs="宋体" w:eastAsia="宋体" w:hint="default"/>
                <w:sz w:val="18"/>
                <w:szCs w:val="18"/>
              </w:rPr>
            </w:pPr>
            <w:r>
              <w:rPr>
                <w:rFonts w:ascii="宋体" w:hAnsi="宋体" w:cs="宋体" w:eastAsia="宋体" w:hint="default"/>
                <w:spacing w:val="-2"/>
                <w:sz w:val="18"/>
                <w:szCs w:val="18"/>
              </w:rPr>
              <w:t>关于同业竞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易、资金占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用方面的承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0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避免同业竞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争的承诺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截止报告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均遵守以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上承诺，未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发生违反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的情况。</w:t>
            </w:r>
          </w:p>
        </w:tc>
      </w:tr>
      <w:tr>
        <w:trPr>
          <w:trHeight w:val="2588"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1" w:lineRule="auto"/>
              <w:ind w:left="105" w:right="195"/>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5" w:right="104"/>
              <w:jc w:val="left"/>
              <w:rPr>
                <w:rFonts w:ascii="宋体" w:hAnsi="宋体" w:cs="宋体" w:eastAsia="宋体" w:hint="default"/>
                <w:sz w:val="18"/>
                <w:szCs w:val="18"/>
              </w:rPr>
            </w:pPr>
            <w:r>
              <w:rPr>
                <w:rFonts w:ascii="宋体" w:hAnsi="宋体" w:cs="宋体" w:eastAsia="宋体" w:hint="default"/>
                <w:sz w:val="18"/>
                <w:szCs w:val="18"/>
              </w:rPr>
              <w:t>上市前股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东、共同实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际控制人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5" w:right="108"/>
              <w:jc w:val="both"/>
              <w:rPr>
                <w:rFonts w:ascii="宋体" w:hAnsi="宋体" w:cs="宋体" w:eastAsia="宋体" w:hint="default"/>
                <w:sz w:val="18"/>
                <w:szCs w:val="18"/>
              </w:rPr>
            </w:pPr>
            <w:r>
              <w:rPr>
                <w:rFonts w:ascii="宋体" w:hAnsi="宋体" w:cs="宋体" w:eastAsia="宋体" w:hint="default"/>
                <w:spacing w:val="-2"/>
                <w:sz w:val="18"/>
                <w:szCs w:val="18"/>
              </w:rPr>
              <w:t>关于同业竞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易、资金占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用方面的承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105" w:right="103"/>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（一）公司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股票上市前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股东所持股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份的流通限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制和自愿锁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定股份的承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p>
            <w:pPr>
              <w:pStyle w:val="TableParagraph"/>
              <w:spacing w:line="235" w:lineRule="exact"/>
              <w:ind w:left="105" w:right="0"/>
              <w:jc w:val="both"/>
              <w:rPr>
                <w:rFonts w:ascii="宋体" w:hAnsi="宋体" w:cs="宋体" w:eastAsia="宋体" w:hint="default"/>
                <w:sz w:val="18"/>
                <w:szCs w:val="18"/>
              </w:rPr>
            </w:pPr>
            <w:r>
              <w:rPr>
                <w:rFonts w:ascii="宋体" w:hAnsi="宋体" w:cs="宋体" w:eastAsia="宋体" w:hint="default"/>
                <w:sz w:val="18"/>
                <w:szCs w:val="18"/>
              </w:rPr>
              <w:t>（二）避免</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105" w:right="7"/>
              <w:jc w:val="both"/>
              <w:rPr>
                <w:rFonts w:ascii="宋体" w:hAnsi="宋体" w:cs="宋体" w:eastAsia="宋体" w:hint="default"/>
                <w:sz w:val="18"/>
                <w:szCs w:val="18"/>
              </w:rPr>
            </w:pPr>
            <w:r>
              <w:rPr>
                <w:rFonts w:ascii="宋体" w:hAnsi="宋体" w:cs="宋体" w:eastAsia="宋体" w:hint="default"/>
                <w:sz w:val="18"/>
                <w:szCs w:val="18"/>
              </w:rPr>
              <w:t>（一）公司</w:t>
            </w:r>
            <w:r>
              <w:rPr>
                <w:rFonts w:ascii="宋体" w:hAnsi="宋体" w:cs="宋体" w:eastAsia="宋体" w:hint="default"/>
                <w:w w:val="101"/>
                <w:sz w:val="18"/>
                <w:szCs w:val="18"/>
              </w:rPr>
              <w:t> </w:t>
            </w:r>
            <w:r>
              <w:rPr>
                <w:rFonts w:ascii="宋体" w:hAnsi="宋体" w:cs="宋体" w:eastAsia="宋体" w:hint="default"/>
                <w:sz w:val="18"/>
                <w:szCs w:val="18"/>
              </w:rPr>
              <w:t>股票上市前</w:t>
            </w:r>
            <w:r>
              <w:rPr>
                <w:rFonts w:ascii="宋体" w:hAnsi="宋体" w:cs="宋体" w:eastAsia="宋体" w:hint="default"/>
                <w:w w:val="101"/>
                <w:sz w:val="18"/>
                <w:szCs w:val="18"/>
              </w:rPr>
              <w:t> </w:t>
            </w:r>
            <w:r>
              <w:rPr>
                <w:rFonts w:ascii="宋体" w:hAnsi="宋体" w:cs="宋体" w:eastAsia="宋体" w:hint="default"/>
                <w:sz w:val="18"/>
                <w:szCs w:val="18"/>
              </w:rPr>
              <w:t>股东所持股</w:t>
            </w:r>
            <w:r>
              <w:rPr>
                <w:rFonts w:ascii="宋体" w:hAnsi="宋体" w:cs="宋体" w:eastAsia="宋体" w:hint="default"/>
                <w:w w:val="101"/>
                <w:sz w:val="18"/>
                <w:szCs w:val="18"/>
              </w:rPr>
              <w:t> </w:t>
            </w:r>
            <w:r>
              <w:rPr>
                <w:rFonts w:ascii="宋体" w:hAnsi="宋体" w:cs="宋体" w:eastAsia="宋体" w:hint="default"/>
                <w:sz w:val="18"/>
                <w:szCs w:val="18"/>
              </w:rPr>
              <w:t>份的流通限</w:t>
            </w:r>
            <w:r>
              <w:rPr>
                <w:rFonts w:ascii="宋体" w:hAnsi="宋体" w:cs="宋体" w:eastAsia="宋体" w:hint="default"/>
                <w:w w:val="101"/>
                <w:sz w:val="18"/>
                <w:szCs w:val="18"/>
              </w:rPr>
              <w:t> </w:t>
            </w:r>
            <w:r>
              <w:rPr>
                <w:rFonts w:ascii="宋体" w:hAnsi="宋体" w:cs="宋体" w:eastAsia="宋体" w:hint="default"/>
                <w:sz w:val="18"/>
                <w:szCs w:val="18"/>
              </w:rPr>
              <w:t>制和自愿锁</w:t>
            </w:r>
            <w:r>
              <w:rPr>
                <w:rFonts w:ascii="宋体" w:hAnsi="宋体" w:cs="宋体" w:eastAsia="宋体" w:hint="default"/>
                <w:w w:val="101"/>
                <w:sz w:val="18"/>
                <w:szCs w:val="18"/>
              </w:rPr>
              <w:t> </w:t>
            </w:r>
            <w:r>
              <w:rPr>
                <w:rFonts w:ascii="宋体" w:hAnsi="宋体" w:cs="宋体" w:eastAsia="宋体" w:hint="default"/>
                <w:sz w:val="18"/>
                <w:szCs w:val="18"/>
              </w:rPr>
              <w:t>定股份的承</w:t>
            </w:r>
            <w:r>
              <w:rPr>
                <w:rFonts w:ascii="宋体" w:hAnsi="宋体" w:cs="宋体" w:eastAsia="宋体" w:hint="default"/>
                <w:w w:val="101"/>
                <w:sz w:val="18"/>
                <w:szCs w:val="18"/>
              </w:rPr>
              <w:t> </w:t>
            </w:r>
            <w:r>
              <w:rPr>
                <w:rFonts w:ascii="宋体" w:hAnsi="宋体" w:cs="宋体" w:eastAsia="宋体" w:hint="default"/>
                <w:sz w:val="18"/>
                <w:szCs w:val="18"/>
              </w:rPr>
              <w:t>诺：三十六</w:t>
            </w:r>
            <w:r>
              <w:rPr>
                <w:rFonts w:ascii="宋体" w:hAnsi="宋体" w:cs="宋体" w:eastAsia="宋体" w:hint="default"/>
                <w:w w:val="101"/>
                <w:sz w:val="18"/>
                <w:szCs w:val="18"/>
              </w:rPr>
              <w:t> </w:t>
            </w:r>
            <w:r>
              <w:rPr>
                <w:rFonts w:ascii="宋体" w:hAnsi="宋体" w:cs="宋体" w:eastAsia="宋体" w:hint="default"/>
                <w:spacing w:val="-16"/>
                <w:w w:val="101"/>
                <w:sz w:val="18"/>
                <w:szCs w:val="18"/>
              </w:rPr>
              <w:t>个月；（二）</w:t>
            </w:r>
            <w:r>
              <w:rPr>
                <w:rFonts w:ascii="宋体" w:hAnsi="宋体" w:cs="宋体" w:eastAsia="宋体" w:hint="default"/>
                <w:spacing w:val="-16"/>
                <w:sz w:val="18"/>
                <w:szCs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截止报告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均遵守以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上承诺，未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发生违反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的情况。</w:t>
            </w:r>
          </w:p>
        </w:tc>
      </w:tr>
    </w:tbl>
    <w:p>
      <w:pPr>
        <w:spacing w:after="0" w:line="319"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984"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5" w:right="10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同业竞争的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03"/>
              <w:jc w:val="both"/>
              <w:rPr>
                <w:rFonts w:ascii="宋体" w:hAnsi="宋体" w:cs="宋体" w:eastAsia="宋体" w:hint="default"/>
                <w:sz w:val="18"/>
                <w:szCs w:val="18"/>
              </w:rPr>
            </w:pPr>
            <w:r>
              <w:rPr>
                <w:rFonts w:ascii="宋体" w:hAnsi="宋体" w:cs="宋体" w:eastAsia="宋体" w:hint="default"/>
                <w:spacing w:val="-2"/>
                <w:sz w:val="18"/>
                <w:szCs w:val="18"/>
              </w:rPr>
              <w:t>避免同业竞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争的承诺：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长期。</w:t>
            </w: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4149"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105" w:right="104"/>
              <w:jc w:val="left"/>
              <w:rPr>
                <w:rFonts w:ascii="宋体" w:hAnsi="宋体" w:cs="宋体" w:eastAsia="宋体" w:hint="default"/>
                <w:sz w:val="18"/>
                <w:szCs w:val="18"/>
              </w:rPr>
            </w:pPr>
            <w:r>
              <w:rPr>
                <w:rFonts w:ascii="宋体" w:hAnsi="宋体" w:cs="宋体" w:eastAsia="宋体" w:hint="default"/>
                <w:spacing w:val="-2"/>
                <w:sz w:val="18"/>
                <w:szCs w:val="18"/>
              </w:rPr>
              <w:t>张学君、陈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向军、李军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05" w:right="108"/>
              <w:jc w:val="both"/>
              <w:rPr>
                <w:rFonts w:ascii="宋体" w:hAnsi="宋体" w:cs="宋体" w:eastAsia="宋体" w:hint="default"/>
                <w:sz w:val="18"/>
                <w:szCs w:val="18"/>
              </w:rPr>
            </w:pPr>
            <w:r>
              <w:rPr>
                <w:rFonts w:ascii="宋体" w:hAnsi="宋体" w:cs="宋体" w:eastAsia="宋体" w:hint="default"/>
                <w:spacing w:val="-2"/>
                <w:sz w:val="18"/>
                <w:szCs w:val="18"/>
              </w:rPr>
              <w:t>关于干预公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司经营的承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公司共同控</w:t>
            </w:r>
            <w:r>
              <w:rPr>
                <w:rFonts w:ascii="宋体" w:hAnsi="宋体" w:cs="宋体" w:eastAsia="宋体" w:hint="default"/>
                <w:w w:val="101"/>
                <w:sz w:val="18"/>
                <w:szCs w:val="18"/>
              </w:rPr>
              <w:t> </w:t>
            </w:r>
            <w:r>
              <w:rPr>
                <w:rFonts w:ascii="宋体" w:hAnsi="宋体" w:cs="宋体" w:eastAsia="宋体" w:hint="default"/>
                <w:sz w:val="18"/>
                <w:szCs w:val="18"/>
              </w:rPr>
              <w:t>制人张学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君、陈向军</w:t>
            </w:r>
            <w:r>
              <w:rPr>
                <w:rFonts w:ascii="宋体" w:hAnsi="宋体" w:cs="宋体" w:eastAsia="宋体" w:hint="default"/>
                <w:w w:val="101"/>
                <w:sz w:val="18"/>
                <w:szCs w:val="18"/>
              </w:rPr>
              <w:t> </w:t>
            </w:r>
            <w:r>
              <w:rPr>
                <w:rFonts w:ascii="宋体" w:hAnsi="宋体" w:cs="宋体" w:eastAsia="宋体" w:hint="default"/>
                <w:sz w:val="18"/>
                <w:szCs w:val="18"/>
              </w:rPr>
              <w:t>和李军就非</w:t>
            </w:r>
            <w:r>
              <w:rPr>
                <w:rFonts w:ascii="宋体" w:hAnsi="宋体" w:cs="宋体" w:eastAsia="宋体" w:hint="default"/>
                <w:w w:val="101"/>
                <w:sz w:val="18"/>
                <w:szCs w:val="18"/>
              </w:rPr>
              <w:t> </w:t>
            </w:r>
            <w:r>
              <w:rPr>
                <w:rFonts w:ascii="宋体" w:hAnsi="宋体" w:cs="宋体" w:eastAsia="宋体" w:hint="default"/>
                <w:sz w:val="18"/>
                <w:szCs w:val="18"/>
              </w:rPr>
              <w:t>公开发行股</w:t>
            </w:r>
            <w:r>
              <w:rPr>
                <w:rFonts w:ascii="宋体" w:hAnsi="宋体" w:cs="宋体" w:eastAsia="宋体" w:hint="default"/>
                <w:w w:val="101"/>
                <w:sz w:val="18"/>
                <w:szCs w:val="18"/>
              </w:rPr>
              <w:t> </w:t>
            </w:r>
            <w:r>
              <w:rPr>
                <w:rFonts w:ascii="宋体" w:hAnsi="宋体" w:cs="宋体" w:eastAsia="宋体" w:hint="default"/>
                <w:sz w:val="18"/>
                <w:szCs w:val="18"/>
              </w:rPr>
              <w:t>票的相关事</w:t>
            </w:r>
            <w:r>
              <w:rPr>
                <w:rFonts w:ascii="宋体" w:hAnsi="宋体" w:cs="宋体" w:eastAsia="宋体" w:hint="default"/>
                <w:w w:val="101"/>
                <w:sz w:val="18"/>
                <w:szCs w:val="18"/>
              </w:rPr>
              <w:t> </w:t>
            </w:r>
            <w:r>
              <w:rPr>
                <w:rFonts w:ascii="宋体" w:hAnsi="宋体" w:cs="宋体" w:eastAsia="宋体" w:hint="default"/>
                <w:sz w:val="18"/>
                <w:szCs w:val="18"/>
              </w:rPr>
              <w:t>项承诺如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下：</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本人承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诺不越权干</w:t>
            </w:r>
            <w:r>
              <w:rPr>
                <w:rFonts w:ascii="宋体" w:hAnsi="宋体" w:cs="宋体" w:eastAsia="宋体" w:hint="default"/>
                <w:w w:val="101"/>
                <w:sz w:val="18"/>
                <w:szCs w:val="18"/>
              </w:rPr>
              <w:t> </w:t>
            </w:r>
            <w:r>
              <w:rPr>
                <w:rFonts w:ascii="宋体" w:hAnsi="宋体" w:cs="宋体" w:eastAsia="宋体" w:hint="default"/>
                <w:sz w:val="18"/>
                <w:szCs w:val="18"/>
              </w:rPr>
              <w:t>预公司经营</w:t>
            </w:r>
            <w:r>
              <w:rPr>
                <w:rFonts w:ascii="宋体" w:hAnsi="宋体" w:cs="宋体" w:eastAsia="宋体" w:hint="default"/>
                <w:w w:val="101"/>
                <w:sz w:val="18"/>
                <w:szCs w:val="18"/>
              </w:rPr>
              <w:t> </w:t>
            </w:r>
            <w:r>
              <w:rPr>
                <w:rFonts w:ascii="宋体" w:hAnsi="宋体" w:cs="宋体" w:eastAsia="宋体" w:hint="default"/>
                <w:sz w:val="18"/>
                <w:szCs w:val="18"/>
              </w:rPr>
              <w:t>管理活动，</w:t>
            </w:r>
            <w:r>
              <w:rPr>
                <w:rFonts w:ascii="宋体" w:hAnsi="宋体" w:cs="宋体" w:eastAsia="宋体" w:hint="default"/>
                <w:w w:val="101"/>
                <w:sz w:val="18"/>
                <w:szCs w:val="18"/>
              </w:rPr>
              <w:t> </w:t>
            </w:r>
            <w:r>
              <w:rPr>
                <w:rFonts w:ascii="宋体" w:hAnsi="宋体" w:cs="宋体" w:eastAsia="宋体" w:hint="default"/>
                <w:sz w:val="18"/>
                <w:szCs w:val="18"/>
              </w:rPr>
              <w:t>不会侵占公</w:t>
            </w:r>
            <w:r>
              <w:rPr>
                <w:rFonts w:ascii="宋体" w:hAnsi="宋体" w:cs="宋体" w:eastAsia="宋体" w:hint="default"/>
                <w:w w:val="101"/>
                <w:sz w:val="18"/>
                <w:szCs w:val="18"/>
              </w:rPr>
              <w:t> </w:t>
            </w:r>
            <w:r>
              <w:rPr>
                <w:rFonts w:ascii="宋体" w:hAnsi="宋体" w:cs="宋体" w:eastAsia="宋体" w:hint="default"/>
                <w:sz w:val="18"/>
                <w:szCs w:val="18"/>
              </w:rPr>
              <w:t>司利益。</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0" w:right="94"/>
              <w:jc w:val="left"/>
              <w:rPr>
                <w:rFonts w:ascii="宋体" w:hAnsi="宋体" w:cs="宋体" w:eastAsia="宋体" w:hint="default"/>
                <w:sz w:val="18"/>
                <w:szCs w:val="18"/>
              </w:rPr>
            </w:pPr>
            <w:r>
              <w:rPr>
                <w:rFonts w:ascii="宋体" w:hAnsi="宋体" w:cs="宋体" w:eastAsia="宋体" w:hint="default"/>
                <w:sz w:val="18"/>
                <w:szCs w:val="18"/>
              </w:rPr>
              <w:t>截止报告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均遵守以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上承诺，未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发生违反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的情况。</w:t>
            </w:r>
          </w:p>
        </w:tc>
      </w:tr>
      <w:tr>
        <w:trPr>
          <w:trHeight w:val="2588"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3"/>
              <w:jc w:val="left"/>
              <w:rPr>
                <w:rFonts w:ascii="宋体" w:hAnsi="宋体" w:cs="宋体" w:eastAsia="宋体" w:hint="default"/>
                <w:sz w:val="18"/>
                <w:szCs w:val="18"/>
              </w:rPr>
            </w:pPr>
            <w:r>
              <w:rPr>
                <w:rFonts w:ascii="宋体" w:hAnsi="宋体" w:cs="宋体" w:eastAsia="宋体" w:hint="default"/>
                <w:sz w:val="18"/>
                <w:szCs w:val="18"/>
              </w:rPr>
              <w:t>张学君、何</w:t>
            </w:r>
            <w:r>
              <w:rPr>
                <w:rFonts w:ascii="宋体" w:hAnsi="宋体" w:cs="宋体" w:eastAsia="宋体" w:hint="default"/>
                <w:w w:val="101"/>
                <w:sz w:val="18"/>
                <w:szCs w:val="18"/>
              </w:rPr>
              <w:t> </w:t>
            </w:r>
            <w:r>
              <w:rPr>
                <w:rFonts w:ascii="宋体" w:hAnsi="宋体" w:cs="宋体" w:eastAsia="宋体" w:hint="default"/>
                <w:spacing w:val="-16"/>
                <w:w w:val="101"/>
                <w:sz w:val="18"/>
                <w:szCs w:val="18"/>
              </w:rPr>
              <w:t>晔、陈向军、</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6"/>
                <w:w w:val="101"/>
                <w:sz w:val="18"/>
                <w:szCs w:val="18"/>
              </w:rPr>
              <w:t>李军、冯军、</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刘奕、郑学</w:t>
            </w:r>
            <w:r>
              <w:rPr>
                <w:rFonts w:ascii="宋体" w:hAnsi="宋体" w:cs="宋体" w:eastAsia="宋体" w:hint="default"/>
                <w:w w:val="101"/>
                <w:sz w:val="18"/>
                <w:szCs w:val="18"/>
              </w:rPr>
              <w:t> </w:t>
            </w:r>
            <w:r>
              <w:rPr>
                <w:rFonts w:ascii="宋体" w:hAnsi="宋体" w:cs="宋体" w:eastAsia="宋体" w:hint="default"/>
                <w:sz w:val="18"/>
                <w:szCs w:val="18"/>
              </w:rPr>
              <w:t>定、郭斐、</w:t>
            </w:r>
            <w:r>
              <w:rPr>
                <w:rFonts w:ascii="宋体" w:hAnsi="宋体" w:cs="宋体" w:eastAsia="宋体" w:hint="default"/>
                <w:w w:val="101"/>
                <w:sz w:val="18"/>
                <w:szCs w:val="18"/>
              </w:rPr>
              <w:t> </w:t>
            </w:r>
            <w:r>
              <w:rPr>
                <w:rFonts w:ascii="宋体" w:hAnsi="宋体" w:cs="宋体" w:eastAsia="宋体" w:hint="default"/>
                <w:sz w:val="18"/>
                <w:szCs w:val="18"/>
              </w:rPr>
              <w:t>何剑、许秋</w:t>
            </w:r>
            <w:r>
              <w:rPr>
                <w:rFonts w:ascii="宋体" w:hAnsi="宋体" w:cs="宋体" w:eastAsia="宋体" w:hint="default"/>
                <w:w w:val="101"/>
                <w:sz w:val="18"/>
                <w:szCs w:val="18"/>
              </w:rPr>
              <w:t> </w:t>
            </w:r>
            <w:r>
              <w:rPr>
                <w:rFonts w:ascii="宋体" w:hAnsi="宋体" w:cs="宋体" w:eastAsia="宋体" w:hint="default"/>
                <w:sz w:val="18"/>
                <w:szCs w:val="18"/>
              </w:rPr>
              <w:t>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5" w:right="108"/>
              <w:jc w:val="both"/>
              <w:rPr>
                <w:rFonts w:ascii="宋体" w:hAnsi="宋体" w:cs="宋体" w:eastAsia="宋体" w:hint="default"/>
                <w:sz w:val="18"/>
                <w:szCs w:val="18"/>
              </w:rPr>
            </w:pPr>
            <w:r>
              <w:rPr>
                <w:rFonts w:ascii="宋体" w:hAnsi="宋体" w:cs="宋体" w:eastAsia="宋体" w:hint="default"/>
                <w:spacing w:val="-2"/>
                <w:sz w:val="18"/>
                <w:szCs w:val="18"/>
              </w:rPr>
              <w:t>关于非公开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发行股票摊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薄即期回报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采取填补措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6" w:lineRule="auto"/>
              <w:ind w:left="105" w:right="10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非公开发行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股票相关事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项承诺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截止报告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均遵守以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上承诺，未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发生违反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的情况。</w:t>
            </w:r>
          </w:p>
        </w:tc>
      </w:tr>
      <w:tr>
        <w:trPr>
          <w:trHeight w:val="3524"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105" w:right="104"/>
              <w:jc w:val="both"/>
              <w:rPr>
                <w:rFonts w:ascii="宋体" w:hAnsi="宋体" w:cs="宋体" w:eastAsia="宋体" w:hint="default"/>
                <w:sz w:val="18"/>
                <w:szCs w:val="18"/>
              </w:rPr>
            </w:pPr>
            <w:r>
              <w:rPr>
                <w:rFonts w:ascii="宋体" w:hAnsi="宋体" w:cs="宋体" w:eastAsia="宋体" w:hint="default"/>
                <w:spacing w:val="-2"/>
                <w:sz w:val="18"/>
                <w:szCs w:val="18"/>
              </w:rPr>
              <w:t>同方金融控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股（深圳）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武汉亘星投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资有限公</w:t>
            </w:r>
          </w:p>
          <w:p>
            <w:pPr>
              <w:pStyle w:val="TableParagraph"/>
              <w:spacing w:line="319" w:lineRule="auto" w:before="17"/>
              <w:ind w:left="105" w:right="95"/>
              <w:jc w:val="both"/>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pacing w:val="-1"/>
                <w:w w:val="101"/>
                <w:sz w:val="18"/>
                <w:szCs w:val="18"/>
              </w:rPr>
              <w:t> </w:t>
            </w:r>
            <w:r>
              <w:rPr>
                <w:rFonts w:ascii="宋体" w:hAnsi="宋体" w:cs="宋体" w:eastAsia="宋体" w:hint="default"/>
                <w:spacing w:val="-23"/>
                <w:w w:val="101"/>
                <w:sz w:val="18"/>
                <w:szCs w:val="18"/>
              </w:rPr>
              <w:t>、财通基</w:t>
            </w:r>
            <w:r>
              <w:rPr>
                <w:rFonts w:ascii="宋体" w:hAnsi="宋体" w:cs="宋体" w:eastAsia="宋体" w:hint="default"/>
                <w:w w:val="101"/>
                <w:sz w:val="18"/>
                <w:szCs w:val="18"/>
              </w:rPr>
              <w:t> </w:t>
            </w:r>
            <w:r>
              <w:rPr>
                <w:rFonts w:ascii="宋体" w:hAnsi="宋体" w:cs="宋体" w:eastAsia="宋体" w:hint="default"/>
                <w:sz w:val="18"/>
                <w:szCs w:val="18"/>
              </w:rPr>
              <w:t>金管理有限</w:t>
            </w:r>
            <w:r>
              <w:rPr>
                <w:rFonts w:ascii="宋体" w:hAnsi="宋体" w:cs="宋体" w:eastAsia="宋体" w:hint="default"/>
                <w:w w:val="101"/>
                <w:sz w:val="18"/>
                <w:szCs w:val="18"/>
              </w:rPr>
              <w:t> </w:t>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4" w:lineRule="auto"/>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5" w:right="103"/>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非公开发行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股票限售相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关事项承诺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94"/>
              <w:jc w:val="left"/>
              <w:rPr>
                <w:rFonts w:ascii="宋体" w:hAnsi="宋体" w:cs="宋体" w:eastAsia="宋体" w:hint="default"/>
                <w:sz w:val="18"/>
                <w:szCs w:val="18"/>
              </w:rPr>
            </w:pPr>
            <w:r>
              <w:rPr>
                <w:rFonts w:ascii="宋体" w:hAnsi="宋体" w:cs="宋体" w:eastAsia="宋体" w:hint="default"/>
                <w:sz w:val="18"/>
                <w:szCs w:val="18"/>
              </w:rPr>
              <w:t>截止报告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期末，公司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均遵守以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上承诺，未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发生违反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的情况，并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r>
      <w:tr>
        <w:trPr>
          <w:trHeight w:val="399"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如承诺超期未履行完毕的，应当详</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细说明未完成履行的具体原因及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footerReference w:type="default" r:id="rId20"/>
          <w:pgSz w:w="11910" w:h="16840"/>
          <w:pgMar w:footer="1584" w:header="871" w:top="1100" w:bottom="1780" w:left="980" w:right="0"/>
          <w:pgNumType w:start="45"/>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BodyText"/>
        <w:spacing w:line="475" w:lineRule="auto"/>
        <w:ind w:right="1036" w:firstLine="360"/>
        <w:jc w:val="both"/>
      </w:pPr>
      <w:r>
        <w:rPr>
          <w:rFonts w:ascii="宋体" w:hAnsi="宋体" w:cs="宋体" w:eastAsia="宋体" w:hint="default"/>
          <w:spacing w:val="-6"/>
          <w:w w:val="101"/>
        </w:rPr>
        <w:t>1</w:t>
      </w:r>
      <w:r>
        <w:rPr>
          <w:spacing w:val="-6"/>
          <w:w w:val="101"/>
        </w:rPr>
        <w:t>、本次交易完成后，本人</w:t>
      </w:r>
      <w:r>
        <w:rPr>
          <w:rFonts w:ascii="宋体" w:hAnsi="宋体" w:cs="宋体" w:eastAsia="宋体" w:hint="default"/>
          <w:spacing w:val="-6"/>
          <w:w w:val="101"/>
        </w:rPr>
        <w:t>/</w:t>
      </w:r>
      <w:r>
        <w:rPr>
          <w:spacing w:val="-6"/>
          <w:w w:val="101"/>
        </w:rPr>
        <w:t>本公司及本人</w:t>
      </w:r>
      <w:r>
        <w:rPr>
          <w:rFonts w:ascii="宋体" w:hAnsi="宋体" w:cs="宋体" w:eastAsia="宋体" w:hint="default"/>
          <w:spacing w:val="-6"/>
          <w:w w:val="101"/>
        </w:rPr>
        <w:t>/</w:t>
      </w:r>
      <w:r>
        <w:rPr>
          <w:spacing w:val="-6"/>
          <w:w w:val="101"/>
        </w:rPr>
        <w:t>本公司对外投资的企业（包括但不限于直接持股、间接持股或委托持股）、实</w:t>
      </w:r>
      <w:r>
        <w:rPr>
          <w:w w:val="101"/>
        </w:rPr>
        <w:t> </w:t>
      </w:r>
      <w:r>
        <w:rPr>
          <w:spacing w:val="-4"/>
        </w:rPr>
        <w:t>际控制或担任董事、高级管理人员的企业将尽可能减少与银之杰及其下属公司（包括但不限于亿美软通）的关联交易，不会</w:t>
      </w:r>
      <w:r>
        <w:rPr>
          <w:spacing w:val="40"/>
        </w:rPr>
        <w:t> </w:t>
      </w:r>
      <w:r>
        <w:rPr>
          <w:spacing w:val="40"/>
        </w:rPr>
      </w:r>
      <w:r>
        <w:rPr>
          <w:spacing w:val="-4"/>
        </w:rPr>
        <w:t>利用自身作为银之杰股东之地位谋求与银之杰及其下属公司（包括但不限于亿美软通）在业务合作等方面给予优于市场第三</w:t>
      </w:r>
      <w:r>
        <w:rPr>
          <w:spacing w:val="43"/>
        </w:rPr>
        <w:t> </w:t>
      </w:r>
      <w:r>
        <w:rPr>
          <w:spacing w:val="43"/>
        </w:rPr>
      </w:r>
      <w:r>
        <w:rPr>
          <w:spacing w:val="-6"/>
        </w:rPr>
        <w:t>方的权利；不会利用自身作为银之杰股东之地位谋求与银之杰及其下属公司（包括但不限于亿美软通）达成交易的优先权利。</w:t>
      </w:r>
    </w:p>
    <w:p>
      <w:pPr>
        <w:pStyle w:val="BodyText"/>
        <w:spacing w:line="477" w:lineRule="auto" w:before="97"/>
        <w:ind w:right="1004" w:firstLine="360"/>
        <w:jc w:val="left"/>
      </w:pPr>
      <w:r>
        <w:rPr>
          <w:rFonts w:ascii="宋体" w:hAnsi="宋体" w:cs="宋体" w:eastAsia="宋体" w:hint="default"/>
          <w:spacing w:val="-3"/>
        </w:rPr>
        <w:t>2</w:t>
      </w:r>
      <w:r>
        <w:rPr>
          <w:spacing w:val="-3"/>
        </w:rPr>
        <w:t>、若发生必要且不可避免的关联交易，本人</w:t>
      </w:r>
      <w:r>
        <w:rPr>
          <w:rFonts w:ascii="宋体" w:hAnsi="宋体" w:cs="宋体" w:eastAsia="宋体" w:hint="default"/>
          <w:spacing w:val="-3"/>
        </w:rPr>
        <w:t>/</w:t>
      </w:r>
      <w:r>
        <w:rPr>
          <w:spacing w:val="-3"/>
        </w:rPr>
        <w:t>本公司及本人</w:t>
      </w:r>
      <w:r>
        <w:rPr>
          <w:rFonts w:ascii="宋体" w:hAnsi="宋体" w:cs="宋体" w:eastAsia="宋体" w:hint="default"/>
          <w:spacing w:val="-3"/>
        </w:rPr>
        <w:t>/</w:t>
      </w:r>
      <w:r>
        <w:rPr>
          <w:spacing w:val="-3"/>
        </w:rPr>
        <w:t>本公司对外投资的企业（包括但不限于直接持股、间接持</w:t>
      </w:r>
      <w:r>
        <w:rPr>
          <w:w w:val="101"/>
        </w:rPr>
        <w:t> </w:t>
      </w:r>
      <w:r>
        <w:rPr>
          <w:spacing w:val="-6"/>
          <w:w w:val="101"/>
        </w:rPr>
        <w:t>股或委托持股）、实际控制或担任董事、高级管理人员的企业将与银之杰及其下属公司（包括但不限于亿美软通）按照公平、</w:t>
      </w:r>
      <w:r>
        <w:rPr>
          <w:spacing w:val="-68"/>
          <w:w w:val="101"/>
        </w:rPr>
        <w:t> </w:t>
      </w:r>
      <w:r>
        <w:rPr>
          <w:spacing w:val="-68"/>
          <w:w w:val="101"/>
        </w:rPr>
      </w:r>
      <w:r>
        <w:rPr>
          <w:spacing w:val="-4"/>
        </w:rPr>
        <w:t>公允、等价有偿等原则依法签订协议，履行合法程序，并将按照有关法律法规和公司规定履行信息披露义务及相关内部决策</w:t>
      </w:r>
      <w:r>
        <w:rPr>
          <w:spacing w:val="38"/>
        </w:rPr>
        <w:t> </w:t>
      </w:r>
      <w:r>
        <w:rPr>
          <w:spacing w:val="38"/>
        </w:rPr>
      </w:r>
      <w:r>
        <w:rPr>
          <w:spacing w:val="-4"/>
        </w:rPr>
        <w:t>程序和回避制度，关联交易价格依照与无关联关系的独立第三方进行相同或相似交易时的价格确定，保证关联交易价格具有</w:t>
      </w:r>
      <w:r>
        <w:rPr>
          <w:spacing w:val="43"/>
        </w:rPr>
        <w:t> </w:t>
      </w:r>
      <w:r>
        <w:rPr>
          <w:spacing w:val="43"/>
        </w:rPr>
      </w:r>
      <w:r>
        <w:rPr>
          <w:spacing w:val="-3"/>
        </w:rPr>
        <w:t>公允性，亦不利用该等交易从事任何损害银之杰及其股东的合法权益的行为。</w:t>
      </w:r>
    </w:p>
    <w:p>
      <w:pPr>
        <w:pStyle w:val="BodyText"/>
        <w:spacing w:line="477" w:lineRule="auto" w:before="95"/>
        <w:ind w:right="1123" w:firstLine="360"/>
        <w:jc w:val="both"/>
      </w:pPr>
      <w:r>
        <w:rPr>
          <w:spacing w:val="-3"/>
        </w:rPr>
        <w:t>本人</w:t>
      </w:r>
      <w:r>
        <w:rPr>
          <w:rFonts w:ascii="宋体" w:hAnsi="宋体" w:cs="宋体" w:eastAsia="宋体" w:hint="default"/>
          <w:spacing w:val="-3"/>
        </w:rPr>
        <w:t>/</w:t>
      </w:r>
      <w:r>
        <w:rPr>
          <w:spacing w:val="-3"/>
        </w:rPr>
        <w:t>本公司保证将依照公司规定参加股东大会，平等地行使相应权利，承担相应义务，不利用股东地位谋取不正当利</w:t>
      </w:r>
      <w:r>
        <w:rPr>
          <w:w w:val="101"/>
        </w:rPr>
        <w:t> </w:t>
      </w:r>
      <w:r>
        <w:rPr>
          <w:spacing w:val="-4"/>
        </w:rPr>
        <w:t>益，不利用关联交易非法转移银之杰及其下属子公司（包括但不限于亿美软通）的资金、利润，保证不损害银之杰及其股东</w:t>
      </w:r>
      <w:r>
        <w:rPr>
          <w:spacing w:val="40"/>
        </w:rPr>
        <w:t> </w:t>
      </w:r>
      <w:r>
        <w:rPr>
          <w:spacing w:val="40"/>
        </w:rPr>
      </w:r>
      <w:r>
        <w:rPr>
          <w:spacing w:val="-3"/>
        </w:rPr>
        <w:t>的合法权益。若违反上述声明和保证，本人</w:t>
      </w:r>
      <w:r>
        <w:rPr>
          <w:rFonts w:ascii="宋体" w:hAnsi="宋体" w:cs="宋体" w:eastAsia="宋体" w:hint="default"/>
          <w:spacing w:val="-3"/>
        </w:rPr>
        <w:t>/</w:t>
      </w:r>
      <w:r>
        <w:rPr>
          <w:spacing w:val="-3"/>
        </w:rPr>
        <w:t>本公司将对前述行为给银之杰造成的损失向银之杰进行赔偿。</w:t>
      </w:r>
    </w:p>
    <w:p>
      <w:pPr>
        <w:pStyle w:val="BodyText"/>
        <w:spacing w:line="240" w:lineRule="auto" w:before="95"/>
        <w:ind w:right="1055"/>
        <w:jc w:val="left"/>
      </w:pPr>
      <w:r>
        <w:rPr/>
        <w:t>注</w:t>
      </w:r>
      <w:r>
        <w:rPr>
          <w:spacing w:val="-41"/>
        </w:rPr>
        <w:t> </w:t>
      </w:r>
      <w:r>
        <w:rPr>
          <w:rFonts w:ascii="宋体" w:hAnsi="宋体" w:cs="宋体" w:eastAsia="宋体" w:hint="default"/>
        </w:rPr>
        <w:t>2</w:t>
      </w:r>
      <w:r>
        <w:rPr/>
        <w:t>：</w:t>
      </w:r>
    </w:p>
    <w:p>
      <w:pPr>
        <w:spacing w:line="240" w:lineRule="auto" w:before="12"/>
        <w:rPr>
          <w:rFonts w:ascii="宋体" w:hAnsi="宋体" w:cs="宋体" w:eastAsia="宋体" w:hint="default"/>
          <w:sz w:val="20"/>
          <w:szCs w:val="20"/>
        </w:rPr>
      </w:pPr>
    </w:p>
    <w:p>
      <w:pPr>
        <w:pStyle w:val="BodyText"/>
        <w:spacing w:line="475" w:lineRule="auto"/>
        <w:ind w:right="1055" w:firstLine="360"/>
        <w:jc w:val="left"/>
      </w:pPr>
      <w:r>
        <w:rPr>
          <w:rFonts w:ascii="宋体" w:hAnsi="宋体" w:cs="宋体" w:eastAsia="宋体" w:hint="default"/>
          <w:spacing w:val="-6"/>
          <w:w w:val="101"/>
        </w:rPr>
        <w:t>1</w:t>
      </w:r>
      <w:r>
        <w:rPr>
          <w:spacing w:val="-6"/>
          <w:w w:val="101"/>
        </w:rPr>
        <w:t>、本人</w:t>
      </w:r>
      <w:r>
        <w:rPr>
          <w:rFonts w:ascii="宋体" w:hAnsi="宋体" w:cs="宋体" w:eastAsia="宋体" w:hint="default"/>
          <w:spacing w:val="-6"/>
          <w:w w:val="101"/>
        </w:rPr>
        <w:t>/</w:t>
      </w:r>
      <w:r>
        <w:rPr>
          <w:spacing w:val="-6"/>
          <w:w w:val="101"/>
        </w:rPr>
        <w:t>本公司（包括本人</w:t>
      </w:r>
      <w:r>
        <w:rPr>
          <w:rFonts w:ascii="宋体" w:hAnsi="宋体" w:cs="宋体" w:eastAsia="宋体" w:hint="default"/>
          <w:spacing w:val="-6"/>
          <w:w w:val="101"/>
        </w:rPr>
        <w:t>/</w:t>
      </w:r>
      <w:r>
        <w:rPr>
          <w:spacing w:val="-6"/>
          <w:w w:val="101"/>
        </w:rPr>
        <w:t>本公司关联人，关联人定义同《深圳证券交易所创业板上市规则》）目前没有在中国境内或</w:t>
      </w:r>
      <w:r>
        <w:rPr>
          <w:w w:val="101"/>
        </w:rPr>
        <w:t> </w:t>
      </w:r>
      <w:r>
        <w:rPr>
          <w:spacing w:val="-6"/>
        </w:rPr>
        <w:t>境外单独或与其他自然人、法人、合伙企业或组织，以任何形式（包括但不限于通过独自经营、合资经营、联营、租赁经营、</w:t>
      </w:r>
      <w:r>
        <w:rPr>
          <w:spacing w:val="65"/>
        </w:rPr>
        <w:t> </w:t>
      </w:r>
      <w:r>
        <w:rPr>
          <w:spacing w:val="65"/>
        </w:rPr>
      </w:r>
      <w:r>
        <w:rPr>
          <w:spacing w:val="-4"/>
        </w:rPr>
        <w:t>承包经营、委托管理等方式拥有其他公司或企业的股权或权益等）直接或间接从事或参与任何对银之杰及亿美软通构成竞争</w:t>
      </w:r>
      <w:r>
        <w:rPr>
          <w:spacing w:val="43"/>
        </w:rPr>
        <w:t> </w:t>
      </w:r>
      <w:r>
        <w:rPr>
          <w:spacing w:val="43"/>
        </w:rPr>
      </w:r>
      <w:r>
        <w:rPr>
          <w:spacing w:val="-3"/>
        </w:rPr>
        <w:t>的业务及活动，或拥有与银之杰及亿美软通存在竞争关系的任何经济实体、机构、经济组织的权益。</w:t>
      </w:r>
    </w:p>
    <w:p>
      <w:pPr>
        <w:pStyle w:val="BodyText"/>
        <w:spacing w:line="477" w:lineRule="auto" w:before="97"/>
        <w:ind w:right="1055" w:firstLine="360"/>
        <w:jc w:val="left"/>
      </w:pPr>
      <w:r>
        <w:rPr>
          <w:rFonts w:ascii="宋体" w:hAnsi="宋体" w:cs="宋体" w:eastAsia="宋体" w:hint="default"/>
          <w:spacing w:val="-3"/>
        </w:rPr>
        <w:t>2</w:t>
      </w:r>
      <w:r>
        <w:rPr>
          <w:spacing w:val="-3"/>
        </w:rPr>
        <w:t>、在今后的业务中，本人</w:t>
      </w:r>
      <w:r>
        <w:rPr>
          <w:rFonts w:ascii="宋体" w:hAnsi="宋体" w:cs="宋体" w:eastAsia="宋体" w:hint="default"/>
          <w:spacing w:val="-3"/>
        </w:rPr>
        <w:t>/</w:t>
      </w:r>
      <w:r>
        <w:rPr>
          <w:spacing w:val="-3"/>
        </w:rPr>
        <w:t>本公司及本人</w:t>
      </w:r>
      <w:r>
        <w:rPr>
          <w:rFonts w:ascii="宋体" w:hAnsi="宋体" w:cs="宋体" w:eastAsia="宋体" w:hint="default"/>
          <w:spacing w:val="-3"/>
        </w:rPr>
        <w:t>/</w:t>
      </w:r>
      <w:r>
        <w:rPr>
          <w:spacing w:val="-3"/>
        </w:rPr>
        <w:t>本公司控制的其他企业不与银之杰及亿美软通业务产生同业竞争，即本人</w:t>
      </w:r>
      <w:r>
        <w:rPr>
          <w:rFonts w:ascii="宋体" w:hAnsi="宋体" w:cs="宋体" w:eastAsia="宋体" w:hint="default"/>
          <w:spacing w:val="-3"/>
        </w:rPr>
        <w:t>/</w:t>
      </w:r>
      <w:r>
        <w:rPr>
          <w:rFonts w:ascii="宋体" w:hAnsi="宋体" w:cs="宋体" w:eastAsia="宋体" w:hint="default"/>
          <w:w w:val="101"/>
        </w:rPr>
        <w:t> </w:t>
      </w:r>
      <w:r>
        <w:rPr>
          <w:spacing w:val="-4"/>
        </w:rPr>
        <w:t>本公司及其控制的其他企业（包括本人</w:t>
      </w:r>
      <w:r>
        <w:rPr>
          <w:rFonts w:ascii="宋体" w:hAnsi="宋体" w:cs="宋体" w:eastAsia="宋体" w:hint="default"/>
          <w:spacing w:val="-4"/>
        </w:rPr>
        <w:t>/</w:t>
      </w:r>
      <w:r>
        <w:rPr>
          <w:spacing w:val="-4"/>
        </w:rPr>
        <w:t>本公司及控制的其他企业全资、控股公司及本人</w:t>
      </w:r>
      <w:r>
        <w:rPr>
          <w:rFonts w:ascii="宋体" w:hAnsi="宋体" w:cs="宋体" w:eastAsia="宋体" w:hint="default"/>
          <w:spacing w:val="-4"/>
        </w:rPr>
        <w:t>/</w:t>
      </w:r>
      <w:r>
        <w:rPr>
          <w:spacing w:val="-4"/>
        </w:rPr>
        <w:t>本公司控制的其他企业对其具有实</w:t>
      </w:r>
      <w:r>
        <w:rPr>
          <w:spacing w:val="46"/>
        </w:rPr>
        <w:t> </w:t>
      </w:r>
      <w:r>
        <w:rPr>
          <w:spacing w:val="46"/>
        </w:rPr>
      </w:r>
      <w:r>
        <w:rPr>
          <w:spacing w:val="-3"/>
        </w:rPr>
        <w:t>际控制权的公司）不会以任何形式直接或间接的从事与银之杰及亿美软通业务相同或相似的业务。</w:t>
      </w:r>
    </w:p>
    <w:p>
      <w:pPr>
        <w:pStyle w:val="BodyText"/>
        <w:spacing w:line="477" w:lineRule="auto" w:before="95"/>
        <w:ind w:right="1127" w:firstLine="360"/>
        <w:jc w:val="both"/>
      </w:pPr>
      <w:r>
        <w:rPr>
          <w:rFonts w:ascii="宋体" w:hAnsi="宋体" w:cs="宋体" w:eastAsia="宋体" w:hint="default"/>
          <w:spacing w:val="-3"/>
        </w:rPr>
        <w:t>3</w:t>
      </w:r>
      <w:r>
        <w:rPr>
          <w:spacing w:val="-3"/>
        </w:rPr>
        <w:t>、如银之杰或亿美软通认定本人</w:t>
      </w:r>
      <w:r>
        <w:rPr>
          <w:rFonts w:ascii="宋体" w:hAnsi="宋体" w:cs="宋体" w:eastAsia="宋体" w:hint="default"/>
          <w:spacing w:val="-3"/>
        </w:rPr>
        <w:t>/</w:t>
      </w:r>
      <w:r>
        <w:rPr>
          <w:spacing w:val="-3"/>
        </w:rPr>
        <w:t>本公司及本人</w:t>
      </w:r>
      <w:r>
        <w:rPr>
          <w:rFonts w:ascii="宋体" w:hAnsi="宋体" w:cs="宋体" w:eastAsia="宋体" w:hint="default"/>
          <w:spacing w:val="-3"/>
        </w:rPr>
        <w:t>/</w:t>
      </w:r>
      <w:r>
        <w:rPr>
          <w:spacing w:val="-3"/>
        </w:rPr>
        <w:t>本公司控制的其他企业现有业务或将来产生的业务与银之杰或亿美软</w:t>
      </w:r>
      <w:r>
        <w:rPr>
          <w:w w:val="101"/>
        </w:rPr>
        <w:t> </w:t>
      </w:r>
      <w:r>
        <w:rPr>
          <w:spacing w:val="-4"/>
          <w:w w:val="101"/>
        </w:rPr>
        <w:t>通业务存在同业竞争，则本人</w:t>
      </w:r>
      <w:r>
        <w:rPr>
          <w:rFonts w:ascii="宋体" w:hAnsi="宋体" w:cs="宋体" w:eastAsia="宋体" w:hint="default"/>
          <w:spacing w:val="-4"/>
          <w:w w:val="101"/>
        </w:rPr>
        <w:t>/</w:t>
      </w:r>
      <w:r>
        <w:rPr>
          <w:spacing w:val="-4"/>
          <w:w w:val="101"/>
        </w:rPr>
        <w:t>本公司及本人</w:t>
      </w:r>
      <w:r>
        <w:rPr>
          <w:rFonts w:ascii="宋体" w:hAnsi="宋体" w:cs="宋体" w:eastAsia="宋体" w:hint="default"/>
          <w:spacing w:val="-4"/>
          <w:w w:val="101"/>
        </w:rPr>
        <w:t>/</w:t>
      </w:r>
      <w:r>
        <w:rPr>
          <w:spacing w:val="-4"/>
          <w:w w:val="101"/>
        </w:rPr>
        <w:t>本公司控制的其他企业将在银之杰或亿美软通提出异议后及时转让或终止该业</w:t>
      </w:r>
      <w:r>
        <w:rPr>
          <w:spacing w:val="-89"/>
          <w:w w:val="101"/>
        </w:rPr>
        <w:t> </w:t>
      </w:r>
      <w:r>
        <w:rPr>
          <w:spacing w:val="-89"/>
          <w:w w:val="101"/>
        </w:rPr>
      </w:r>
      <w:r>
        <w:rPr/>
        <w:t>务。</w:t>
      </w:r>
    </w:p>
    <w:p>
      <w:pPr>
        <w:pStyle w:val="BodyText"/>
        <w:spacing w:line="475" w:lineRule="auto" w:before="95"/>
        <w:ind w:right="1036" w:firstLine="360"/>
        <w:jc w:val="both"/>
      </w:pPr>
      <w:r>
        <w:rPr>
          <w:rFonts w:ascii="宋体" w:hAnsi="宋体" w:cs="宋体" w:eastAsia="宋体" w:hint="default"/>
          <w:spacing w:val="-4"/>
        </w:rPr>
        <w:t>4</w:t>
      </w:r>
      <w:r>
        <w:rPr>
          <w:spacing w:val="-4"/>
        </w:rPr>
        <w:t>、本人</w:t>
      </w:r>
      <w:r>
        <w:rPr>
          <w:rFonts w:ascii="宋体" w:hAnsi="宋体" w:cs="宋体" w:eastAsia="宋体" w:hint="default"/>
          <w:spacing w:val="-4"/>
        </w:rPr>
        <w:t>/</w:t>
      </w:r>
      <w:r>
        <w:rPr>
          <w:spacing w:val="-4"/>
        </w:rPr>
        <w:t>本公司及本人</w:t>
      </w:r>
      <w:r>
        <w:rPr>
          <w:rFonts w:ascii="宋体" w:hAnsi="宋体" w:cs="宋体" w:eastAsia="宋体" w:hint="default"/>
          <w:spacing w:val="-4"/>
        </w:rPr>
        <w:t>/</w:t>
      </w:r>
      <w:r>
        <w:rPr>
          <w:spacing w:val="-4"/>
        </w:rPr>
        <w:t>本公司控制的其他企业保证严格遵守公司章程的规定，不利用股东、实际控制人、董事、监事、</w:t>
      </w:r>
      <w:r>
        <w:rPr>
          <w:w w:val="101"/>
        </w:rPr>
        <w:t> </w:t>
      </w:r>
      <w:r>
        <w:rPr>
          <w:spacing w:val="-3"/>
        </w:rPr>
        <w:t>高级管理人员的地位谋求不当利益，不损害银之杰及亿美软通的合法权益。</w:t>
      </w:r>
    </w:p>
    <w:p>
      <w:pPr>
        <w:pStyle w:val="BodyText"/>
        <w:spacing w:line="477" w:lineRule="auto" w:before="97"/>
        <w:ind w:right="1131" w:firstLine="360"/>
        <w:jc w:val="both"/>
      </w:pPr>
      <w:r>
        <w:rPr>
          <w:rFonts w:ascii="宋体" w:hAnsi="宋体" w:cs="宋体" w:eastAsia="宋体" w:hint="default"/>
          <w:spacing w:val="-3"/>
        </w:rPr>
        <w:t>5</w:t>
      </w:r>
      <w:r>
        <w:rPr>
          <w:spacing w:val="-3"/>
        </w:rPr>
        <w:t>、本承诺函自出具之日起至本人</w:t>
      </w:r>
      <w:r>
        <w:rPr>
          <w:rFonts w:ascii="宋体" w:hAnsi="宋体" w:cs="宋体" w:eastAsia="宋体" w:hint="default"/>
          <w:spacing w:val="-3"/>
        </w:rPr>
        <w:t>/</w:t>
      </w:r>
      <w:r>
        <w:rPr>
          <w:spacing w:val="-3"/>
        </w:rPr>
        <w:t>本公司获得的银之杰股份全部解锁前及之后三年内具有法律效力，构成对本人</w:t>
      </w:r>
      <w:r>
        <w:rPr>
          <w:rFonts w:ascii="宋体" w:hAnsi="宋体" w:cs="宋体" w:eastAsia="宋体" w:hint="default"/>
          <w:spacing w:val="-3"/>
        </w:rPr>
        <w:t>/</w:t>
      </w:r>
      <w:r>
        <w:rPr>
          <w:spacing w:val="-3"/>
        </w:rPr>
        <w:t>本公</w:t>
      </w:r>
      <w:r>
        <w:rPr>
          <w:w w:val="101"/>
        </w:rPr>
        <w:t> </w:t>
      </w:r>
      <w:r>
        <w:rPr>
          <w:spacing w:val="-3"/>
        </w:rPr>
        <w:t>司及本人</w:t>
      </w:r>
      <w:r>
        <w:rPr>
          <w:rFonts w:ascii="宋体" w:hAnsi="宋体" w:cs="宋体" w:eastAsia="宋体" w:hint="default"/>
          <w:spacing w:val="-3"/>
        </w:rPr>
        <w:t>/</w:t>
      </w:r>
      <w:r>
        <w:rPr>
          <w:spacing w:val="-3"/>
        </w:rPr>
        <w:t>本公司控制的其他企业具有法律约束力的法律文件，如有违反，所得利益归银之杰所有，如给银之杰或亿美软通</w:t>
      </w:r>
      <w:r>
        <w:rPr>
          <w:spacing w:val="70"/>
        </w:rPr>
        <w:t> </w:t>
      </w:r>
      <w:r>
        <w:rPr>
          <w:spacing w:val="70"/>
        </w:rPr>
      </w:r>
      <w:r>
        <w:rPr>
          <w:spacing w:val="-3"/>
        </w:rPr>
        <w:t>造成损失，本人</w:t>
      </w:r>
      <w:r>
        <w:rPr>
          <w:rFonts w:ascii="宋体" w:hAnsi="宋体" w:cs="宋体" w:eastAsia="宋体" w:hint="default"/>
          <w:spacing w:val="-3"/>
        </w:rPr>
        <w:t>/</w:t>
      </w:r>
      <w:r>
        <w:rPr>
          <w:spacing w:val="-3"/>
        </w:rPr>
        <w:t>本公司及本人</w:t>
      </w:r>
      <w:r>
        <w:rPr>
          <w:rFonts w:ascii="宋体" w:hAnsi="宋体" w:cs="宋体" w:eastAsia="宋体" w:hint="default"/>
          <w:spacing w:val="-3"/>
        </w:rPr>
        <w:t>/</w:t>
      </w:r>
      <w:r>
        <w:rPr>
          <w:spacing w:val="-3"/>
        </w:rPr>
        <w:t>本公司控制的其他企业承诺将承担相应的法律责任。</w:t>
      </w:r>
    </w:p>
    <w:p>
      <w:pPr>
        <w:spacing w:after="0" w:line="477" w:lineRule="auto"/>
        <w:jc w:val="both"/>
        <w:sectPr>
          <w:footerReference w:type="default" r:id="rId21"/>
          <w:pgSz w:w="11910" w:h="16840"/>
          <w:pgMar w:footer="1584" w:header="871" w:top="1100" w:bottom="1780" w:left="980" w:right="0"/>
          <w:pgNumType w:start="46"/>
        </w:sectPr>
      </w:pPr>
    </w:p>
    <w:p>
      <w:pPr>
        <w:spacing w:line="240" w:lineRule="auto" w:before="1"/>
        <w:rPr>
          <w:rFonts w:ascii="宋体" w:hAnsi="宋体" w:cs="宋体" w:eastAsia="宋体" w:hint="default"/>
          <w:sz w:val="28"/>
          <w:szCs w:val="28"/>
        </w:rPr>
      </w:pPr>
    </w:p>
    <w:p>
      <w:pPr>
        <w:pStyle w:val="BodyText"/>
        <w:spacing w:line="463" w:lineRule="auto" w:before="46"/>
        <w:ind w:right="1055" w:firstLine="360"/>
        <w:jc w:val="left"/>
      </w:pPr>
      <w:r>
        <w:rPr>
          <w:rFonts w:ascii="Times New Roman" w:hAnsi="Times New Roman" w:cs="Times New Roman" w:eastAsia="Times New Roman" w:hint="default"/>
        </w:rPr>
        <w:t>1</w:t>
      </w:r>
      <w:r>
        <w:rPr/>
        <w:t>．本公司持有公司股份</w:t>
      </w:r>
      <w:r>
        <w:rPr>
          <w:spacing w:val="-12"/>
        </w:rPr>
        <w:t> </w:t>
      </w:r>
      <w:r>
        <w:rPr>
          <w:rFonts w:ascii="Times New Roman" w:hAnsi="Times New Roman" w:cs="Times New Roman" w:eastAsia="Times New Roman" w:hint="default"/>
          <w:spacing w:val="-3"/>
        </w:rPr>
        <w:t>5%</w:t>
      </w:r>
      <w:r>
        <w:rPr>
          <w:spacing w:val="-3"/>
        </w:rPr>
        <w:t>以上的股东作为公司董事或高级管理人员，张学君、陈向军、李军、何晔承诺：三十六个</w:t>
      </w:r>
      <w:r>
        <w:rPr>
          <w:w w:val="101"/>
        </w:rPr>
        <w:t> </w:t>
      </w:r>
      <w:r>
        <w:rPr>
          <w:spacing w:val="-4"/>
        </w:rPr>
        <w:t>月的锁定期满后，在本人任职期间，每年转让所持有的公司股份不超过本人所持公司股份数的百分之二十五；本人离职后半</w:t>
      </w:r>
      <w:r>
        <w:rPr>
          <w:spacing w:val="43"/>
        </w:rPr>
        <w:t> </w:t>
      </w:r>
      <w:r>
        <w:rPr>
          <w:spacing w:val="43"/>
        </w:rPr>
      </w:r>
      <w:r>
        <w:rPr>
          <w:spacing w:val="-3"/>
        </w:rPr>
        <w:t>年内，不转让所持有的公司股份。</w:t>
      </w:r>
    </w:p>
    <w:p>
      <w:pPr>
        <w:pStyle w:val="BodyText"/>
        <w:spacing w:line="453" w:lineRule="auto" w:before="62"/>
        <w:ind w:right="1055" w:firstLine="360"/>
        <w:jc w:val="left"/>
      </w:pPr>
      <w:r>
        <w:rPr>
          <w:rFonts w:ascii="Times New Roman" w:hAnsi="Times New Roman" w:cs="Times New Roman" w:eastAsia="Times New Roman" w:hint="default"/>
          <w:spacing w:val="-3"/>
        </w:rPr>
        <w:t>2</w:t>
      </w:r>
      <w:r>
        <w:rPr>
          <w:spacing w:val="-3"/>
        </w:rPr>
        <w:t>．本公司监事周峰和李玟臻，董事或高级管理人员冯军、刘奕、许秋江承诺：在本人任职期间每年转让所持有的公司</w:t>
      </w:r>
      <w:r>
        <w:rPr>
          <w:w w:val="101"/>
        </w:rPr>
        <w:t> </w:t>
      </w:r>
      <w:r>
        <w:rPr>
          <w:spacing w:val="-3"/>
        </w:rPr>
        <w:t>股份不超过本人所持公司股份总数的百分之二十五；本人离职后半年内，不转让所持有的公司股份。</w:t>
      </w:r>
    </w:p>
    <w:p>
      <w:pPr>
        <w:pStyle w:val="BodyText"/>
        <w:spacing w:line="240" w:lineRule="auto" w:before="113"/>
        <w:ind w:right="0"/>
        <w:jc w:val="both"/>
      </w:pPr>
      <w:r>
        <w:rPr/>
        <w:t>注</w:t>
      </w:r>
      <w:r>
        <w:rPr>
          <w:spacing w:val="-41"/>
        </w:rPr>
        <w:t> </w:t>
      </w:r>
      <w:r>
        <w:rPr>
          <w:rFonts w:ascii="Times New Roman" w:hAnsi="Times New Roman" w:cs="Times New Roman" w:eastAsia="Times New Roman" w:hint="default"/>
        </w:rPr>
        <w:t>4</w:t>
      </w:r>
      <w:r>
        <w:rPr/>
        <w:t>：</w:t>
      </w:r>
    </w:p>
    <w:p>
      <w:pPr>
        <w:spacing w:line="240" w:lineRule="auto" w:before="0"/>
        <w:rPr>
          <w:rFonts w:ascii="宋体" w:hAnsi="宋体" w:cs="宋体" w:eastAsia="宋体" w:hint="default"/>
          <w:sz w:val="14"/>
          <w:szCs w:val="14"/>
        </w:rPr>
      </w:pPr>
    </w:p>
    <w:p>
      <w:pPr>
        <w:pStyle w:val="BodyText"/>
        <w:spacing w:line="240" w:lineRule="auto"/>
        <w:ind w:left="513" w:right="1055"/>
        <w:jc w:val="left"/>
      </w:pPr>
      <w:r>
        <w:rPr>
          <w:spacing w:val="-3"/>
        </w:rPr>
        <w:t>公司共同控制人张学君、陈向军和李军，以及持有公司 </w:t>
      </w:r>
      <w:r>
        <w:rPr>
          <w:spacing w:val="21"/>
        </w:rPr>
        <w:t> </w:t>
      </w:r>
      <w:r>
        <w:rPr>
          <w:rFonts w:ascii="Times New Roman" w:hAnsi="Times New Roman" w:cs="Times New Roman" w:eastAsia="Times New Roman" w:hint="default"/>
          <w:spacing w:val="-3"/>
        </w:rPr>
        <w:t>5%</w:t>
      </w:r>
      <w:r>
        <w:rPr>
          <w:spacing w:val="-3"/>
        </w:rPr>
        <w:t>以上股份的股东何晔，就避免同业竞争作出了以下承诺：</w:t>
      </w:r>
    </w:p>
    <w:p>
      <w:pPr>
        <w:spacing w:line="240" w:lineRule="auto" w:before="7"/>
        <w:rPr>
          <w:rFonts w:ascii="宋体" w:hAnsi="宋体" w:cs="宋体" w:eastAsia="宋体" w:hint="default"/>
          <w:sz w:val="16"/>
          <w:szCs w:val="16"/>
        </w:rPr>
      </w:pPr>
    </w:p>
    <w:p>
      <w:pPr>
        <w:pStyle w:val="BodyText"/>
        <w:spacing w:line="453" w:lineRule="auto"/>
        <w:ind w:right="1055" w:firstLine="360"/>
        <w:jc w:val="left"/>
      </w:pPr>
      <w:r>
        <w:rPr>
          <w:rFonts w:ascii="Times New Roman" w:hAnsi="Times New Roman" w:cs="Times New Roman" w:eastAsia="Times New Roman" w:hint="default"/>
          <w:spacing w:val="-4"/>
        </w:rPr>
        <w:t>“1</w:t>
      </w:r>
      <w:r>
        <w:rPr>
          <w:spacing w:val="-4"/>
        </w:rPr>
        <w:t>、本人目前没有在中国境内任何地方或中国境外，直接或间接发展、经营或协助经营或参与与公司业务存在竞争的任</w:t>
      </w:r>
      <w:r>
        <w:rPr>
          <w:w w:val="101"/>
        </w:rPr>
        <w:t> </w:t>
      </w:r>
      <w:r>
        <w:rPr>
          <w:spacing w:val="-3"/>
        </w:rPr>
        <w:t>何活动，亦没有在任何与公司业务有直接或间接竞争关系的公司或企业拥有任何直接或间接权益。</w:t>
      </w:r>
    </w:p>
    <w:p>
      <w:pPr>
        <w:pStyle w:val="BodyText"/>
        <w:spacing w:line="453" w:lineRule="auto" w:before="70"/>
        <w:ind w:right="1055" w:firstLine="360"/>
        <w:jc w:val="left"/>
      </w:pPr>
      <w:r>
        <w:rPr>
          <w:rFonts w:ascii="Times New Roman" w:hAnsi="Times New Roman" w:cs="Times New Roman" w:eastAsia="Times New Roman" w:hint="default"/>
          <w:spacing w:val="-3"/>
        </w:rPr>
        <w:t>2</w:t>
      </w:r>
      <w:r>
        <w:rPr>
          <w:spacing w:val="-3"/>
        </w:rPr>
        <w:t>、自本承诺函签署之日起，本人将不直接或间接经营任何与股份公司经营的业务构成竞争或可能构成竞争的业务，也</w:t>
      </w:r>
      <w:r>
        <w:rPr>
          <w:w w:val="101"/>
        </w:rPr>
        <w:t> </w:t>
      </w:r>
      <w:r>
        <w:rPr>
          <w:spacing w:val="-3"/>
        </w:rPr>
        <w:t>不参与投资任何与股份公司生产的产品或经营的业务构成竞争或可能构成竞争的其他企业。</w:t>
      </w:r>
    </w:p>
    <w:p>
      <w:pPr>
        <w:pStyle w:val="BodyText"/>
        <w:spacing w:line="240" w:lineRule="auto" w:before="70"/>
        <w:ind w:left="513" w:right="1055"/>
        <w:jc w:val="left"/>
      </w:pPr>
      <w:r>
        <w:rPr>
          <w:rFonts w:ascii="Times New Roman" w:hAnsi="Times New Roman" w:cs="Times New Roman" w:eastAsia="Times New Roman" w:hint="default"/>
          <w:spacing w:val="-3"/>
        </w:rPr>
        <w:t>3</w:t>
      </w:r>
      <w:r>
        <w:rPr>
          <w:spacing w:val="-3"/>
        </w:rPr>
        <w:t>、自本承诺函签署之日起，本人将不会利用公司股东的身份进行损害公司及其它股东利益的经营活动。</w:t>
      </w:r>
    </w:p>
    <w:p>
      <w:pPr>
        <w:spacing w:line="240" w:lineRule="auto" w:before="12"/>
        <w:rPr>
          <w:rFonts w:ascii="宋体" w:hAnsi="宋体" w:cs="宋体" w:eastAsia="宋体" w:hint="default"/>
          <w:sz w:val="16"/>
          <w:szCs w:val="16"/>
        </w:rPr>
      </w:pPr>
    </w:p>
    <w:p>
      <w:pPr>
        <w:pStyle w:val="BodyText"/>
        <w:spacing w:line="240" w:lineRule="auto"/>
        <w:ind w:left="513" w:right="1055"/>
        <w:jc w:val="left"/>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、如上述承诺被证明是不真实的或未被遵守，本人将向公司赔偿一切直接或间接的损失，并承担相应法律责任。</w:t>
      </w:r>
      <w:r>
        <w:rPr>
          <w:rFonts w:ascii="Times New Roman" w:hAnsi="Times New Roman" w:cs="Times New Roman" w:eastAsia="Times New Roman" w:hint="default"/>
          <w:spacing w:val="-3"/>
        </w:rPr>
        <w:t>”</w:t>
      </w:r>
    </w:p>
    <w:p>
      <w:pPr>
        <w:spacing w:line="240" w:lineRule="auto" w:before="7"/>
        <w:rPr>
          <w:rFonts w:ascii="Times New Roman" w:hAnsi="Times New Roman" w:cs="Times New Roman" w:eastAsia="Times New Roman" w:hint="default"/>
          <w:sz w:val="22"/>
          <w:szCs w:val="22"/>
        </w:rPr>
      </w:pPr>
    </w:p>
    <w:p>
      <w:pPr>
        <w:pStyle w:val="BodyText"/>
        <w:spacing w:line="240" w:lineRule="auto"/>
        <w:ind w:right="0"/>
        <w:jc w:val="both"/>
      </w:pPr>
      <w:r>
        <w:rPr/>
        <w:t>注</w:t>
      </w:r>
      <w:r>
        <w:rPr>
          <w:spacing w:val="-41"/>
        </w:rPr>
        <w:t> </w:t>
      </w:r>
      <w:r>
        <w:rPr>
          <w:rFonts w:ascii="Times New Roman" w:hAnsi="Times New Roman" w:cs="Times New Roman" w:eastAsia="Times New Roman" w:hint="default"/>
        </w:rPr>
        <w:t>5</w:t>
      </w:r>
      <w:r>
        <w:rPr/>
        <w:t>：</w:t>
      </w:r>
    </w:p>
    <w:p>
      <w:pPr>
        <w:spacing w:line="240" w:lineRule="auto" w:before="13"/>
        <w:rPr>
          <w:rFonts w:ascii="宋体" w:hAnsi="宋体" w:cs="宋体" w:eastAsia="宋体" w:hint="default"/>
          <w:sz w:val="13"/>
          <w:szCs w:val="13"/>
        </w:rPr>
      </w:pPr>
    </w:p>
    <w:p>
      <w:pPr>
        <w:pStyle w:val="BodyText"/>
        <w:spacing w:line="240" w:lineRule="auto"/>
        <w:ind w:left="513" w:right="1055"/>
        <w:jc w:val="left"/>
      </w:pPr>
      <w:r>
        <w:rPr>
          <w:spacing w:val="-3"/>
        </w:rPr>
        <w:t>公司的董事、高级管理人员就非公开发行股票的相关事项承诺如下：</w:t>
      </w:r>
    </w:p>
    <w:p>
      <w:pPr>
        <w:spacing w:line="240" w:lineRule="auto" w:before="7"/>
        <w:rPr>
          <w:rFonts w:ascii="宋体" w:hAnsi="宋体" w:cs="宋体" w:eastAsia="宋体" w:hint="default"/>
          <w:sz w:val="20"/>
          <w:szCs w:val="20"/>
        </w:rPr>
      </w:pPr>
    </w:p>
    <w:p>
      <w:pPr>
        <w:pStyle w:val="BodyText"/>
        <w:spacing w:line="489" w:lineRule="auto"/>
        <w:ind w:left="513" w:right="1055"/>
        <w:jc w:val="left"/>
      </w:pPr>
      <w:r>
        <w:rPr>
          <w:rFonts w:ascii="Times New Roman" w:hAnsi="Times New Roman" w:cs="Times New Roman" w:eastAsia="Times New Roman" w:hint="default"/>
          <w:spacing w:val="-3"/>
        </w:rPr>
        <w:t>“1</w:t>
      </w:r>
      <w:r>
        <w:rPr>
          <w:spacing w:val="-3"/>
        </w:rPr>
        <w:t>、承诺不无偿或以不公平条件向其他单位或者个人输送利益，也不采用其他方式损害公司利益；</w:t>
      </w:r>
      <w:r>
        <w:rPr>
          <w:spacing w:val="41"/>
        </w:rPr>
        <w:t> </w:t>
      </w:r>
      <w:r>
        <w:rPr>
          <w:spacing w:val="41"/>
        </w:rPr>
      </w:r>
      <w:r>
        <w:rPr>
          <w:rFonts w:ascii="Times New Roman" w:hAnsi="Times New Roman" w:cs="Times New Roman" w:eastAsia="Times New Roman" w:hint="default"/>
          <w:spacing w:val="-3"/>
        </w:rPr>
        <w:t>2</w:t>
      </w:r>
      <w:r>
        <w:rPr>
          <w:spacing w:val="-3"/>
        </w:rPr>
        <w:t>、承诺对本人的职务消费行为进行约束；</w:t>
      </w:r>
    </w:p>
    <w:p>
      <w:pPr>
        <w:pStyle w:val="BodyText"/>
        <w:spacing w:line="240" w:lineRule="auto" w:before="52"/>
        <w:ind w:left="513" w:right="1055"/>
        <w:jc w:val="left"/>
      </w:pPr>
      <w:r>
        <w:rPr>
          <w:rFonts w:ascii="Times New Roman" w:hAnsi="Times New Roman" w:cs="Times New Roman" w:eastAsia="Times New Roman" w:hint="default"/>
          <w:spacing w:val="-3"/>
        </w:rPr>
        <w:t>3</w:t>
      </w:r>
      <w:r>
        <w:rPr>
          <w:spacing w:val="-3"/>
        </w:rPr>
        <w:t>、承诺不动用公司资产从事与其履行职责无关的投资、消费活动；</w:t>
      </w:r>
    </w:p>
    <w:p>
      <w:pPr>
        <w:spacing w:line="240" w:lineRule="auto" w:before="11"/>
        <w:rPr>
          <w:rFonts w:ascii="宋体" w:hAnsi="宋体" w:cs="宋体" w:eastAsia="宋体" w:hint="default"/>
          <w:sz w:val="19"/>
          <w:szCs w:val="19"/>
        </w:rPr>
      </w:pPr>
    </w:p>
    <w:p>
      <w:pPr>
        <w:pStyle w:val="BodyText"/>
        <w:spacing w:line="240" w:lineRule="auto"/>
        <w:ind w:left="513" w:right="1055"/>
        <w:jc w:val="left"/>
      </w:pPr>
      <w:r>
        <w:rPr>
          <w:rFonts w:ascii="Times New Roman" w:hAnsi="Times New Roman" w:cs="Times New Roman" w:eastAsia="Times New Roman" w:hint="default"/>
          <w:spacing w:val="-3"/>
        </w:rPr>
        <w:t>4</w:t>
      </w:r>
      <w:r>
        <w:rPr>
          <w:spacing w:val="-3"/>
        </w:rPr>
        <w:t>、承诺由董事会或薪酬委员会制定的薪酬制度与公司填补回报措施的执行情况相挂钩；</w:t>
      </w:r>
    </w:p>
    <w:p>
      <w:pPr>
        <w:spacing w:line="240" w:lineRule="auto" w:before="11"/>
        <w:rPr>
          <w:rFonts w:ascii="宋体" w:hAnsi="宋体" w:cs="宋体" w:eastAsia="宋体" w:hint="default"/>
          <w:sz w:val="19"/>
          <w:szCs w:val="19"/>
        </w:rPr>
      </w:pPr>
    </w:p>
    <w:p>
      <w:pPr>
        <w:pStyle w:val="BodyText"/>
        <w:spacing w:line="240" w:lineRule="auto"/>
        <w:ind w:left="513" w:right="1055"/>
        <w:jc w:val="left"/>
        <w:rPr>
          <w:rFonts w:ascii="Times New Roman" w:hAnsi="Times New Roman" w:cs="Times New Roman" w:eastAsia="Times New Roman" w:hint="default"/>
        </w:rPr>
      </w:pPr>
      <w:r>
        <w:rPr>
          <w:rFonts w:ascii="Times New Roman" w:hAnsi="Times New Roman" w:cs="Times New Roman" w:eastAsia="Times New Roman" w:hint="default"/>
          <w:spacing w:val="-3"/>
        </w:rPr>
        <w:t>5</w:t>
      </w:r>
      <w:r>
        <w:rPr>
          <w:spacing w:val="-3"/>
        </w:rPr>
        <w:t>、承诺拟公布的公司股权激励的行权条件与公司填补回报措施的执行情况相挂钩。</w:t>
      </w:r>
      <w:r>
        <w:rPr>
          <w:rFonts w:ascii="Times New Roman" w:hAnsi="Times New Roman" w:cs="Times New Roman" w:eastAsia="Times New Roman" w:hint="default"/>
          <w:spacing w:val="-3"/>
        </w:rPr>
        <w:t>”</w:t>
      </w:r>
    </w:p>
    <w:p>
      <w:pPr>
        <w:spacing w:line="240" w:lineRule="auto" w:before="7"/>
        <w:rPr>
          <w:rFonts w:ascii="Times New Roman" w:hAnsi="Times New Roman" w:cs="Times New Roman" w:eastAsia="Times New Roman" w:hint="default"/>
          <w:sz w:val="22"/>
          <w:szCs w:val="22"/>
        </w:rPr>
      </w:pPr>
    </w:p>
    <w:p>
      <w:pPr>
        <w:pStyle w:val="BodyText"/>
        <w:spacing w:line="240" w:lineRule="auto"/>
        <w:ind w:right="0"/>
        <w:jc w:val="both"/>
      </w:pPr>
      <w:r>
        <w:rPr/>
        <w:t>注</w:t>
      </w:r>
      <w:r>
        <w:rPr>
          <w:spacing w:val="-41"/>
        </w:rPr>
        <w:t> </w:t>
      </w:r>
      <w:r>
        <w:rPr>
          <w:rFonts w:ascii="Times New Roman" w:hAnsi="Times New Roman" w:cs="Times New Roman" w:eastAsia="Times New Roman" w:hint="default"/>
        </w:rPr>
        <w:t>6</w:t>
      </w:r>
      <w:r>
        <w:rPr/>
        <w:t>：</w:t>
      </w:r>
    </w:p>
    <w:p>
      <w:pPr>
        <w:spacing w:line="240" w:lineRule="auto" w:before="13"/>
        <w:rPr>
          <w:rFonts w:ascii="宋体" w:hAnsi="宋体" w:cs="宋体" w:eastAsia="宋体" w:hint="default"/>
          <w:sz w:val="13"/>
          <w:szCs w:val="13"/>
        </w:rPr>
      </w:pPr>
    </w:p>
    <w:p>
      <w:pPr>
        <w:pStyle w:val="BodyText"/>
        <w:spacing w:line="475" w:lineRule="auto"/>
        <w:ind w:right="1055" w:firstLine="360"/>
        <w:jc w:val="left"/>
      </w:pPr>
      <w:r>
        <w:rPr>
          <w:spacing w:val="-5"/>
        </w:rPr>
        <w:t>作为公司非公开发行股票的认购对象，同方金融控股（深圳）有限公司、武汉亘星投资有限公司及财通基金管理有限公</w:t>
      </w:r>
      <w:r>
        <w:rPr>
          <w:w w:val="101"/>
        </w:rPr>
        <w:t> </w:t>
      </w:r>
      <w:r>
        <w:rPr>
          <w:spacing w:val="-3"/>
        </w:rPr>
        <w:t>司就本次认购公司发行的新股，作出如下承诺：</w:t>
      </w:r>
    </w:p>
    <w:p>
      <w:pPr>
        <w:pStyle w:val="BodyText"/>
        <w:spacing w:line="240" w:lineRule="auto" w:before="97"/>
        <w:ind w:left="513" w:right="1004"/>
        <w:jc w:val="left"/>
      </w:pPr>
      <w:r>
        <w:rPr>
          <w:w w:val="101"/>
        </w:rPr>
        <w:t>自</w:t>
      </w:r>
      <w:r>
        <w:rPr>
          <w:spacing w:val="-5"/>
          <w:w w:val="101"/>
        </w:rPr>
        <w:t>本</w:t>
      </w:r>
      <w:r>
        <w:rPr>
          <w:w w:val="101"/>
        </w:rPr>
        <w:t>次</w:t>
      </w:r>
      <w:r>
        <w:rPr>
          <w:spacing w:val="-5"/>
          <w:w w:val="101"/>
        </w:rPr>
        <w:t>发</w:t>
      </w:r>
      <w:r>
        <w:rPr>
          <w:w w:val="101"/>
        </w:rPr>
        <w:t>行</w:t>
      </w:r>
      <w:r>
        <w:rPr>
          <w:spacing w:val="-5"/>
          <w:w w:val="101"/>
        </w:rPr>
        <w:t>新</w:t>
      </w:r>
      <w:r>
        <w:rPr>
          <w:w w:val="101"/>
        </w:rPr>
        <w:t>增</w:t>
      </w:r>
      <w:r>
        <w:rPr>
          <w:spacing w:val="-5"/>
          <w:w w:val="101"/>
        </w:rPr>
        <w:t>股</w:t>
      </w:r>
      <w:r>
        <w:rPr>
          <w:w w:val="101"/>
        </w:rPr>
        <w:t>份</w:t>
      </w:r>
      <w:r>
        <w:rPr>
          <w:spacing w:val="-5"/>
          <w:w w:val="101"/>
        </w:rPr>
        <w:t>上</w:t>
      </w:r>
      <w:r>
        <w:rPr>
          <w:w w:val="101"/>
        </w:rPr>
        <w:t>市</w:t>
      </w:r>
      <w:r>
        <w:rPr>
          <w:spacing w:val="-5"/>
          <w:w w:val="101"/>
        </w:rPr>
        <w:t>首</w:t>
      </w:r>
      <w:r>
        <w:rPr>
          <w:w w:val="101"/>
        </w:rPr>
        <w:t>日</w:t>
      </w:r>
      <w:r>
        <w:rPr>
          <w:spacing w:val="-5"/>
          <w:w w:val="101"/>
        </w:rPr>
        <w:t>起</w:t>
      </w:r>
      <w:r>
        <w:rPr>
          <w:w w:val="101"/>
        </w:rPr>
        <w:t>十</w:t>
      </w:r>
      <w:r>
        <w:rPr>
          <w:spacing w:val="-5"/>
          <w:w w:val="101"/>
        </w:rPr>
        <w:t>二</w:t>
      </w:r>
      <w:r>
        <w:rPr>
          <w:w w:val="101"/>
        </w:rPr>
        <w:t>个</w:t>
      </w:r>
      <w:r>
        <w:rPr>
          <w:spacing w:val="-5"/>
          <w:w w:val="101"/>
        </w:rPr>
        <w:t>月</w:t>
      </w:r>
      <w:r>
        <w:rPr>
          <w:w w:val="101"/>
        </w:rPr>
        <w:t>内</w:t>
      </w:r>
      <w:r>
        <w:rPr>
          <w:spacing w:val="-5"/>
          <w:w w:val="101"/>
        </w:rPr>
        <w:t>不</w:t>
      </w:r>
      <w:r>
        <w:rPr>
          <w:w w:val="101"/>
        </w:rPr>
        <w:t>得</w:t>
      </w:r>
      <w:r>
        <w:rPr>
          <w:spacing w:val="-5"/>
          <w:w w:val="101"/>
        </w:rPr>
        <w:t>转</w:t>
      </w:r>
      <w:r>
        <w:rPr>
          <w:w w:val="101"/>
        </w:rPr>
        <w:t>让</w:t>
      </w:r>
      <w:r>
        <w:rPr>
          <w:spacing w:val="-92"/>
          <w:w w:val="101"/>
        </w:rPr>
        <w:t>。</w:t>
      </w:r>
      <w:r>
        <w:rPr>
          <w:w w:val="101"/>
        </w:rPr>
        <w:t>将</w:t>
      </w:r>
      <w:r>
        <w:rPr>
          <w:spacing w:val="-5"/>
          <w:w w:val="101"/>
        </w:rPr>
        <w:t>遵守</w:t>
      </w:r>
      <w:r>
        <w:rPr>
          <w:w w:val="101"/>
        </w:rPr>
        <w:t>中</w:t>
      </w:r>
      <w:r>
        <w:rPr>
          <w:spacing w:val="-5"/>
          <w:w w:val="101"/>
        </w:rPr>
        <w:t>国</w:t>
      </w:r>
      <w:r>
        <w:rPr>
          <w:w w:val="101"/>
        </w:rPr>
        <w:t>证</w:t>
      </w:r>
      <w:r>
        <w:rPr>
          <w:spacing w:val="-5"/>
          <w:w w:val="101"/>
        </w:rPr>
        <w:t>监</w:t>
      </w:r>
      <w:r>
        <w:rPr>
          <w:spacing w:val="-87"/>
          <w:w w:val="101"/>
        </w:rPr>
        <w:t>会</w:t>
      </w:r>
      <w:r>
        <w:rPr>
          <w:spacing w:val="-5"/>
          <w:w w:val="101"/>
        </w:rPr>
        <w:t>《</w:t>
      </w:r>
      <w:r>
        <w:rPr>
          <w:w w:val="101"/>
        </w:rPr>
        <w:t>上</w:t>
      </w:r>
      <w:r>
        <w:rPr>
          <w:spacing w:val="-5"/>
          <w:w w:val="101"/>
        </w:rPr>
        <w:t>市</w:t>
      </w:r>
      <w:r>
        <w:rPr>
          <w:w w:val="101"/>
        </w:rPr>
        <w:t>公</w:t>
      </w:r>
      <w:r>
        <w:rPr>
          <w:spacing w:val="-5"/>
          <w:w w:val="101"/>
        </w:rPr>
        <w:t>司</w:t>
      </w:r>
      <w:r>
        <w:rPr>
          <w:w w:val="101"/>
        </w:rPr>
        <w:t>股</w:t>
      </w:r>
      <w:r>
        <w:rPr>
          <w:spacing w:val="-5"/>
          <w:w w:val="101"/>
        </w:rPr>
        <w:t>东</w:t>
      </w:r>
      <w:r>
        <w:rPr>
          <w:spacing w:val="-87"/>
          <w:w w:val="101"/>
        </w:rPr>
        <w:t>、</w:t>
      </w:r>
      <w:r>
        <w:rPr>
          <w:spacing w:val="-5"/>
          <w:w w:val="101"/>
        </w:rPr>
        <w:t>董</w:t>
      </w:r>
      <w:r>
        <w:rPr>
          <w:spacing w:val="1"/>
          <w:w w:val="101"/>
        </w:rPr>
        <w:t>监</w:t>
      </w:r>
      <w:r>
        <w:rPr>
          <w:spacing w:val="-5"/>
          <w:w w:val="101"/>
        </w:rPr>
        <w:t>高</w:t>
      </w:r>
      <w:r>
        <w:rPr>
          <w:w w:val="101"/>
        </w:rPr>
        <w:t>减</w:t>
      </w:r>
      <w:r>
        <w:rPr>
          <w:spacing w:val="-5"/>
          <w:w w:val="101"/>
        </w:rPr>
        <w:t>持股</w:t>
      </w:r>
      <w:r>
        <w:rPr>
          <w:w w:val="101"/>
        </w:rPr>
        <w:t>份</w:t>
      </w:r>
      <w:r>
        <w:rPr>
          <w:spacing w:val="-5"/>
          <w:w w:val="101"/>
        </w:rPr>
        <w:t>的</w:t>
      </w:r>
      <w:r>
        <w:rPr>
          <w:w w:val="101"/>
        </w:rPr>
        <w:t>若</w:t>
      </w:r>
      <w:r>
        <w:rPr>
          <w:spacing w:val="-5"/>
          <w:w w:val="101"/>
        </w:rPr>
        <w:t>干</w:t>
      </w:r>
      <w:r>
        <w:rPr>
          <w:w w:val="101"/>
        </w:rPr>
        <w:t>规定</w:t>
      </w:r>
      <w:r>
        <w:rPr>
          <w:spacing w:val="-96"/>
          <w:w w:val="101"/>
        </w:rPr>
        <w:t>》</w:t>
      </w:r>
      <w:r>
        <w:rPr>
          <w:w w:val="101"/>
        </w:rPr>
        <w:t>、</w:t>
      </w:r>
      <w:r>
        <w:rPr/>
      </w:r>
    </w:p>
    <w:p>
      <w:pPr>
        <w:spacing w:line="240" w:lineRule="auto" w:before="8"/>
        <w:rPr>
          <w:rFonts w:ascii="宋体" w:hAnsi="宋体" w:cs="宋体" w:eastAsia="宋体" w:hint="default"/>
          <w:sz w:val="17"/>
          <w:szCs w:val="17"/>
        </w:rPr>
      </w:pPr>
    </w:p>
    <w:p>
      <w:pPr>
        <w:pStyle w:val="BodyText"/>
        <w:spacing w:line="463" w:lineRule="auto"/>
        <w:ind w:right="1124"/>
        <w:jc w:val="both"/>
      </w:pPr>
      <w:r>
        <w:rPr>
          <w:spacing w:val="-3"/>
          <w:w w:val="101"/>
        </w:rPr>
        <w:t>《深圳证券交易所创业板股票上市规则（</w:t>
      </w:r>
      <w:r>
        <w:rPr>
          <w:rFonts w:ascii="Times New Roman" w:hAnsi="Times New Roman" w:cs="Times New Roman" w:eastAsia="Times New Roman" w:hint="default"/>
          <w:spacing w:val="-3"/>
          <w:w w:val="101"/>
        </w:rPr>
        <w:t>2014</w:t>
      </w:r>
      <w:r>
        <w:rPr>
          <w:rFonts w:ascii="Times New Roman" w:hAnsi="Times New Roman" w:cs="Times New Roman" w:eastAsia="Times New Roman" w:hint="default"/>
          <w:w w:val="101"/>
        </w:rPr>
        <w:t> </w:t>
      </w:r>
      <w:r>
        <w:rPr>
          <w:spacing w:val="-11"/>
          <w:w w:val="101"/>
        </w:rPr>
        <w:t>年修订）》、《深圳证券交易所上市公司股东及董事、监事、高级管理人员减持</w:t>
      </w:r>
      <w:r>
        <w:rPr>
          <w:spacing w:val="-86"/>
          <w:w w:val="101"/>
        </w:rPr>
        <w:t> </w:t>
      </w:r>
      <w:r>
        <w:rPr>
          <w:spacing w:val="-86"/>
          <w:w w:val="101"/>
        </w:rPr>
      </w:r>
      <w:r>
        <w:rPr>
          <w:spacing w:val="-4"/>
        </w:rPr>
        <w:t>股份实施细则》的相关规定。承诺本次非公开发行股份结束后，获得配售后股份在其锁定期内其委托人或合伙人不得转让其</w:t>
      </w:r>
      <w:r>
        <w:rPr>
          <w:spacing w:val="43"/>
        </w:rPr>
        <w:t> </w:t>
      </w:r>
      <w:r>
        <w:rPr>
          <w:spacing w:val="43"/>
        </w:rPr>
      </w:r>
      <w:r>
        <w:rPr>
          <w:spacing w:val="-8"/>
          <w:w w:val="101"/>
        </w:rPr>
        <w:t>持有的该产品份额或退出合伙（如有）。</w:t>
      </w:r>
      <w:r>
        <w:rPr>
          <w:spacing w:val="-8"/>
        </w:rPr>
      </w:r>
    </w:p>
    <w:p>
      <w:pPr>
        <w:spacing w:after="0" w:line="463" w:lineRule="auto"/>
        <w:jc w:val="both"/>
        <w:sectPr>
          <w:footerReference w:type="default" r:id="rId22"/>
          <w:pgSz w:w="11910" w:h="16840"/>
          <w:pgMar w:footer="1186" w:header="871" w:top="1100" w:bottom="1380" w:left="980" w:right="0"/>
          <w:pgNumType w:start="47"/>
        </w:sectPr>
      </w:pPr>
    </w:p>
    <w:p>
      <w:pPr>
        <w:spacing w:line="240" w:lineRule="auto" w:before="0"/>
        <w:rPr>
          <w:rFonts w:ascii="宋体" w:hAnsi="宋体" w:cs="宋体" w:eastAsia="宋体" w:hint="default"/>
          <w:sz w:val="21"/>
          <w:szCs w:val="21"/>
        </w:rPr>
      </w:pPr>
    </w:p>
    <w:p>
      <w:pPr>
        <w:pStyle w:val="Heading3"/>
        <w:spacing w:line="254" w:lineRule="auto" w:before="36"/>
        <w:ind w:right="1055"/>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pStyle w:val="BodyText"/>
        <w:spacing w:line="417" w:lineRule="auto"/>
        <w:ind w:left="513" w:right="388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0"/>
        <w:rPr>
          <w:rFonts w:ascii="宋体" w:hAnsi="宋体" w:cs="宋体" w:eastAsia="宋体" w:hint="default"/>
          <w:sz w:val="20"/>
          <w:szCs w:val="20"/>
        </w:rPr>
      </w:pPr>
    </w:p>
    <w:p>
      <w:pPr>
        <w:pStyle w:val="Heading2"/>
        <w:spacing w:line="240" w:lineRule="auto"/>
        <w:ind w:right="1055"/>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055"/>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六、董事会关于报告期会计政策、会计估计变更或重大会计差错更正的说明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13"/>
          <w:szCs w:val="13"/>
        </w:rPr>
      </w:pPr>
    </w:p>
    <w:p>
      <w:pPr>
        <w:pStyle w:val="BodyText"/>
        <w:spacing w:line="453" w:lineRule="auto"/>
        <w:ind w:right="1055" w:firstLine="355"/>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15</w:t>
      </w:r>
      <w:r>
        <w:rPr>
          <w:spacing w:val="-4"/>
        </w:rPr>
        <w:t>日财政部发布了《关于修订印发</w:t>
      </w:r>
      <w:r>
        <w:rPr>
          <w:rFonts w:ascii="Times New Roman" w:hAnsi="Times New Roman" w:cs="Times New Roman" w:eastAsia="Times New Roman" w:hint="default"/>
          <w:spacing w:val="-4"/>
        </w:rPr>
        <w:t>2018</w:t>
      </w:r>
      <w:r>
        <w:rPr>
          <w:spacing w:val="-4"/>
        </w:rPr>
        <w:t>年度一般企业财务报表格式的通知》，</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22</w:t>
      </w:r>
      <w:r>
        <w:rPr>
          <w:spacing w:val="-4"/>
        </w:rPr>
        <w:t>日，经公司第四届</w:t>
      </w:r>
      <w:r>
        <w:rPr>
          <w:w w:val="101"/>
        </w:rPr>
        <w:t> </w:t>
      </w:r>
      <w:r>
        <w:rPr>
          <w:spacing w:val="-3"/>
        </w:rPr>
        <w:t>董事会第十六次会议审议通过，公司按照通知的要求相应变更财务报表格式。</w:t>
      </w:r>
    </w:p>
    <w:p>
      <w:pPr>
        <w:pStyle w:val="BodyText"/>
        <w:spacing w:line="480" w:lineRule="auto" w:before="70"/>
        <w:ind w:right="1055" w:firstLine="355"/>
        <w:jc w:val="left"/>
      </w:pPr>
      <w:r>
        <w:rPr>
          <w:spacing w:val="-4"/>
        </w:rPr>
        <w:t>根据财政部的修订要求，公司调整以下财务报表项目的列示，并对可比会计期间的比较数据进行相应调整，调整内容主</w:t>
      </w:r>
      <w:r>
        <w:rPr>
          <w:w w:val="101"/>
        </w:rPr>
        <w:t> </w:t>
      </w:r>
      <w:r>
        <w:rPr/>
        <w:t>要包括：</w:t>
      </w:r>
    </w:p>
    <w:p>
      <w:pPr>
        <w:pStyle w:val="BodyText"/>
        <w:spacing w:line="240" w:lineRule="auto" w:before="50"/>
        <w:ind w:left="508" w:right="1055"/>
        <w:jc w:val="left"/>
      </w:pPr>
      <w:r>
        <w:rPr>
          <w:spacing w:val="-3"/>
        </w:rPr>
        <w:t>①原</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项目合并计入新增的</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项目；</w:t>
      </w:r>
    </w:p>
    <w:p>
      <w:pPr>
        <w:spacing w:line="240" w:lineRule="auto" w:before="12"/>
        <w:rPr>
          <w:rFonts w:ascii="宋体" w:hAnsi="宋体" w:cs="宋体" w:eastAsia="宋体" w:hint="default"/>
          <w:sz w:val="16"/>
          <w:szCs w:val="16"/>
        </w:rPr>
      </w:pPr>
    </w:p>
    <w:p>
      <w:pPr>
        <w:pStyle w:val="BodyText"/>
        <w:spacing w:line="240" w:lineRule="auto"/>
        <w:ind w:left="508" w:right="1055"/>
        <w:jc w:val="left"/>
      </w:pPr>
      <w:r>
        <w:rPr>
          <w:spacing w:val="-3"/>
        </w:rPr>
        <w:t>②原</w:t>
      </w:r>
      <w:r>
        <w:rPr>
          <w:rFonts w:ascii="Times New Roman" w:hAnsi="Times New Roman" w:cs="Times New Roman" w:eastAsia="Times New Roman" w:hint="default"/>
          <w:spacing w:val="-3"/>
        </w:rPr>
        <w:t>“</w:t>
      </w:r>
      <w:r>
        <w:rPr>
          <w:spacing w:val="-3"/>
        </w:rPr>
        <w:t>应收利息</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应收股利</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其他应收款</w:t>
      </w:r>
      <w:r>
        <w:rPr>
          <w:rFonts w:ascii="Times New Roman" w:hAnsi="Times New Roman" w:cs="Times New Roman" w:eastAsia="Times New Roman" w:hint="default"/>
          <w:spacing w:val="-3"/>
        </w:rPr>
        <w:t>”</w:t>
      </w:r>
      <w:r>
        <w:rPr>
          <w:spacing w:val="-3"/>
        </w:rPr>
        <w:t>项目合并计入</w:t>
      </w:r>
      <w:r>
        <w:rPr>
          <w:rFonts w:ascii="Times New Roman" w:hAnsi="Times New Roman" w:cs="Times New Roman" w:eastAsia="Times New Roman" w:hint="default"/>
          <w:spacing w:val="-3"/>
        </w:rPr>
        <w:t>“</w:t>
      </w:r>
      <w:r>
        <w:rPr>
          <w:spacing w:val="-3"/>
        </w:rPr>
        <w:t>其他应收款</w:t>
      </w:r>
      <w:r>
        <w:rPr>
          <w:rFonts w:ascii="Times New Roman" w:hAnsi="Times New Roman" w:cs="Times New Roman" w:eastAsia="Times New Roman" w:hint="default"/>
          <w:spacing w:val="-3"/>
        </w:rPr>
        <w:t>”</w:t>
      </w:r>
      <w:r>
        <w:rPr>
          <w:spacing w:val="-3"/>
        </w:rPr>
        <w:t>项目；</w:t>
      </w:r>
    </w:p>
    <w:p>
      <w:pPr>
        <w:spacing w:line="240" w:lineRule="auto" w:before="8"/>
        <w:rPr>
          <w:rFonts w:ascii="宋体" w:hAnsi="宋体" w:cs="宋体" w:eastAsia="宋体" w:hint="default"/>
          <w:sz w:val="16"/>
          <w:szCs w:val="16"/>
        </w:rPr>
      </w:pPr>
    </w:p>
    <w:p>
      <w:pPr>
        <w:pStyle w:val="BodyText"/>
        <w:spacing w:line="240" w:lineRule="auto"/>
        <w:ind w:left="508" w:right="1055"/>
        <w:jc w:val="left"/>
      </w:pPr>
      <w:r>
        <w:rPr>
          <w:spacing w:val="-3"/>
        </w:rPr>
        <w:t>③原</w:t>
      </w:r>
      <w:r>
        <w:rPr>
          <w:rFonts w:ascii="Times New Roman" w:hAnsi="Times New Roman" w:cs="Times New Roman" w:eastAsia="Times New Roman" w:hint="default"/>
          <w:spacing w:val="-3"/>
        </w:rPr>
        <w:t>“</w:t>
      </w:r>
      <w:r>
        <w:rPr>
          <w:spacing w:val="-3"/>
        </w:rPr>
        <w:t>固定资产清理</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固定资产</w:t>
      </w:r>
      <w:r>
        <w:rPr>
          <w:rFonts w:ascii="Times New Roman" w:hAnsi="Times New Roman" w:cs="Times New Roman" w:eastAsia="Times New Roman" w:hint="default"/>
          <w:spacing w:val="-3"/>
        </w:rPr>
        <w:t>”</w:t>
      </w:r>
      <w:r>
        <w:rPr>
          <w:spacing w:val="-3"/>
        </w:rPr>
        <w:t>项目合并计入</w:t>
      </w:r>
      <w:r>
        <w:rPr>
          <w:rFonts w:ascii="Times New Roman" w:hAnsi="Times New Roman" w:cs="Times New Roman" w:eastAsia="Times New Roman" w:hint="default"/>
          <w:spacing w:val="-3"/>
        </w:rPr>
        <w:t>“</w:t>
      </w:r>
      <w:r>
        <w:rPr>
          <w:spacing w:val="-3"/>
        </w:rPr>
        <w:t>固定资产</w:t>
      </w:r>
      <w:r>
        <w:rPr>
          <w:rFonts w:ascii="Times New Roman" w:hAnsi="Times New Roman" w:cs="Times New Roman" w:eastAsia="Times New Roman" w:hint="default"/>
          <w:spacing w:val="-3"/>
        </w:rPr>
        <w:t>”</w:t>
      </w:r>
      <w:r>
        <w:rPr>
          <w:spacing w:val="-3"/>
        </w:rPr>
        <w:t>项目；</w:t>
      </w:r>
    </w:p>
    <w:p>
      <w:pPr>
        <w:spacing w:line="240" w:lineRule="auto" w:before="12"/>
        <w:rPr>
          <w:rFonts w:ascii="宋体" w:hAnsi="宋体" w:cs="宋体" w:eastAsia="宋体" w:hint="default"/>
          <w:sz w:val="16"/>
          <w:szCs w:val="16"/>
        </w:rPr>
      </w:pPr>
    </w:p>
    <w:p>
      <w:pPr>
        <w:pStyle w:val="BodyText"/>
        <w:spacing w:line="240" w:lineRule="auto"/>
        <w:ind w:left="508" w:right="1055"/>
        <w:jc w:val="left"/>
      </w:pPr>
      <w:r>
        <w:rPr>
          <w:spacing w:val="-3"/>
        </w:rPr>
        <w:t>④原</w:t>
      </w:r>
      <w:r>
        <w:rPr>
          <w:rFonts w:ascii="Times New Roman" w:hAnsi="Times New Roman" w:cs="Times New Roman" w:eastAsia="Times New Roman" w:hint="default"/>
          <w:spacing w:val="-3"/>
        </w:rPr>
        <w:t>“</w:t>
      </w:r>
      <w:r>
        <w:rPr>
          <w:spacing w:val="-3"/>
        </w:rPr>
        <w:t>工程物资</w:t>
      </w:r>
      <w:r>
        <w:rPr>
          <w:rFonts w:ascii="Times New Roman" w:hAnsi="Times New Roman" w:cs="Times New Roman" w:eastAsia="Times New Roman" w:hint="default"/>
          <w:spacing w:val="-3"/>
        </w:rPr>
        <w:t>”</w:t>
      </w:r>
      <w:r>
        <w:rPr>
          <w:spacing w:val="-3"/>
        </w:rPr>
        <w:t>项目归并至</w:t>
      </w:r>
      <w:r>
        <w:rPr>
          <w:rFonts w:ascii="Times New Roman" w:hAnsi="Times New Roman" w:cs="Times New Roman" w:eastAsia="Times New Roman" w:hint="default"/>
          <w:spacing w:val="-3"/>
        </w:rPr>
        <w:t>“</w:t>
      </w:r>
      <w:r>
        <w:rPr>
          <w:spacing w:val="-3"/>
        </w:rPr>
        <w:t>在建工程</w:t>
      </w:r>
      <w:r>
        <w:rPr>
          <w:rFonts w:ascii="Times New Roman" w:hAnsi="Times New Roman" w:cs="Times New Roman" w:eastAsia="Times New Roman" w:hint="default"/>
          <w:spacing w:val="-3"/>
        </w:rPr>
        <w:t>”</w:t>
      </w:r>
      <w:r>
        <w:rPr>
          <w:spacing w:val="-3"/>
        </w:rPr>
        <w:t>项目；</w:t>
      </w:r>
    </w:p>
    <w:p>
      <w:pPr>
        <w:spacing w:line="240" w:lineRule="auto" w:before="7"/>
        <w:rPr>
          <w:rFonts w:ascii="宋体" w:hAnsi="宋体" w:cs="宋体" w:eastAsia="宋体" w:hint="default"/>
          <w:sz w:val="16"/>
          <w:szCs w:val="16"/>
        </w:rPr>
      </w:pPr>
    </w:p>
    <w:p>
      <w:pPr>
        <w:pStyle w:val="BodyText"/>
        <w:spacing w:line="240" w:lineRule="auto"/>
        <w:ind w:left="508" w:right="1055"/>
        <w:jc w:val="left"/>
      </w:pPr>
      <w:r>
        <w:rPr>
          <w:spacing w:val="-3"/>
        </w:rPr>
        <w:t>⑤原</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项目合并计入新增的</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项目；</w:t>
      </w:r>
    </w:p>
    <w:p>
      <w:pPr>
        <w:spacing w:line="240" w:lineRule="auto" w:before="12"/>
        <w:rPr>
          <w:rFonts w:ascii="宋体" w:hAnsi="宋体" w:cs="宋体" w:eastAsia="宋体" w:hint="default"/>
          <w:sz w:val="16"/>
          <w:szCs w:val="16"/>
        </w:rPr>
      </w:pPr>
    </w:p>
    <w:p>
      <w:pPr>
        <w:pStyle w:val="BodyText"/>
        <w:spacing w:line="240" w:lineRule="auto"/>
        <w:ind w:left="508" w:right="1055"/>
        <w:jc w:val="left"/>
      </w:pPr>
      <w:r>
        <w:rPr>
          <w:spacing w:val="-3"/>
        </w:rPr>
        <w:t>⑥原</w:t>
      </w:r>
      <w:r>
        <w:rPr>
          <w:rFonts w:ascii="Times New Roman" w:hAnsi="Times New Roman" w:cs="Times New Roman" w:eastAsia="Times New Roman" w:hint="default"/>
          <w:spacing w:val="-3"/>
        </w:rPr>
        <w:t>“</w:t>
      </w:r>
      <w:r>
        <w:rPr>
          <w:spacing w:val="-3"/>
        </w:rPr>
        <w:t>应付利息</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应付股利</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其他应付款</w:t>
      </w:r>
      <w:r>
        <w:rPr>
          <w:rFonts w:ascii="Times New Roman" w:hAnsi="Times New Roman" w:cs="Times New Roman" w:eastAsia="Times New Roman" w:hint="default"/>
          <w:spacing w:val="-3"/>
        </w:rPr>
        <w:t>”</w:t>
      </w:r>
      <w:r>
        <w:rPr>
          <w:spacing w:val="-3"/>
        </w:rPr>
        <w:t>项目合并计入</w:t>
      </w:r>
      <w:r>
        <w:rPr>
          <w:rFonts w:ascii="Times New Roman" w:hAnsi="Times New Roman" w:cs="Times New Roman" w:eastAsia="Times New Roman" w:hint="default"/>
          <w:spacing w:val="-3"/>
        </w:rPr>
        <w:t>“</w:t>
      </w:r>
      <w:r>
        <w:rPr>
          <w:spacing w:val="-3"/>
        </w:rPr>
        <w:t>其他应付款</w:t>
      </w:r>
      <w:r>
        <w:rPr>
          <w:rFonts w:ascii="Times New Roman" w:hAnsi="Times New Roman" w:cs="Times New Roman" w:eastAsia="Times New Roman" w:hint="default"/>
          <w:spacing w:val="-3"/>
        </w:rPr>
        <w:t>”</w:t>
      </w:r>
      <w:r>
        <w:rPr>
          <w:spacing w:val="-3"/>
        </w:rPr>
        <w:t>项目；</w:t>
      </w:r>
    </w:p>
    <w:p>
      <w:pPr>
        <w:spacing w:line="240" w:lineRule="auto" w:before="7"/>
        <w:rPr>
          <w:rFonts w:ascii="宋体" w:hAnsi="宋体" w:cs="宋体" w:eastAsia="宋体" w:hint="default"/>
          <w:sz w:val="16"/>
          <w:szCs w:val="16"/>
        </w:rPr>
      </w:pPr>
    </w:p>
    <w:p>
      <w:pPr>
        <w:pStyle w:val="BodyText"/>
        <w:spacing w:line="240" w:lineRule="auto"/>
        <w:ind w:left="508" w:right="1055"/>
        <w:jc w:val="left"/>
      </w:pPr>
      <w:r>
        <w:rPr>
          <w:spacing w:val="-3"/>
        </w:rPr>
        <w:t>⑦原</w:t>
      </w:r>
      <w:r>
        <w:rPr>
          <w:rFonts w:ascii="Times New Roman" w:hAnsi="Times New Roman" w:cs="Times New Roman" w:eastAsia="Times New Roman" w:hint="default"/>
          <w:spacing w:val="-3"/>
        </w:rPr>
        <w:t>“</w:t>
      </w:r>
      <w:r>
        <w:rPr>
          <w:spacing w:val="-3"/>
        </w:rPr>
        <w:t>专项应付款</w:t>
      </w:r>
      <w:r>
        <w:rPr>
          <w:rFonts w:ascii="Times New Roman" w:hAnsi="Times New Roman" w:cs="Times New Roman" w:eastAsia="Times New Roman" w:hint="default"/>
          <w:spacing w:val="-3"/>
        </w:rPr>
        <w:t>”</w:t>
      </w:r>
      <w:r>
        <w:rPr>
          <w:spacing w:val="-3"/>
        </w:rPr>
        <w:t>项目归并至</w:t>
      </w:r>
      <w:r>
        <w:rPr>
          <w:rFonts w:ascii="Times New Roman" w:hAnsi="Times New Roman" w:cs="Times New Roman" w:eastAsia="Times New Roman" w:hint="default"/>
          <w:spacing w:val="-3"/>
        </w:rPr>
        <w:t>“</w:t>
      </w:r>
      <w:r>
        <w:rPr>
          <w:spacing w:val="-3"/>
        </w:rPr>
        <w:t>长期应付款</w:t>
      </w:r>
      <w:r>
        <w:rPr>
          <w:rFonts w:ascii="Times New Roman" w:hAnsi="Times New Roman" w:cs="Times New Roman" w:eastAsia="Times New Roman" w:hint="default"/>
          <w:spacing w:val="-3"/>
        </w:rPr>
        <w:t>”</w:t>
      </w:r>
      <w:r>
        <w:rPr>
          <w:spacing w:val="-3"/>
        </w:rPr>
        <w:t>项目；</w:t>
      </w:r>
    </w:p>
    <w:p>
      <w:pPr>
        <w:spacing w:line="240" w:lineRule="auto" w:before="12"/>
        <w:rPr>
          <w:rFonts w:ascii="宋体" w:hAnsi="宋体" w:cs="宋体" w:eastAsia="宋体" w:hint="default"/>
          <w:sz w:val="16"/>
          <w:szCs w:val="16"/>
        </w:rPr>
      </w:pPr>
    </w:p>
    <w:p>
      <w:pPr>
        <w:pStyle w:val="BodyText"/>
        <w:spacing w:line="240" w:lineRule="auto"/>
        <w:ind w:left="508" w:right="1055"/>
        <w:jc w:val="left"/>
      </w:pPr>
      <w:r>
        <w:rPr>
          <w:spacing w:val="-3"/>
        </w:rPr>
        <w:t>⑧新增</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项目，原计入</w:t>
      </w:r>
      <w:r>
        <w:rPr>
          <w:rFonts w:ascii="Times New Roman" w:hAnsi="Times New Roman" w:cs="Times New Roman" w:eastAsia="Times New Roman" w:hint="default"/>
          <w:spacing w:val="-3"/>
        </w:rPr>
        <w:t>“</w:t>
      </w:r>
      <w:r>
        <w:rPr>
          <w:spacing w:val="-3"/>
        </w:rPr>
        <w:t>管理费用</w:t>
      </w:r>
      <w:r>
        <w:rPr>
          <w:rFonts w:ascii="Times New Roman" w:hAnsi="Times New Roman" w:cs="Times New Roman" w:eastAsia="Times New Roman" w:hint="default"/>
          <w:spacing w:val="-3"/>
        </w:rPr>
        <w:t>”</w:t>
      </w:r>
      <w:r>
        <w:rPr>
          <w:spacing w:val="-3"/>
        </w:rPr>
        <w:t>项目的研发费用单独列示为</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项目；</w:t>
      </w:r>
    </w:p>
    <w:p>
      <w:pPr>
        <w:spacing w:line="240" w:lineRule="auto" w:before="7"/>
        <w:rPr>
          <w:rFonts w:ascii="宋体" w:hAnsi="宋体" w:cs="宋体" w:eastAsia="宋体" w:hint="default"/>
          <w:sz w:val="16"/>
          <w:szCs w:val="16"/>
        </w:rPr>
      </w:pPr>
    </w:p>
    <w:p>
      <w:pPr>
        <w:pStyle w:val="BodyText"/>
        <w:spacing w:line="240" w:lineRule="auto"/>
        <w:ind w:left="508" w:right="1055"/>
        <w:jc w:val="left"/>
      </w:pPr>
      <w:r>
        <w:rPr>
          <w:spacing w:val="-3"/>
        </w:rPr>
        <w:t>⑨在</w:t>
      </w:r>
      <w:r>
        <w:rPr>
          <w:rFonts w:ascii="Times New Roman" w:hAnsi="Times New Roman" w:cs="Times New Roman" w:eastAsia="Times New Roman" w:hint="default"/>
          <w:spacing w:val="-3"/>
        </w:rPr>
        <w:t>“</w:t>
      </w:r>
      <w:r>
        <w:rPr>
          <w:spacing w:val="-3"/>
        </w:rPr>
        <w:t>财务费用</w:t>
      </w:r>
      <w:r>
        <w:rPr>
          <w:rFonts w:ascii="Times New Roman" w:hAnsi="Times New Roman" w:cs="Times New Roman" w:eastAsia="Times New Roman" w:hint="default"/>
          <w:spacing w:val="-3"/>
        </w:rPr>
        <w:t>”</w:t>
      </w:r>
      <w:r>
        <w:rPr>
          <w:spacing w:val="-3"/>
        </w:rPr>
        <w:t>项目下列示</w:t>
      </w:r>
      <w:r>
        <w:rPr>
          <w:rFonts w:ascii="Times New Roman" w:hAnsi="Times New Roman" w:cs="Times New Roman" w:eastAsia="Times New Roman" w:hint="default"/>
          <w:spacing w:val="-3"/>
        </w:rPr>
        <w:t>“</w:t>
      </w:r>
      <w:r>
        <w:rPr>
          <w:spacing w:val="-3"/>
        </w:rPr>
        <w:t>利息费用</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利息收入</w:t>
      </w:r>
      <w:r>
        <w:rPr>
          <w:rFonts w:ascii="Times New Roman" w:hAnsi="Times New Roman" w:cs="Times New Roman" w:eastAsia="Times New Roman" w:hint="default"/>
          <w:spacing w:val="-3"/>
        </w:rPr>
        <w:t>”</w:t>
      </w:r>
      <w:r>
        <w:rPr>
          <w:spacing w:val="-3"/>
        </w:rPr>
        <w:t>明细项目；</w:t>
      </w:r>
    </w:p>
    <w:p>
      <w:pPr>
        <w:spacing w:line="240" w:lineRule="auto" w:before="12"/>
        <w:rPr>
          <w:rFonts w:ascii="宋体" w:hAnsi="宋体" w:cs="宋体" w:eastAsia="宋体" w:hint="default"/>
          <w:sz w:val="16"/>
          <w:szCs w:val="16"/>
        </w:rPr>
      </w:pPr>
    </w:p>
    <w:p>
      <w:pPr>
        <w:pStyle w:val="BodyText"/>
        <w:spacing w:line="448" w:lineRule="auto"/>
        <w:ind w:right="1055" w:firstLine="355"/>
        <w:jc w:val="left"/>
      </w:pPr>
      <w:r>
        <w:rPr>
          <w:spacing w:val="-3"/>
        </w:rPr>
        <w:t>⑩公司根据《中华人民共和国个人所得税法》收到的扣缴税款手续费，作为其他与日常活动相关的项目在利润表的</w:t>
      </w:r>
      <w:r>
        <w:rPr>
          <w:rFonts w:ascii="Times New Roman" w:hAnsi="Times New Roman" w:cs="Times New Roman" w:eastAsia="Times New Roman" w:hint="default"/>
          <w:spacing w:val="-3"/>
        </w:rPr>
        <w:t>“</w:t>
      </w:r>
      <w:r>
        <w:rPr>
          <w:spacing w:val="-3"/>
        </w:rPr>
        <w:t>其</w:t>
      </w:r>
      <w:r>
        <w:rPr>
          <w:w w:val="101"/>
        </w:rPr>
        <w:t> </w:t>
      </w:r>
      <w:r>
        <w:rPr>
          <w:spacing w:val="-3"/>
        </w:rPr>
        <w:t>他收益</w:t>
      </w:r>
      <w:r>
        <w:rPr>
          <w:rFonts w:ascii="Times New Roman" w:hAnsi="Times New Roman" w:cs="Times New Roman" w:eastAsia="Times New Roman" w:hint="default"/>
          <w:spacing w:val="-3"/>
        </w:rPr>
        <w:t>”</w:t>
      </w:r>
      <w:r>
        <w:rPr>
          <w:spacing w:val="-3"/>
        </w:rPr>
        <w:t>项目中填列，并对可比期间的比较数据进行调整；</w:t>
      </w:r>
    </w:p>
    <w:p>
      <w:pPr>
        <w:spacing w:after="0" w:line="448"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606" w:lineRule="exact"/>
        <w:ind w:left="588" w:right="398"/>
        <w:jc w:val="left"/>
      </w:pPr>
      <w:r>
        <w:rPr>
          <w:rFonts w:ascii="Cambria Math" w:hAnsi="Cambria Math" w:cs="Cambria Math" w:eastAsia="Cambria Math" w:hint="default"/>
          <w:spacing w:val="-3"/>
        </w:rPr>
        <w:t>⑪</w:t>
      </w:r>
      <w:r>
        <w:rPr>
          <w:spacing w:val="-3"/>
        </w:rPr>
        <w:t>公司实际收到的政府补助，无论是与资产相关还是与收益相关，在编制现金流量表时均作为经营活动产生的现金流</w:t>
      </w:r>
    </w:p>
    <w:p>
      <w:pPr>
        <w:pStyle w:val="BodyText"/>
        <w:spacing w:line="142" w:lineRule="exact"/>
        <w:ind w:left="233" w:right="398"/>
        <w:jc w:val="left"/>
      </w:pPr>
      <w:r>
        <w:rPr/>
        <w:t>量列报。</w:t>
      </w:r>
    </w:p>
    <w:p>
      <w:pPr>
        <w:spacing w:line="240" w:lineRule="auto" w:before="13"/>
        <w:rPr>
          <w:rFonts w:ascii="宋体" w:hAnsi="宋体" w:cs="宋体" w:eastAsia="宋体" w:hint="default"/>
          <w:sz w:val="17"/>
          <w:szCs w:val="17"/>
        </w:rPr>
      </w:pPr>
    </w:p>
    <w:p>
      <w:pPr>
        <w:pStyle w:val="BodyText"/>
        <w:spacing w:line="240" w:lineRule="auto"/>
        <w:ind w:left="593" w:right="398"/>
        <w:jc w:val="left"/>
      </w:pPr>
      <w:r>
        <w:rPr>
          <w:spacing w:val="-3"/>
        </w:rPr>
        <w:t>对本期期末财务报表的影响列示如下：</w:t>
      </w:r>
    </w:p>
    <w:p>
      <w:pPr>
        <w:spacing w:line="240" w:lineRule="auto" w:before="8"/>
        <w:rPr>
          <w:rFonts w:ascii="宋体" w:hAnsi="宋体" w:cs="宋体" w:eastAsia="宋体" w:hint="default"/>
          <w:sz w:val="17"/>
          <w:szCs w:val="17"/>
        </w:rPr>
      </w:pPr>
    </w:p>
    <w:p>
      <w:pPr>
        <w:pStyle w:val="BodyText"/>
        <w:spacing w:line="240" w:lineRule="auto"/>
        <w:ind w:left="0" w:right="1122"/>
        <w:jc w:val="right"/>
      </w:pPr>
      <w:r>
        <w:rPr>
          <w:spacing w:val="-2"/>
        </w:rPr>
        <w:t>单位：元</w:t>
      </w:r>
    </w:p>
    <w:p>
      <w:pPr>
        <w:spacing w:line="240" w:lineRule="auto" w:before="12"/>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468"/>
        <w:gridCol w:w="2463"/>
        <w:gridCol w:w="2463"/>
        <w:gridCol w:w="2463"/>
      </w:tblGrid>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按原报表列示金额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按新报表列示金额</w:t>
            </w:r>
          </w:p>
        </w:tc>
      </w:tr>
      <w:tr>
        <w:trPr>
          <w:trHeight w:val="39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391,523,120.23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-391,523,120.23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391,523,120.23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391,523,120.23</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315,616.44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-315,616.44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9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43,580,786.01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315,616.44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pacing w:val="-1"/>
                <w:sz w:val="18"/>
              </w:rPr>
              <w:t>43,896,402.45</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55,722,833.97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-55,722,833.97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45,562,442.24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-45,562,442.24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9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101,285,276.21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101,285,276.21</w:t>
            </w:r>
          </w:p>
        </w:tc>
      </w:tr>
      <w:tr>
        <w:trPr>
          <w:trHeight w:val="40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669,234.71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-669,234.71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18,213,033.35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669,234.71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18,882,268.06</w:t>
            </w:r>
          </w:p>
        </w:tc>
      </w:tr>
      <w:tr>
        <w:trPr>
          <w:trHeight w:val="39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119,476,042.67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-40,622,464.36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78,853,578.31</w:t>
            </w:r>
          </w:p>
        </w:tc>
      </w:tr>
      <w:tr>
        <w:trPr>
          <w:trHeight w:val="40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40,622,464.36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40,622,464.36</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3,750,978.96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-27,908.75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3,723,070.21</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8,152,485.05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27,908.75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8,180,393.80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480" w:lineRule="auto" w:before="46"/>
        <w:ind w:left="233" w:right="398" w:firstLine="360"/>
        <w:jc w:val="left"/>
      </w:pPr>
      <w:r>
        <w:rPr>
          <w:spacing w:val="-6"/>
          <w:w w:val="101"/>
        </w:rPr>
        <w:t>除上述项目变动影响外，本次会计政策变更不涉及对公司以前年度的追溯调整。本次会计政策的变更不会对公司总资产、</w:t>
      </w:r>
      <w:r>
        <w:rPr>
          <w:w w:val="101"/>
        </w:rPr>
        <w:t> </w:t>
      </w:r>
      <w:r>
        <w:rPr>
          <w:spacing w:val="-3"/>
        </w:rPr>
        <w:t>负债总额、净资产及净利润产生任何影响。</w:t>
      </w:r>
    </w:p>
    <w:p>
      <w:pPr>
        <w:spacing w:line="240" w:lineRule="auto" w:before="6"/>
        <w:rPr>
          <w:rFonts w:ascii="宋体" w:hAnsi="宋体" w:cs="宋体" w:eastAsia="宋体" w:hint="default"/>
          <w:sz w:val="16"/>
          <w:szCs w:val="16"/>
        </w:rPr>
      </w:pPr>
    </w:p>
    <w:p>
      <w:pPr>
        <w:pStyle w:val="Heading2"/>
        <w:spacing w:line="240" w:lineRule="auto"/>
        <w:ind w:left="233" w:right="398"/>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412" w:lineRule="auto"/>
        <w:ind w:left="593" w:right="39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报告期内，本公司设立全资子公司深圳银之杰拓扑技术有限公司，合并报表范围增加</w:t>
      </w:r>
      <w:r>
        <w:rPr>
          <w:rFonts w:ascii="宋体" w:hAnsi="宋体" w:cs="宋体" w:eastAsia="宋体" w:hint="default"/>
          <w:spacing w:val="-3"/>
        </w:rPr>
        <w:t>1</w:t>
      </w:r>
      <w:r>
        <w:rPr>
          <w:spacing w:val="-3"/>
        </w:rPr>
        <w:t>户；同时，全资子公司深圳市银</w:t>
      </w:r>
    </w:p>
    <w:p>
      <w:pPr>
        <w:pStyle w:val="BodyText"/>
        <w:spacing w:line="480" w:lineRule="auto" w:before="100"/>
        <w:ind w:left="233" w:right="1117"/>
        <w:jc w:val="left"/>
      </w:pPr>
      <w:r>
        <w:rPr>
          <w:spacing w:val="-4"/>
          <w:w w:val="101"/>
        </w:rPr>
        <w:t>之杰金融设备有限公司的股东由本公司变更为全资子公司深圳银之杰智慧科技有限公司，深圳市银之杰金融设备有限公司变</w:t>
      </w:r>
      <w:r>
        <w:rPr>
          <w:w w:val="101"/>
        </w:rPr>
        <w:t> </w:t>
      </w:r>
      <w:r>
        <w:rPr>
          <w:spacing w:val="-3"/>
        </w:rPr>
        <w:t>更为公司全资孙公司，合并报表范围减少</w:t>
      </w:r>
      <w:r>
        <w:rPr>
          <w:rFonts w:ascii="宋体" w:hAnsi="宋体" w:cs="宋体" w:eastAsia="宋体" w:hint="default"/>
          <w:spacing w:val="-3"/>
        </w:rPr>
        <w:t>1</w:t>
      </w:r>
      <w:r>
        <w:rPr>
          <w:spacing w:val="-3"/>
        </w:rPr>
        <w:t>户。综上，报告期内有</w:t>
      </w:r>
      <w:r>
        <w:rPr>
          <w:rFonts w:ascii="宋体" w:hAnsi="宋体" w:cs="宋体" w:eastAsia="宋体" w:hint="default"/>
          <w:spacing w:val="-3"/>
        </w:rPr>
        <w:t>5</w:t>
      </w:r>
      <w:r>
        <w:rPr>
          <w:spacing w:val="-3"/>
        </w:rPr>
        <w:t>家子公司纳入本期合并财务报表范围。</w:t>
      </w:r>
    </w:p>
    <w:p>
      <w:pPr>
        <w:spacing w:after="0" w:line="480" w:lineRule="auto"/>
        <w:jc w:val="left"/>
        <w:sectPr>
          <w:pgSz w:w="11910" w:h="16840"/>
          <w:pgMar w:header="871" w:footer="1186" w:top="1100" w:bottom="1380" w:left="900" w:right="0"/>
        </w:sectPr>
      </w:pPr>
    </w:p>
    <w:p>
      <w:pPr>
        <w:spacing w:line="240" w:lineRule="auto" w:before="7"/>
        <w:rPr>
          <w:rFonts w:ascii="宋体" w:hAnsi="宋体" w:cs="宋体" w:eastAsia="宋体" w:hint="default"/>
          <w:sz w:val="19"/>
          <w:szCs w:val="19"/>
        </w:rPr>
      </w:pPr>
    </w:p>
    <w:p>
      <w:pPr>
        <w:pStyle w:val="Heading2"/>
        <w:spacing w:line="240" w:lineRule="auto" w:before="26"/>
        <w:ind w:right="1055"/>
        <w:jc w:val="left"/>
        <w:rPr>
          <w:b w:val="0"/>
          <w:bCs w:val="0"/>
        </w:rPr>
      </w:pP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055"/>
        <w:jc w:val="left"/>
      </w:pPr>
      <w:r>
        <w:rPr>
          <w:spacing w:val="-3"/>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8"/>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85</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张翎、昝丽涛</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bl>
    <w:p>
      <w:pPr>
        <w:pStyle w:val="BodyText"/>
        <w:spacing w:line="240" w:lineRule="auto" w:before="53"/>
        <w:ind w:right="1055"/>
        <w:jc w:val="left"/>
      </w:pPr>
      <w:r>
        <w:rPr/>
        <w:t>是否改聘会计师事务所</w:t>
      </w:r>
    </w:p>
    <w:p>
      <w:pPr>
        <w:pStyle w:val="BodyText"/>
        <w:spacing w:line="338" w:lineRule="auto" w:before="119"/>
        <w:ind w:right="582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417" w:lineRule="auto" w:before="41"/>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公司已于</w:t>
      </w:r>
      <w:r>
        <w:rPr>
          <w:rFonts w:ascii="宋体" w:hAnsi="宋体" w:cs="宋体" w:eastAsia="宋体" w:hint="default"/>
          <w:spacing w:val="-4"/>
        </w:rPr>
        <w:t>2017</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30</w:t>
      </w:r>
      <w:r>
        <w:rPr>
          <w:spacing w:val="-4"/>
        </w:rPr>
        <w:t>日召开第四届董事会第八次会议，审议通过了公司重大资产重组的相关议案，并与华英证券有限</w:t>
      </w:r>
    </w:p>
    <w:p>
      <w:pPr>
        <w:pStyle w:val="BodyText"/>
        <w:spacing w:line="477" w:lineRule="auto" w:before="97"/>
        <w:ind w:right="1055"/>
        <w:jc w:val="left"/>
      </w:pPr>
      <w:r>
        <w:rPr>
          <w:spacing w:val="-6"/>
        </w:rPr>
        <w:t>责任公司（以下简称“华英证券”）签署了《深圳市银之杰科技股份有限公司与华英证券有限责任公司之财务顾问协议书》，</w:t>
      </w:r>
      <w:r>
        <w:rPr>
          <w:spacing w:val="67"/>
        </w:rPr>
        <w:t> </w:t>
      </w:r>
      <w:r>
        <w:rPr>
          <w:spacing w:val="67"/>
        </w:rPr>
      </w:r>
      <w:r>
        <w:rPr>
          <w:spacing w:val="-4"/>
        </w:rPr>
        <w:t>华英证券指定王茜、周依黎担任公司重大资产重组的独立财务顾问主办人，提供本次重大资产重组的财务顾问服务。公司分</w:t>
      </w:r>
      <w:r>
        <w:rPr>
          <w:spacing w:val="43"/>
        </w:rPr>
        <w:t> </w:t>
      </w:r>
      <w:r>
        <w:rPr>
          <w:spacing w:val="43"/>
        </w:rPr>
      </w:r>
      <w:r>
        <w:rPr>
          <w:spacing w:val="-3"/>
        </w:rPr>
        <w:t>别于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9</w:t>
      </w: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26</w:t>
      </w:r>
      <w:r>
        <w:rPr>
          <w:spacing w:val="-3"/>
        </w:rPr>
        <w:t>日召开第四届董事会第十五次会议和</w:t>
      </w:r>
      <w:r>
        <w:rPr>
          <w:rFonts w:ascii="宋体" w:hAnsi="宋体" w:cs="宋体" w:eastAsia="宋体" w:hint="default"/>
          <w:spacing w:val="-3"/>
        </w:rPr>
        <w:t>2018</w:t>
      </w:r>
      <w:r>
        <w:rPr>
          <w:spacing w:val="-3"/>
        </w:rPr>
        <w:t>年第三次临时股东大会，审议通过了《关于公</w:t>
      </w:r>
      <w:r>
        <w:rPr>
          <w:spacing w:val="9"/>
        </w:rPr>
        <w:t> </w:t>
      </w:r>
      <w:r>
        <w:rPr>
          <w:spacing w:val="9"/>
        </w:rPr>
      </w:r>
      <w:r>
        <w:rPr>
          <w:spacing w:val="-5"/>
        </w:rPr>
        <w:t>司终止发行股份及支付现金购买资产并募集配套资金事项的议案》及《关于公司与交易对方签署重大资产重组终止协议的议</w:t>
      </w:r>
      <w:r>
        <w:rPr>
          <w:spacing w:val="6"/>
        </w:rPr>
        <w:t> </w:t>
      </w:r>
      <w:r>
        <w:rPr>
          <w:spacing w:val="6"/>
        </w:rPr>
      </w:r>
      <w:r>
        <w:rPr>
          <w:spacing w:val="-4"/>
        </w:rPr>
        <w:t>案》，因交易标的公司慧博科技</w:t>
      </w:r>
      <w:r>
        <w:rPr>
          <w:rFonts w:ascii="宋体" w:hAnsi="宋体" w:cs="宋体" w:eastAsia="宋体" w:hint="default"/>
          <w:spacing w:val="-4"/>
        </w:rPr>
        <w:t>2018</w:t>
      </w:r>
      <w:r>
        <w:rPr>
          <w:spacing w:val="-4"/>
        </w:rPr>
        <w:t>年前三季度业绩未达预期及对未来能否完成业绩承诺目标存在不确定性，经公司董事会</w:t>
      </w:r>
      <w:r>
        <w:rPr>
          <w:spacing w:val="51"/>
        </w:rPr>
        <w:t> </w:t>
      </w:r>
      <w:r>
        <w:rPr>
          <w:spacing w:val="51"/>
        </w:rPr>
      </w:r>
      <w:r>
        <w:rPr>
          <w:spacing w:val="-4"/>
        </w:rPr>
        <w:t>研究并与交易对方友好协商，交易各方决定终止发行股份及支付现金购买慧博科技</w:t>
      </w:r>
      <w:r>
        <w:rPr>
          <w:rFonts w:ascii="宋体" w:hAnsi="宋体" w:cs="宋体" w:eastAsia="宋体" w:hint="default"/>
          <w:spacing w:val="-4"/>
        </w:rPr>
        <w:t>100%</w:t>
      </w:r>
      <w:r>
        <w:rPr>
          <w:spacing w:val="-4"/>
        </w:rPr>
        <w:t>股权并募集配套资金事项，签署重大</w:t>
      </w:r>
      <w:r>
        <w:rPr>
          <w:spacing w:val="53"/>
        </w:rPr>
        <w:t> </w:t>
      </w:r>
      <w:r>
        <w:rPr>
          <w:spacing w:val="53"/>
        </w:rPr>
      </w:r>
      <w:r>
        <w:rPr>
          <w:spacing w:val="-3"/>
        </w:rPr>
        <w:t>资产重组终止协议，同时公司向中国证监会申请撤回本次重大资产重组相关申请文件。</w:t>
      </w:r>
    </w:p>
    <w:p>
      <w:pPr>
        <w:pStyle w:val="BodyText"/>
        <w:spacing w:line="475" w:lineRule="auto" w:before="56"/>
        <w:ind w:right="1055" w:firstLine="360"/>
        <w:jc w:val="left"/>
      </w:pPr>
      <w:r>
        <w:rPr>
          <w:rFonts w:ascii="宋体" w:hAnsi="宋体" w:cs="宋体" w:eastAsia="宋体" w:hint="default"/>
          <w:spacing w:val="-3"/>
        </w:rPr>
        <w:t>2017</w:t>
      </w:r>
      <w:r>
        <w:rPr>
          <w:spacing w:val="-3"/>
        </w:rPr>
        <w:t>年，公司因重大资产重组事项，聘请华英证券有限责任公司为公司财务顾问。</w:t>
      </w:r>
      <w:r>
        <w:rPr>
          <w:rFonts w:ascii="宋体" w:hAnsi="宋体" w:cs="宋体" w:eastAsia="宋体" w:hint="default"/>
          <w:spacing w:val="-3"/>
        </w:rPr>
        <w:t>2018</w:t>
      </w:r>
      <w:r>
        <w:rPr>
          <w:spacing w:val="-3"/>
        </w:rPr>
        <w:t>年，因重大资产重组项目终止，</w:t>
      </w:r>
      <w:r>
        <w:rPr>
          <w:w w:val="101"/>
        </w:rPr>
        <w:t> </w:t>
      </w:r>
      <w:r>
        <w:rPr/>
        <w:t>期间共支付财务顾问费</w:t>
      </w:r>
      <w:r>
        <w:rPr>
          <w:rFonts w:ascii="宋体" w:hAnsi="宋体" w:cs="宋体" w:eastAsia="宋体" w:hint="default"/>
        </w:rPr>
        <w:t>318</w:t>
      </w:r>
      <w:r>
        <w:rPr/>
        <w:t>万元。</w:t>
      </w:r>
    </w:p>
    <w:p>
      <w:pPr>
        <w:spacing w:line="240" w:lineRule="auto" w:before="2"/>
        <w:rPr>
          <w:rFonts w:ascii="宋体" w:hAnsi="宋体" w:cs="宋体" w:eastAsia="宋体" w:hint="default"/>
          <w:sz w:val="17"/>
          <w:szCs w:val="17"/>
        </w:rPr>
      </w:pPr>
    </w:p>
    <w:p>
      <w:pPr>
        <w:pStyle w:val="Heading2"/>
        <w:spacing w:line="240" w:lineRule="auto"/>
        <w:ind w:right="1055"/>
        <w:jc w:val="left"/>
        <w:rPr>
          <w:b w:val="0"/>
          <w:bCs w:val="0"/>
        </w:rPr>
      </w:pPr>
      <w:r>
        <w:rPr/>
        <w:t>九、年度报告披露后面临暂停上市和终止上市情况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十、破产重整相关事项</w:t>
      </w:r>
      <w:r>
        <w:rPr>
          <w:b w:val="0"/>
          <w:bCs w:val="0"/>
        </w:rPr>
      </w:r>
    </w:p>
    <w:p>
      <w:pPr>
        <w:spacing w:line="240" w:lineRule="auto" w:before="8"/>
        <w:rPr>
          <w:rFonts w:ascii="宋体" w:hAnsi="宋体" w:cs="宋体" w:eastAsia="宋体" w:hint="default"/>
          <w:b/>
          <w:bCs/>
          <w:sz w:val="27"/>
          <w:szCs w:val="27"/>
        </w:rPr>
      </w:pPr>
    </w:p>
    <w:p>
      <w:pPr>
        <w:pStyle w:val="BodyText"/>
        <w:spacing w:line="410" w:lineRule="auto"/>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10"/>
        <w:rPr>
          <w:rFonts w:ascii="宋体" w:hAnsi="宋体" w:cs="宋体" w:eastAsia="宋体" w:hint="default"/>
          <w:sz w:val="20"/>
          <w:szCs w:val="20"/>
        </w:rPr>
      </w:pPr>
    </w:p>
    <w:p>
      <w:pPr>
        <w:pStyle w:val="Heading2"/>
        <w:spacing w:line="240" w:lineRule="auto"/>
        <w:ind w:right="1055"/>
        <w:jc w:val="left"/>
        <w:rPr>
          <w:b w:val="0"/>
          <w:bCs w:val="0"/>
        </w:rPr>
      </w:pPr>
      <w:r>
        <w:rPr/>
        <w:t>十一、重大诉讼、仲裁事项</w:t>
      </w:r>
      <w:r>
        <w:rPr>
          <w:b w:val="0"/>
          <w:bCs w:val="0"/>
        </w:rPr>
      </w:r>
    </w:p>
    <w:p>
      <w:pPr>
        <w:spacing w:line="240" w:lineRule="auto" w:before="3"/>
        <w:rPr>
          <w:rFonts w:ascii="宋体" w:hAnsi="宋体" w:cs="宋体" w:eastAsia="宋体" w:hint="default"/>
          <w:b/>
          <w:bCs/>
          <w:sz w:val="27"/>
          <w:szCs w:val="27"/>
        </w:rPr>
      </w:pPr>
    </w:p>
    <w:p>
      <w:pPr>
        <w:pStyle w:val="BodyText"/>
        <w:spacing w:line="415" w:lineRule="auto"/>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p>
    <w:p>
      <w:pPr>
        <w:spacing w:after="0" w:line="415" w:lineRule="auto"/>
        <w:jc w:val="left"/>
        <w:sectPr>
          <w:pgSz w:w="11910" w:h="16840"/>
          <w:pgMar w:header="871" w:footer="1186" w:top="1100" w:bottom="13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1055"/>
        <w:jc w:val="left"/>
        <w:rPr>
          <w:b w:val="0"/>
          <w:bCs w:val="0"/>
        </w:rPr>
      </w:pPr>
      <w:r>
        <w:rPr/>
        <w:t>十二、处罚及整改情况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412" w:lineRule="auto"/>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9"/>
        <w:rPr>
          <w:rFonts w:ascii="宋体" w:hAnsi="宋体" w:cs="宋体" w:eastAsia="宋体" w:hint="default"/>
          <w:sz w:val="20"/>
          <w:szCs w:val="20"/>
        </w:rPr>
      </w:pPr>
    </w:p>
    <w:p>
      <w:pPr>
        <w:pStyle w:val="Heading2"/>
        <w:spacing w:line="240" w:lineRule="auto"/>
        <w:ind w:right="1055"/>
        <w:jc w:val="left"/>
        <w:rPr>
          <w:b w:val="0"/>
          <w:bCs w:val="0"/>
        </w:rPr>
      </w:pPr>
      <w:r>
        <w:rPr/>
        <w:t>十三、公司及其控股股东、实际控制人的诚信状况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410" w:lineRule="auto"/>
        <w:ind w:left="513" w:right="388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line="240" w:lineRule="auto" w:before="11"/>
        <w:rPr>
          <w:rFonts w:ascii="宋体" w:hAnsi="宋体" w:cs="宋体" w:eastAsia="宋体" w:hint="default"/>
          <w:sz w:val="20"/>
          <w:szCs w:val="20"/>
        </w:rPr>
      </w:pPr>
    </w:p>
    <w:p>
      <w:pPr>
        <w:pStyle w:val="Heading2"/>
        <w:spacing w:line="240" w:lineRule="auto"/>
        <w:ind w:right="1055"/>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5823"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13"/>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left="513" w:right="5823"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13"/>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0"/>
        <w:rPr>
          <w:rFonts w:ascii="宋体" w:hAnsi="宋体" w:cs="宋体" w:eastAsia="宋体" w:hint="default"/>
          <w:b/>
          <w:bCs/>
          <w:sz w:val="26"/>
          <w:szCs w:val="26"/>
        </w:rPr>
      </w:pPr>
    </w:p>
    <w:p>
      <w:pPr>
        <w:pStyle w:val="BodyText"/>
        <w:spacing w:line="415" w:lineRule="auto"/>
        <w:ind w:left="513" w:right="6570"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6"/>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415" w:lineRule="auto"/>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6"/>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26"/>
          <w:szCs w:val="26"/>
        </w:rPr>
      </w:pPr>
    </w:p>
    <w:p>
      <w:pPr>
        <w:pStyle w:val="BodyText"/>
        <w:spacing w:line="415" w:lineRule="auto"/>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4"/>
        </w:rPr>
        <w:t>2018</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20</w:t>
      </w:r>
      <w:r>
        <w:rPr>
          <w:spacing w:val="-4"/>
        </w:rPr>
        <w:t>日，公司第四届董事会第十三次会议以</w:t>
      </w:r>
      <w:r>
        <w:rPr>
          <w:rFonts w:ascii="宋体" w:hAnsi="宋体" w:cs="宋体" w:eastAsia="宋体" w:hint="default"/>
          <w:spacing w:val="-4"/>
        </w:rPr>
        <w:t>5</w:t>
      </w:r>
      <w:r>
        <w:rPr>
          <w:spacing w:val="-4"/>
        </w:rPr>
        <w:t>票同意，</w:t>
      </w:r>
      <w:r>
        <w:rPr>
          <w:rFonts w:ascii="宋体" w:hAnsi="宋体" w:cs="宋体" w:eastAsia="宋体" w:hint="default"/>
          <w:spacing w:val="-4"/>
        </w:rPr>
        <w:t>0</w:t>
      </w:r>
      <w:r>
        <w:rPr>
          <w:spacing w:val="-4"/>
        </w:rPr>
        <w:t>票反对，</w:t>
      </w:r>
      <w:r>
        <w:rPr>
          <w:rFonts w:ascii="宋体" w:hAnsi="宋体" w:cs="宋体" w:eastAsia="宋体" w:hint="default"/>
          <w:spacing w:val="-4"/>
        </w:rPr>
        <w:t>0</w:t>
      </w:r>
      <w:r>
        <w:rPr>
          <w:spacing w:val="-4"/>
        </w:rPr>
        <w:t>票弃权审议通过《关于日常关联交易预计的议</w:t>
      </w:r>
    </w:p>
    <w:p>
      <w:pPr>
        <w:spacing w:after="0" w:line="415"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1122"/>
        <w:jc w:val="both"/>
      </w:pPr>
      <w:r>
        <w:rPr>
          <w:spacing w:val="-4"/>
        </w:rPr>
        <w:t>案》，关联董事陈向军、李军、冯军和刘奕对该议案回避表决。公司预计</w:t>
      </w:r>
      <w:r>
        <w:rPr>
          <w:rFonts w:ascii="宋体" w:hAnsi="宋体" w:cs="宋体" w:eastAsia="宋体" w:hint="default"/>
          <w:spacing w:val="-4"/>
        </w:rPr>
        <w:t>2018</w:t>
      </w:r>
      <w:r>
        <w:rPr>
          <w:spacing w:val="-4"/>
        </w:rPr>
        <w:t>年度公司全资子公司亿美软通向关联方华道征</w:t>
      </w:r>
      <w:r>
        <w:rPr>
          <w:spacing w:val="48"/>
        </w:rPr>
        <w:t> </w:t>
      </w:r>
      <w:r>
        <w:rPr>
          <w:spacing w:val="48"/>
        </w:rPr>
      </w:r>
      <w:r>
        <w:rPr>
          <w:spacing w:val="-3"/>
        </w:rPr>
        <w:t>信销售商品、采购原材料，预计总金额不超过</w:t>
      </w:r>
      <w:r>
        <w:rPr>
          <w:rFonts w:ascii="宋体" w:hAnsi="宋体" w:cs="宋体" w:eastAsia="宋体" w:hint="default"/>
          <w:spacing w:val="-3"/>
        </w:rPr>
        <w:t>3,300</w:t>
      </w:r>
      <w:r>
        <w:rPr>
          <w:spacing w:val="-3"/>
        </w:rPr>
        <w:t>万元。上述关联交易预计事项在董事会审批权限之内，无需提交股东大</w:t>
      </w:r>
      <w:r>
        <w:rPr>
          <w:spacing w:val="77"/>
        </w:rPr>
        <w:t> </w:t>
      </w:r>
      <w:r>
        <w:rPr>
          <w:spacing w:val="77"/>
        </w:rPr>
      </w:r>
      <w:r>
        <w:rPr/>
        <w:t>会审议。</w:t>
      </w:r>
    </w:p>
    <w:p>
      <w:pPr>
        <w:pStyle w:val="BodyText"/>
        <w:spacing w:line="480" w:lineRule="auto" w:before="52"/>
        <w:ind w:right="1055" w:firstLine="360"/>
        <w:jc w:val="left"/>
      </w:pPr>
      <w:r>
        <w:rPr>
          <w:rFonts w:ascii="宋体" w:hAnsi="宋体" w:cs="宋体" w:eastAsia="宋体" w:hint="default"/>
          <w:spacing w:val="-4"/>
        </w:rPr>
        <w:t>2018</w:t>
      </w:r>
      <w:r>
        <w:rPr>
          <w:spacing w:val="-4"/>
        </w:rPr>
        <w:t>年度，公司全资子公司亿美软通向关联方华道征信实际关联交易金额合计</w:t>
      </w:r>
      <w:r>
        <w:rPr>
          <w:rFonts w:ascii="宋体" w:hAnsi="宋体" w:cs="宋体" w:eastAsia="宋体" w:hint="default"/>
          <w:spacing w:val="-4"/>
        </w:rPr>
        <w:t>2,505.54</w:t>
      </w:r>
      <w:r>
        <w:rPr>
          <w:spacing w:val="-4"/>
        </w:rPr>
        <w:t>万元（不含税），未超过年度预</w:t>
      </w:r>
      <w:r>
        <w:rPr>
          <w:w w:val="101"/>
        </w:rPr>
        <w:t> </w:t>
      </w:r>
      <w:r>
        <w:rPr/>
        <w:t>计金额。</w:t>
      </w:r>
    </w:p>
    <w:p>
      <w:pPr>
        <w:pStyle w:val="BodyText"/>
        <w:spacing w:line="240" w:lineRule="auto" w:before="11"/>
        <w:ind w:right="0"/>
        <w:jc w:val="both"/>
      </w:pPr>
      <w:r>
        <w:rPr>
          <w:spacing w:val="-3"/>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2650"/>
        <w:gridCol w:w="3458"/>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日常关联交易预计公告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pacing w:val="-3"/>
                  <w:sz w:val="18"/>
                  <w:szCs w:val="18"/>
                </w:rPr>
                <w:t>www.cninfo.com.cn</w:t>
              </w:r>
            </w:hyperlink>
          </w:p>
        </w:tc>
      </w:tr>
    </w:tbl>
    <w:p>
      <w:pPr>
        <w:spacing w:line="240" w:lineRule="auto" w:before="9"/>
        <w:rPr>
          <w:rFonts w:ascii="宋体" w:hAnsi="宋体" w:cs="宋体" w:eastAsia="宋体" w:hint="default"/>
          <w:sz w:val="17"/>
          <w:szCs w:val="17"/>
        </w:rPr>
      </w:pPr>
    </w:p>
    <w:p>
      <w:pPr>
        <w:pStyle w:val="Heading2"/>
        <w:spacing w:line="240" w:lineRule="auto" w:before="26"/>
        <w:ind w:right="1055"/>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806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8"/>
        <w:rPr>
          <w:rFonts w:ascii="宋体" w:hAnsi="宋体" w:cs="宋体" w:eastAsia="宋体" w:hint="default"/>
          <w:sz w:val="22"/>
          <w:szCs w:val="22"/>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806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8"/>
        <w:rPr>
          <w:rFonts w:ascii="宋体" w:hAnsi="宋体" w:cs="宋体" w:eastAsia="宋体" w:hint="default"/>
          <w:sz w:val="22"/>
          <w:szCs w:val="22"/>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42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租赁情况说明</w:t>
      </w:r>
    </w:p>
    <w:p>
      <w:pPr>
        <w:pStyle w:val="BodyText"/>
        <w:spacing w:line="477" w:lineRule="auto" w:before="118"/>
        <w:ind w:right="1044" w:firstLine="360"/>
        <w:jc w:val="left"/>
      </w:pPr>
      <w:r>
        <w:rPr>
          <w:rFonts w:ascii="宋体" w:hAnsi="宋体" w:cs="宋体" w:eastAsia="宋体" w:hint="default"/>
        </w:rPr>
        <w:t>1.</w:t>
      </w:r>
      <w:r>
        <w:rPr>
          <w:rFonts w:ascii="宋体" w:hAnsi="宋体" w:cs="宋体" w:eastAsia="宋体" w:hint="default"/>
          <w:spacing w:val="9"/>
        </w:rPr>
        <w:t> </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月，公司与冯苏军、杨春葵续签了《房屋租赁合同》，约定将冯苏军、杨春葵位于深圳市福田区车公庙天安</w:t>
      </w:r>
      <w:r>
        <w:rPr>
          <w:w w:val="101"/>
        </w:rPr>
        <w:t> </w:t>
      </w:r>
      <w:r>
        <w:rPr>
          <w:spacing w:val="-3"/>
        </w:rPr>
        <w:t>数码城天祥大厦</w:t>
      </w:r>
      <w:r>
        <w:rPr>
          <w:rFonts w:ascii="宋体" w:hAnsi="宋体" w:cs="宋体" w:eastAsia="宋体" w:hint="default"/>
          <w:spacing w:val="-3"/>
        </w:rPr>
        <w:t>AB</w:t>
      </w:r>
      <w:r>
        <w:rPr>
          <w:spacing w:val="-3"/>
        </w:rPr>
        <w:t>座</w:t>
      </w:r>
      <w:r>
        <w:rPr>
          <w:rFonts w:ascii="宋体" w:hAnsi="宋体" w:cs="宋体" w:eastAsia="宋体" w:hint="default"/>
          <w:spacing w:val="-3"/>
        </w:rPr>
        <w:t>10A-1</w:t>
      </w:r>
      <w:r>
        <w:rPr>
          <w:spacing w:val="-3"/>
        </w:rPr>
        <w:t>、</w:t>
      </w:r>
      <w:r>
        <w:rPr>
          <w:rFonts w:ascii="宋体" w:hAnsi="宋体" w:cs="宋体" w:eastAsia="宋体" w:hint="default"/>
          <w:spacing w:val="-3"/>
        </w:rPr>
        <w:t>10A-2</w:t>
      </w:r>
      <w:r>
        <w:rPr>
          <w:spacing w:val="-3"/>
        </w:rPr>
        <w:t>的房产出租给公司办公，租赁面积分别为</w:t>
      </w:r>
      <w:r>
        <w:rPr>
          <w:rFonts w:ascii="宋体" w:hAnsi="宋体" w:cs="宋体" w:eastAsia="宋体" w:hint="default"/>
          <w:spacing w:val="-3"/>
        </w:rPr>
        <w:t>400</w:t>
      </w:r>
      <w:r>
        <w:rPr>
          <w:spacing w:val="-3"/>
        </w:rPr>
        <w:t>平方米、</w:t>
      </w:r>
      <w:r>
        <w:rPr>
          <w:rFonts w:ascii="宋体" w:hAnsi="宋体" w:cs="宋体" w:eastAsia="宋体" w:hint="default"/>
          <w:spacing w:val="-3"/>
        </w:rPr>
        <w:t>812.48</w:t>
      </w:r>
      <w:r>
        <w:rPr>
          <w:spacing w:val="-3"/>
        </w:rPr>
        <w:t>平方米，月租金分别为</w:t>
      </w:r>
      <w:r>
        <w:rPr>
          <w:spacing w:val="6"/>
        </w:rPr>
        <w:t> </w:t>
      </w:r>
      <w:r>
        <w:rPr>
          <w:spacing w:val="6"/>
        </w:rPr>
      </w:r>
      <w:r>
        <w:rPr>
          <w:rFonts w:ascii="宋体" w:hAnsi="宋体" w:cs="宋体" w:eastAsia="宋体" w:hint="default"/>
          <w:spacing w:val="-4"/>
        </w:rPr>
        <w:t>58,652.00</w:t>
      </w:r>
      <w:r>
        <w:rPr>
          <w:spacing w:val="-4"/>
        </w:rPr>
        <w:t>元、</w:t>
      </w:r>
      <w:r>
        <w:rPr>
          <w:rFonts w:ascii="宋体" w:hAnsi="宋体" w:cs="宋体" w:eastAsia="宋体" w:hint="default"/>
          <w:spacing w:val="-4"/>
        </w:rPr>
        <w:t>119,133.94</w:t>
      </w:r>
      <w:r>
        <w:rPr>
          <w:spacing w:val="-4"/>
        </w:rPr>
        <w:t>元，租赁期自</w:t>
      </w:r>
      <w:r>
        <w:rPr>
          <w:rFonts w:ascii="宋体" w:hAnsi="宋体" w:cs="宋体" w:eastAsia="宋体" w:hint="default"/>
          <w:spacing w:val="-4"/>
        </w:rPr>
        <w:t>2017</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31</w:t>
      </w:r>
      <w:r>
        <w:rPr>
          <w:spacing w:val="-4"/>
        </w:rPr>
        <w:t>日止。该房屋租赁合同已经深圳市福田区房屋租赁管理</w:t>
      </w:r>
      <w:r>
        <w:rPr>
          <w:spacing w:val="20"/>
        </w:rPr>
        <w:t> </w:t>
      </w:r>
      <w:r>
        <w:rPr>
          <w:spacing w:val="20"/>
        </w:rPr>
      </w:r>
      <w:r>
        <w:rPr>
          <w:spacing w:val="-2"/>
        </w:rPr>
        <w:t>局备案，合同登记备案号分别为“深房租福田2017001609”、“深房租福田2017001610”。</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月，公司与冯苏军、杨</w:t>
      </w:r>
      <w:r>
        <w:rPr>
          <w:spacing w:val="39"/>
        </w:rPr>
        <w:t> </w:t>
      </w:r>
      <w:r>
        <w:rPr>
          <w:spacing w:val="39"/>
        </w:rPr>
      </w:r>
      <w:r>
        <w:rPr>
          <w:spacing w:val="-3"/>
        </w:rPr>
        <w:t>春葵续签了《房屋租赁合同》，约定将冯苏军、杨春葵位于深圳市福田区车公庙天安数码城天祥大厦</w:t>
      </w:r>
      <w:r>
        <w:rPr>
          <w:rFonts w:ascii="宋体" w:hAnsi="宋体" w:cs="宋体" w:eastAsia="宋体" w:hint="default"/>
          <w:spacing w:val="-3"/>
        </w:rPr>
        <w:t>AB</w:t>
      </w:r>
      <w:r>
        <w:rPr>
          <w:spacing w:val="-3"/>
        </w:rPr>
        <w:t>座</w:t>
      </w:r>
      <w:r>
        <w:rPr>
          <w:rFonts w:ascii="宋体" w:hAnsi="宋体" w:cs="宋体" w:eastAsia="宋体" w:hint="default"/>
          <w:spacing w:val="-3"/>
        </w:rPr>
        <w:t>10A-2B</w:t>
      </w:r>
      <w:r>
        <w:rPr>
          <w:spacing w:val="-3"/>
        </w:rPr>
        <w:t>、</w:t>
      </w:r>
      <w:r>
        <w:rPr>
          <w:rFonts w:ascii="宋体" w:hAnsi="宋体" w:cs="宋体" w:eastAsia="宋体" w:hint="default"/>
          <w:spacing w:val="-3"/>
        </w:rPr>
        <w:t>10A-2A</w:t>
      </w:r>
      <w:r>
        <w:rPr>
          <w:spacing w:val="-3"/>
        </w:rPr>
        <w:t>、</w:t>
      </w:r>
      <w:r>
        <w:rPr>
          <w:spacing w:val="1"/>
        </w:rPr>
        <w:t> </w:t>
      </w:r>
      <w:r>
        <w:rPr>
          <w:rFonts w:ascii="宋体" w:hAnsi="宋体" w:cs="宋体" w:eastAsia="宋体" w:hint="default"/>
          <w:spacing w:val="-7"/>
          <w:w w:val="101"/>
        </w:rPr>
        <w:t>10A-2C</w:t>
      </w:r>
      <w:r>
        <w:rPr>
          <w:spacing w:val="-7"/>
          <w:w w:val="101"/>
        </w:rPr>
        <w:t>和</w:t>
      </w:r>
      <w:r>
        <w:rPr>
          <w:rFonts w:ascii="宋体" w:hAnsi="宋体" w:cs="宋体" w:eastAsia="宋体" w:hint="default"/>
          <w:spacing w:val="-7"/>
          <w:w w:val="101"/>
        </w:rPr>
        <w:t>10A-1</w:t>
      </w:r>
      <w:r>
        <w:rPr>
          <w:spacing w:val="-7"/>
          <w:w w:val="101"/>
        </w:rPr>
        <w:t>的房屋出租给公司使用，租赁面积分别为</w:t>
      </w:r>
      <w:r>
        <w:rPr>
          <w:rFonts w:ascii="宋体" w:hAnsi="宋体" w:cs="宋体" w:eastAsia="宋体" w:hint="default"/>
          <w:spacing w:val="-7"/>
          <w:w w:val="101"/>
        </w:rPr>
        <w:t>300</w:t>
      </w:r>
      <w:r>
        <w:rPr>
          <w:spacing w:val="-7"/>
          <w:w w:val="101"/>
        </w:rPr>
        <w:t>平方米、</w:t>
      </w:r>
      <w:r>
        <w:rPr>
          <w:rFonts w:ascii="宋体" w:hAnsi="宋体" w:cs="宋体" w:eastAsia="宋体" w:hint="default"/>
          <w:spacing w:val="-7"/>
          <w:w w:val="101"/>
        </w:rPr>
        <w:t>300</w:t>
      </w:r>
      <w:r>
        <w:rPr>
          <w:spacing w:val="-7"/>
          <w:w w:val="101"/>
        </w:rPr>
        <w:t>平米、</w:t>
      </w:r>
      <w:r>
        <w:rPr>
          <w:rFonts w:ascii="宋体" w:hAnsi="宋体" w:cs="宋体" w:eastAsia="宋体" w:hint="default"/>
          <w:spacing w:val="-7"/>
          <w:w w:val="101"/>
        </w:rPr>
        <w:t>212.48</w:t>
      </w:r>
      <w:r>
        <w:rPr>
          <w:spacing w:val="-7"/>
          <w:w w:val="101"/>
        </w:rPr>
        <w:t>平米和</w:t>
      </w:r>
      <w:r>
        <w:rPr>
          <w:rFonts w:ascii="宋体" w:hAnsi="宋体" w:cs="宋体" w:eastAsia="宋体" w:hint="default"/>
          <w:spacing w:val="-7"/>
          <w:w w:val="101"/>
        </w:rPr>
        <w:t>400</w:t>
      </w:r>
      <w:r>
        <w:rPr>
          <w:spacing w:val="-7"/>
          <w:w w:val="101"/>
        </w:rPr>
        <w:t>平米，月租金分别为</w:t>
      </w:r>
      <w:r>
        <w:rPr>
          <w:rFonts w:ascii="宋体" w:hAnsi="宋体" w:cs="宋体" w:eastAsia="宋体" w:hint="default"/>
          <w:spacing w:val="-7"/>
          <w:w w:val="101"/>
        </w:rPr>
        <w:t>42,000.00</w:t>
      </w:r>
      <w:r>
        <w:rPr>
          <w:rFonts w:ascii="宋体" w:hAnsi="宋体" w:cs="宋体" w:eastAsia="宋体" w:hint="default"/>
          <w:spacing w:val="-70"/>
          <w:w w:val="101"/>
        </w:rPr>
        <w:t> </w:t>
      </w:r>
      <w:r>
        <w:rPr>
          <w:rFonts w:ascii="宋体" w:hAnsi="宋体" w:cs="宋体" w:eastAsia="宋体" w:hint="default"/>
          <w:spacing w:val="-70"/>
          <w:w w:val="101"/>
        </w:rPr>
      </w:r>
      <w:r>
        <w:rPr>
          <w:spacing w:val="-3"/>
        </w:rPr>
        <w:t>元、</w:t>
      </w:r>
      <w:r>
        <w:rPr>
          <w:rFonts w:ascii="宋体" w:hAnsi="宋体" w:cs="宋体" w:eastAsia="宋体" w:hint="default"/>
          <w:spacing w:val="-3"/>
        </w:rPr>
        <w:t>42,000.00</w:t>
      </w:r>
      <w:r>
        <w:rPr>
          <w:spacing w:val="-3"/>
        </w:rPr>
        <w:t>元、</w:t>
      </w:r>
      <w:r>
        <w:rPr>
          <w:rFonts w:ascii="宋体" w:hAnsi="宋体" w:cs="宋体" w:eastAsia="宋体" w:hint="default"/>
          <w:spacing w:val="-3"/>
        </w:rPr>
        <w:t>29,747.20</w:t>
      </w:r>
      <w:r>
        <w:rPr>
          <w:spacing w:val="-3"/>
        </w:rPr>
        <w:t>元和</w:t>
      </w:r>
      <w:r>
        <w:rPr>
          <w:rFonts w:ascii="宋体" w:hAnsi="宋体" w:cs="宋体" w:eastAsia="宋体" w:hint="default"/>
          <w:spacing w:val="-3"/>
        </w:rPr>
        <w:t>56,000.00</w:t>
      </w:r>
      <w:r>
        <w:rPr>
          <w:spacing w:val="-3"/>
        </w:rPr>
        <w:t>元，租赁期自</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31</w:t>
      </w:r>
      <w:r>
        <w:rPr>
          <w:spacing w:val="-3"/>
        </w:rPr>
        <w:t>日止。该房屋租赁合同已经深圳市福</w:t>
      </w:r>
      <w:r>
        <w:rPr>
          <w:spacing w:val="41"/>
        </w:rPr>
        <w:t> </w:t>
      </w:r>
      <w:r>
        <w:rPr>
          <w:spacing w:val="41"/>
        </w:rPr>
      </w:r>
      <w:r>
        <w:rPr>
          <w:spacing w:val="-4"/>
        </w:rPr>
        <w:t>田区房屋租赁管理局备案，合同登记备案号分别为“深房租福田2018003580”、“深房租福田2018003589”、“深房租福田</w:t>
      </w:r>
    </w:p>
    <w:p>
      <w:pPr>
        <w:pStyle w:val="BodyText"/>
        <w:spacing w:line="240" w:lineRule="auto" w:before="52"/>
        <w:ind w:right="1055"/>
        <w:jc w:val="left"/>
      </w:pPr>
      <w:r>
        <w:rPr/>
        <w:t>2018003583”和“深房租福田2018003576”。</w:t>
      </w:r>
      <w:r>
        <w:rPr>
          <w:rFonts w:ascii="宋体" w:hAnsi="宋体" w:cs="宋体" w:eastAsia="宋体" w:hint="default"/>
        </w:rPr>
        <w:t>2018</w:t>
      </w:r>
      <w:r>
        <w:rPr/>
        <w:t>年</w:t>
      </w:r>
      <w:r>
        <w:rPr>
          <w:rFonts w:ascii="宋体" w:hAnsi="宋体" w:cs="宋体" w:eastAsia="宋体" w:hint="default"/>
        </w:rPr>
        <w:t>5</w:t>
      </w:r>
      <w:r>
        <w:rPr/>
        <w:t>月，公司与安雄（深圳）企业管理咨询有限公司签订了《房屋租赁合</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1122"/>
        <w:jc w:val="both"/>
      </w:pPr>
      <w:r>
        <w:rPr>
          <w:spacing w:val="-4"/>
        </w:rPr>
        <w:t>同》，约定将其位于深圳市福田区车公庙天祥大厦</w:t>
      </w:r>
      <w:r>
        <w:rPr>
          <w:rFonts w:ascii="宋体" w:hAnsi="宋体" w:cs="宋体" w:eastAsia="宋体" w:hint="default"/>
          <w:spacing w:val="-4"/>
        </w:rPr>
        <w:t>7B1C</w:t>
      </w:r>
      <w:r>
        <w:rPr>
          <w:spacing w:val="-4"/>
        </w:rPr>
        <w:t>的房屋出租给公司使用，租赁面积为</w:t>
      </w:r>
      <w:r>
        <w:rPr>
          <w:rFonts w:ascii="宋体" w:hAnsi="宋体" w:cs="宋体" w:eastAsia="宋体" w:hint="default"/>
          <w:spacing w:val="-4"/>
        </w:rPr>
        <w:t>258</w:t>
      </w:r>
      <w:r>
        <w:rPr>
          <w:spacing w:val="-4"/>
        </w:rPr>
        <w:t>平方米，月租金为</w:t>
      </w:r>
      <w:r>
        <w:rPr>
          <w:rFonts w:ascii="宋体" w:hAnsi="宋体" w:cs="宋体" w:eastAsia="宋体" w:hint="default"/>
          <w:spacing w:val="-4"/>
        </w:rPr>
        <w:t>35,962.62</w:t>
      </w:r>
      <w:r>
        <w:rPr>
          <w:rFonts w:ascii="宋体" w:hAnsi="宋体" w:cs="宋体" w:eastAsia="宋体" w:hint="default"/>
          <w:spacing w:val="72"/>
        </w:rPr>
        <w:t> </w:t>
      </w:r>
      <w:r>
        <w:rPr>
          <w:rFonts w:ascii="宋体" w:hAnsi="宋体" w:cs="宋体" w:eastAsia="宋体" w:hint="default"/>
          <w:spacing w:val="72"/>
        </w:rPr>
      </w:r>
      <w:r>
        <w:rPr>
          <w:spacing w:val="-4"/>
        </w:rPr>
        <w:t>元，租赁期自</w:t>
      </w: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2018</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30</w:t>
      </w:r>
      <w:r>
        <w:rPr>
          <w:spacing w:val="-4"/>
        </w:rPr>
        <w:t>日止。该房屋租赁合同已经深圳市福田区房屋租赁管理局备案，合同登记备案号</w:t>
      </w:r>
      <w:r>
        <w:rPr>
          <w:spacing w:val="70"/>
        </w:rPr>
        <w:t> </w:t>
      </w:r>
      <w:r>
        <w:rPr>
          <w:spacing w:val="70"/>
        </w:rPr>
      </w:r>
      <w:r>
        <w:rPr>
          <w:spacing w:val="-3"/>
        </w:rPr>
        <w:t>分别为“深房租福田201820693”。</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月，公司与安雄（深圳）企业管理咨询有限公司续签了《房屋租赁合同》，租</w:t>
      </w:r>
      <w:r>
        <w:rPr>
          <w:spacing w:val="2"/>
        </w:rPr>
        <w:t> </w:t>
      </w:r>
      <w:r>
        <w:rPr>
          <w:spacing w:val="2"/>
        </w:rPr>
      </w:r>
      <w:r>
        <w:rPr>
          <w:spacing w:val="-3"/>
        </w:rPr>
        <w:t>赁期自</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日止。该房屋租赁合同已经深圳市福田区房屋租赁管理局备案，合同登记备案号分别</w:t>
      </w:r>
      <w:r>
        <w:rPr>
          <w:spacing w:val="4"/>
        </w:rPr>
        <w:t> </w:t>
      </w:r>
      <w:r>
        <w:rPr>
          <w:spacing w:val="4"/>
        </w:rPr>
      </w:r>
      <w:r>
        <w:rPr/>
        <w:t>为“深房租福田2018047892”。</w:t>
      </w:r>
    </w:p>
    <w:p>
      <w:pPr>
        <w:pStyle w:val="BodyText"/>
        <w:spacing w:line="477" w:lineRule="auto" w:before="52"/>
        <w:ind w:right="1031" w:firstLine="360"/>
        <w:jc w:val="left"/>
      </w:pPr>
      <w:r>
        <w:rPr>
          <w:rFonts w:ascii="宋体" w:hAnsi="宋体" w:cs="宋体" w:eastAsia="宋体" w:hint="default"/>
        </w:rPr>
        <w:t>2.</w:t>
      </w:r>
      <w:r>
        <w:rPr>
          <w:rFonts w:ascii="宋体" w:hAnsi="宋体" w:cs="宋体" w:eastAsia="宋体" w:hint="default"/>
          <w:spacing w:val="69"/>
        </w:rPr>
        <w:t> </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月，公司与郭芳签订了《房屋租赁合同》，约定将公司位于深圳市福田区深南中路与广深高速公路交界东</w:t>
      </w:r>
      <w:r>
        <w:rPr>
          <w:w w:val="101"/>
        </w:rPr>
        <w:t> </w:t>
      </w:r>
      <w:r>
        <w:rPr>
          <w:spacing w:val="-2"/>
        </w:rPr>
        <w:t>南金运世纪大厦</w:t>
      </w:r>
      <w:r>
        <w:rPr>
          <w:rFonts w:ascii="宋体" w:hAnsi="宋体" w:cs="宋体" w:eastAsia="宋体" w:hint="default"/>
          <w:spacing w:val="-2"/>
        </w:rPr>
        <w:t>10A-10L</w:t>
      </w:r>
      <w:r>
        <w:rPr>
          <w:spacing w:val="-2"/>
        </w:rPr>
        <w:t>的房产出租给郭芳办公，租赁面积共计</w:t>
      </w:r>
      <w:r>
        <w:rPr>
          <w:rFonts w:ascii="宋体" w:hAnsi="宋体" w:cs="宋体" w:eastAsia="宋体" w:hint="default"/>
          <w:spacing w:val="-2"/>
        </w:rPr>
        <w:t>1,853.96</w:t>
      </w:r>
      <w:r>
        <w:rPr>
          <w:spacing w:val="-2"/>
        </w:rPr>
        <w:t>平方米，月租金为</w:t>
      </w:r>
      <w:r>
        <w:rPr>
          <w:rFonts w:ascii="宋体" w:hAnsi="宋体" w:cs="宋体" w:eastAsia="宋体" w:hint="default"/>
          <w:spacing w:val="-2"/>
        </w:rPr>
        <w:t>361,522.20</w:t>
      </w:r>
      <w:r>
        <w:rPr>
          <w:spacing w:val="-2"/>
        </w:rPr>
        <w:t>元，并约定第一、二</w:t>
      </w:r>
      <w:r>
        <w:rPr>
          <w:spacing w:val="40"/>
        </w:rPr>
        <w:t> </w:t>
      </w:r>
      <w:r>
        <w:rPr>
          <w:spacing w:val="40"/>
        </w:rPr>
      </w:r>
      <w:r>
        <w:rPr>
          <w:spacing w:val="-2"/>
        </w:rPr>
        <w:t>年月租金为</w:t>
      </w:r>
      <w:r>
        <w:rPr>
          <w:rFonts w:ascii="宋体" w:hAnsi="宋体" w:cs="宋体" w:eastAsia="宋体" w:hint="default"/>
          <w:spacing w:val="-2"/>
        </w:rPr>
        <w:t>361,522.20</w:t>
      </w:r>
      <w:r>
        <w:rPr>
          <w:spacing w:val="-2"/>
        </w:rPr>
        <w:t>元，第三年月租金为</w:t>
      </w:r>
      <w:r>
        <w:rPr>
          <w:rFonts w:ascii="宋体" w:hAnsi="宋体" w:cs="宋体" w:eastAsia="宋体" w:hint="default"/>
          <w:spacing w:val="-2"/>
        </w:rPr>
        <w:t>380,061.80</w:t>
      </w:r>
      <w:r>
        <w:rPr>
          <w:spacing w:val="-2"/>
        </w:rPr>
        <w:t>元，第四年月租金为</w:t>
      </w:r>
      <w:r>
        <w:rPr>
          <w:rFonts w:ascii="宋体" w:hAnsi="宋体" w:cs="宋体" w:eastAsia="宋体" w:hint="default"/>
          <w:spacing w:val="-2"/>
        </w:rPr>
        <w:t>398,601.40</w:t>
      </w:r>
      <w:r>
        <w:rPr>
          <w:spacing w:val="-2"/>
        </w:rPr>
        <w:t>元，第五年月租金为</w:t>
      </w:r>
      <w:r>
        <w:rPr>
          <w:rFonts w:ascii="宋体" w:hAnsi="宋体" w:cs="宋体" w:eastAsia="宋体" w:hint="default"/>
          <w:spacing w:val="-2"/>
        </w:rPr>
        <w:t>418,068.00</w:t>
      </w:r>
      <w:r>
        <w:rPr>
          <w:spacing w:val="-2"/>
        </w:rPr>
        <w:t>元，</w:t>
      </w:r>
      <w:r>
        <w:rPr>
          <w:spacing w:val="47"/>
        </w:rPr>
        <w:t> </w:t>
      </w:r>
      <w:r>
        <w:rPr>
          <w:spacing w:val="-4"/>
        </w:rPr>
        <w:t>租赁期自</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25</w:t>
      </w:r>
      <w:r>
        <w:rPr>
          <w:spacing w:val="-4"/>
        </w:rPr>
        <w:t>日起至</w:t>
      </w:r>
      <w:r>
        <w:rPr>
          <w:rFonts w:ascii="宋体" w:hAnsi="宋体" w:cs="宋体" w:eastAsia="宋体" w:hint="default"/>
          <w:spacing w:val="-4"/>
        </w:rPr>
        <w:t>2020</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24</w:t>
      </w:r>
      <w:r>
        <w:rPr>
          <w:spacing w:val="-4"/>
        </w:rPr>
        <w:t>日止。该房屋租赁合同已经深圳市福田区房屋租赁管理局备案，合同登记备案号</w:t>
      </w:r>
      <w:r>
        <w:rPr>
          <w:spacing w:val="73"/>
        </w:rPr>
        <w:t> </w:t>
      </w:r>
      <w:r>
        <w:rPr>
          <w:spacing w:val="73"/>
        </w:rPr>
      </w:r>
      <w:r>
        <w:rPr>
          <w:spacing w:val="-4"/>
        </w:rPr>
        <w:t>为“福EK056566”。</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24</w:t>
      </w:r>
      <w:r>
        <w:rPr>
          <w:spacing w:val="-4"/>
        </w:rPr>
        <w:t>日，公司已完成金运世纪大厦</w:t>
      </w:r>
      <w:r>
        <w:rPr>
          <w:rFonts w:ascii="宋体" w:hAnsi="宋体" w:cs="宋体" w:eastAsia="宋体" w:hint="default"/>
          <w:spacing w:val="-4"/>
        </w:rPr>
        <w:t>10A-10L</w:t>
      </w:r>
      <w:r>
        <w:rPr>
          <w:spacing w:val="-4"/>
        </w:rPr>
        <w:t>的房产的全部对外出售手续，上述《房屋租赁合同》</w:t>
      </w:r>
      <w:r>
        <w:rPr>
          <w:spacing w:val="3"/>
        </w:rPr>
        <w:t> </w:t>
      </w:r>
      <w:r>
        <w:rPr>
          <w:spacing w:val="3"/>
        </w:rPr>
      </w:r>
      <w:r>
        <w:rPr/>
        <w:t>同时终止。</w:t>
      </w:r>
    </w:p>
    <w:p>
      <w:pPr>
        <w:pStyle w:val="BodyText"/>
        <w:spacing w:line="477" w:lineRule="auto" w:before="52"/>
        <w:ind w:right="1131" w:firstLine="360"/>
        <w:jc w:val="both"/>
      </w:pPr>
      <w:r>
        <w:rPr>
          <w:rFonts w:ascii="宋体" w:hAnsi="宋体" w:cs="宋体" w:eastAsia="宋体" w:hint="default"/>
        </w:rPr>
        <w:t>3.</w:t>
      </w:r>
      <w:r>
        <w:rPr>
          <w:rFonts w:ascii="宋体" w:hAnsi="宋体" w:cs="宋体" w:eastAsia="宋体" w:hint="default"/>
          <w:spacing w:val="42"/>
        </w:rPr>
        <w:t> </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月，公司全资子公司亿美软通与君天首业商贸有限公司签订了《续租协议》，约定将位于北京市朝阳区通</w:t>
      </w:r>
      <w:r>
        <w:rPr>
          <w:w w:val="101"/>
        </w:rPr>
        <w:t> </w:t>
      </w:r>
      <w:r>
        <w:rPr>
          <w:spacing w:val="-3"/>
        </w:rPr>
        <w:t>惠河畔文化创意产业园</w:t>
      </w:r>
      <w:r>
        <w:rPr>
          <w:rFonts w:ascii="宋体" w:hAnsi="宋体" w:cs="宋体" w:eastAsia="宋体" w:hint="default"/>
          <w:spacing w:val="-3"/>
        </w:rPr>
        <w:t>1131</w:t>
      </w:r>
      <w:r>
        <w:rPr>
          <w:spacing w:val="-3"/>
        </w:rPr>
        <w:t>号君天大厦六层出租给亿美软通，租赁面积为</w:t>
      </w:r>
      <w:r>
        <w:rPr>
          <w:rFonts w:ascii="宋体" w:hAnsi="宋体" w:cs="宋体" w:eastAsia="宋体" w:hint="default"/>
          <w:spacing w:val="-3"/>
        </w:rPr>
        <w:t>2,287</w:t>
      </w:r>
      <w:r>
        <w:rPr>
          <w:spacing w:val="-3"/>
        </w:rPr>
        <w:t>平方米，季度租金为</w:t>
      </w:r>
      <w:r>
        <w:rPr>
          <w:rFonts w:ascii="宋体" w:hAnsi="宋体" w:cs="宋体" w:eastAsia="宋体" w:hint="default"/>
          <w:spacing w:val="-3"/>
        </w:rPr>
        <w:t>1,106,050.00</w:t>
      </w:r>
      <w:r>
        <w:rPr>
          <w:spacing w:val="-3"/>
        </w:rPr>
        <w:t>元，租赁</w:t>
      </w:r>
      <w:r>
        <w:rPr>
          <w:spacing w:val="12"/>
        </w:rPr>
        <w:t> </w:t>
      </w:r>
      <w:r>
        <w:rPr>
          <w:spacing w:val="12"/>
        </w:rPr>
      </w:r>
      <w:r>
        <w:rPr/>
        <w:t>期自</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16</w:t>
      </w:r>
      <w:r>
        <w:rPr/>
        <w:t>日起至</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15</w:t>
      </w:r>
      <w:r>
        <w:rPr/>
        <w:t>日止。</w:t>
      </w:r>
    </w:p>
    <w:p>
      <w:pPr>
        <w:pStyle w:val="BodyText"/>
        <w:spacing w:line="477" w:lineRule="auto" w:before="56"/>
        <w:ind w:right="1030" w:firstLine="360"/>
        <w:jc w:val="left"/>
      </w:pPr>
      <w:r>
        <w:rPr>
          <w:rFonts w:ascii="宋体" w:hAnsi="宋体" w:cs="宋体" w:eastAsia="宋体" w:hint="default"/>
          <w:spacing w:val="-3"/>
        </w:rPr>
        <w:t>4.2015</w:t>
      </w:r>
      <w:r>
        <w:rPr>
          <w:spacing w:val="-3"/>
        </w:rPr>
        <w:t>年</w:t>
      </w:r>
      <w:r>
        <w:rPr>
          <w:rFonts w:ascii="宋体" w:hAnsi="宋体" w:cs="宋体" w:eastAsia="宋体" w:hint="default"/>
          <w:spacing w:val="-3"/>
        </w:rPr>
        <w:t>7</w:t>
      </w:r>
      <w:r>
        <w:rPr>
          <w:spacing w:val="-3"/>
        </w:rPr>
        <w:t>月，安科创新与邹金山签订了《房屋租赁合同补充协议》，约定将邹金山位于深圳市龙岗区坂田街道马安堂</w:t>
      </w:r>
      <w:r>
        <w:rPr>
          <w:w w:val="101"/>
        </w:rPr>
        <w:t> </w:t>
      </w:r>
      <w:r>
        <w:rPr>
          <w:spacing w:val="-2"/>
        </w:rPr>
        <w:t>社区中兴路</w:t>
      </w:r>
      <w:r>
        <w:rPr>
          <w:rFonts w:ascii="宋体" w:hAnsi="宋体" w:cs="宋体" w:eastAsia="宋体" w:hint="default"/>
          <w:spacing w:val="-2"/>
        </w:rPr>
        <w:t>105</w:t>
      </w:r>
      <w:r>
        <w:rPr>
          <w:spacing w:val="-2"/>
        </w:rPr>
        <w:t>号儒骏大厦</w:t>
      </w:r>
      <w:r>
        <w:rPr>
          <w:rFonts w:ascii="宋体" w:hAnsi="宋体" w:cs="宋体" w:eastAsia="宋体" w:hint="default"/>
          <w:spacing w:val="-2"/>
        </w:rPr>
        <w:t>401-3</w:t>
      </w:r>
      <w:r>
        <w:rPr>
          <w:spacing w:val="-2"/>
        </w:rPr>
        <w:t>的房产出租给安科创新办公，租赁面积为</w:t>
      </w:r>
      <w:r>
        <w:rPr>
          <w:rFonts w:ascii="宋体" w:hAnsi="宋体" w:cs="宋体" w:eastAsia="宋体" w:hint="default"/>
          <w:spacing w:val="-2"/>
        </w:rPr>
        <w:t>955.53</w:t>
      </w:r>
      <w:r>
        <w:rPr>
          <w:spacing w:val="-2"/>
        </w:rPr>
        <w:t>平方米，月租金为</w:t>
      </w:r>
      <w:r>
        <w:rPr>
          <w:rFonts w:ascii="宋体" w:hAnsi="宋体" w:cs="宋体" w:eastAsia="宋体" w:hint="default"/>
          <w:spacing w:val="-2"/>
        </w:rPr>
        <w:t>47,777.00</w:t>
      </w:r>
      <w:r>
        <w:rPr>
          <w:spacing w:val="-2"/>
        </w:rPr>
        <w:t>元，并约定租</w:t>
      </w:r>
      <w:r>
        <w:rPr>
          <w:spacing w:val="37"/>
        </w:rPr>
        <w:t> </w:t>
      </w:r>
      <w:r>
        <w:rPr>
          <w:spacing w:val="37"/>
        </w:rPr>
      </w:r>
      <w:r>
        <w:rPr>
          <w:spacing w:val="-3"/>
        </w:rPr>
        <w:t>金从租赁期间的第二年起每年递增</w:t>
      </w:r>
      <w:r>
        <w:rPr>
          <w:rFonts w:ascii="宋体" w:hAnsi="宋体" w:cs="宋体" w:eastAsia="宋体" w:hint="default"/>
          <w:spacing w:val="-3"/>
        </w:rPr>
        <w:t>8%</w:t>
      </w:r>
      <w:r>
        <w:rPr>
          <w:spacing w:val="-3"/>
        </w:rPr>
        <w:t>，租赁期自</w:t>
      </w:r>
      <w:r>
        <w:rPr>
          <w:rFonts w:ascii="宋体" w:hAnsi="宋体" w:cs="宋体" w:eastAsia="宋体" w:hint="default"/>
          <w:spacing w:val="-3"/>
        </w:rPr>
        <w:t>2015</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2022</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日止。该房屋租赁合同已经深圳市龙岗区房屋</w:t>
      </w:r>
      <w:r>
        <w:rPr>
          <w:spacing w:val="2"/>
        </w:rPr>
        <w:t> </w:t>
      </w:r>
      <w:r>
        <w:rPr>
          <w:spacing w:val="2"/>
        </w:rPr>
      </w:r>
      <w:r>
        <w:rPr>
          <w:spacing w:val="-4"/>
        </w:rPr>
        <w:t>租赁管理局备案，合同登记备案号为“龙LH000472”。安科创新与邹金山于</w:t>
      </w:r>
      <w:r>
        <w:rPr>
          <w:rFonts w:ascii="宋体" w:hAnsi="宋体" w:cs="宋体" w:eastAsia="宋体" w:hint="default"/>
          <w:spacing w:val="-4"/>
        </w:rPr>
        <w:t>2018</w:t>
      </w:r>
      <w:r>
        <w:rPr>
          <w:spacing w:val="-4"/>
        </w:rPr>
        <w:t>年</w:t>
      </w:r>
      <w:r>
        <w:rPr>
          <w:rFonts w:ascii="宋体" w:hAnsi="宋体" w:cs="宋体" w:eastAsia="宋体" w:hint="default"/>
          <w:spacing w:val="-4"/>
        </w:rPr>
        <w:t>11</w:t>
      </w:r>
      <w:r>
        <w:rPr>
          <w:spacing w:val="-4"/>
        </w:rPr>
        <w:t>月签订退租协议，上述房屋租赁协议同</w:t>
      </w:r>
      <w:r>
        <w:rPr>
          <w:spacing w:val="71"/>
        </w:rPr>
        <w:t> </w:t>
      </w:r>
      <w:r>
        <w:rPr>
          <w:spacing w:val="71"/>
        </w:rPr>
      </w:r>
      <w:r>
        <w:rPr>
          <w:spacing w:val="-4"/>
        </w:rPr>
        <w:t>时终止。</w:t>
      </w:r>
      <w:r>
        <w:rPr>
          <w:rFonts w:ascii="宋体" w:hAnsi="宋体" w:cs="宋体" w:eastAsia="宋体" w:hint="default"/>
          <w:spacing w:val="-4"/>
        </w:rPr>
        <w:t>2018</w:t>
      </w:r>
      <w:r>
        <w:rPr>
          <w:spacing w:val="-4"/>
        </w:rPr>
        <w:t>年</w:t>
      </w:r>
      <w:r>
        <w:rPr>
          <w:rFonts w:ascii="宋体" w:hAnsi="宋体" w:cs="宋体" w:eastAsia="宋体" w:hint="default"/>
          <w:spacing w:val="-4"/>
        </w:rPr>
        <w:t>4</w:t>
      </w:r>
      <w:r>
        <w:rPr>
          <w:spacing w:val="-4"/>
        </w:rPr>
        <w:t>月，公司与邹金山签订了《房屋租赁合同》，约定将深圳市龙岗区坂田街道马安堂社区中兴路</w:t>
      </w:r>
      <w:r>
        <w:rPr>
          <w:rFonts w:ascii="宋体" w:hAnsi="宋体" w:cs="宋体" w:eastAsia="宋体" w:hint="default"/>
          <w:spacing w:val="-4"/>
        </w:rPr>
        <w:t>105</w:t>
      </w:r>
      <w:r>
        <w:rPr>
          <w:spacing w:val="-4"/>
        </w:rPr>
        <w:t>号儒骏大</w:t>
      </w:r>
      <w:r>
        <w:rPr>
          <w:spacing w:val="58"/>
        </w:rPr>
        <w:t> </w:t>
      </w:r>
      <w:r>
        <w:rPr>
          <w:spacing w:val="58"/>
        </w:rPr>
      </w:r>
      <w:r>
        <w:rPr>
          <w:spacing w:val="-4"/>
        </w:rPr>
        <w:t>厦</w:t>
      </w:r>
      <w:r>
        <w:rPr>
          <w:rFonts w:ascii="宋体" w:hAnsi="宋体" w:cs="宋体" w:eastAsia="宋体" w:hint="default"/>
          <w:spacing w:val="-4"/>
        </w:rPr>
        <w:t>1001-1</w:t>
      </w:r>
      <w:r>
        <w:rPr>
          <w:spacing w:val="-4"/>
        </w:rPr>
        <w:t>、</w:t>
      </w:r>
      <w:r>
        <w:rPr>
          <w:rFonts w:ascii="宋体" w:hAnsi="宋体" w:cs="宋体" w:eastAsia="宋体" w:hint="default"/>
          <w:spacing w:val="-4"/>
        </w:rPr>
        <w:t>1001-6</w:t>
      </w:r>
      <w:r>
        <w:rPr>
          <w:spacing w:val="-4"/>
        </w:rPr>
        <w:t>的房产出租给安科创新办公，租赁面积分别为</w:t>
      </w:r>
      <w:r>
        <w:rPr>
          <w:rFonts w:ascii="宋体" w:hAnsi="宋体" w:cs="宋体" w:eastAsia="宋体" w:hint="default"/>
          <w:spacing w:val="-4"/>
        </w:rPr>
        <w:t>986.97</w:t>
      </w:r>
      <w:r>
        <w:rPr>
          <w:spacing w:val="-4"/>
        </w:rPr>
        <w:t>平方米、</w:t>
      </w:r>
      <w:r>
        <w:rPr>
          <w:rFonts w:ascii="宋体" w:hAnsi="宋体" w:cs="宋体" w:eastAsia="宋体" w:hint="default"/>
          <w:spacing w:val="-4"/>
        </w:rPr>
        <w:t>382.00</w:t>
      </w:r>
      <w:r>
        <w:rPr>
          <w:spacing w:val="-4"/>
        </w:rPr>
        <w:t>平方米，月租金分别为</w:t>
      </w:r>
      <w:r>
        <w:rPr>
          <w:rFonts w:ascii="宋体" w:hAnsi="宋体" w:cs="宋体" w:eastAsia="宋体" w:hint="default"/>
          <w:spacing w:val="-4"/>
        </w:rPr>
        <w:t>799,45.00</w:t>
      </w:r>
      <w:r>
        <w:rPr>
          <w:spacing w:val="-4"/>
        </w:rPr>
        <w:t>元、</w:t>
      </w:r>
      <w:r>
        <w:rPr>
          <w:spacing w:val="21"/>
        </w:rPr>
        <w:t> </w:t>
      </w:r>
      <w:r>
        <w:rPr>
          <w:rFonts w:ascii="宋体" w:hAnsi="宋体" w:cs="宋体" w:eastAsia="宋体" w:hint="default"/>
          <w:spacing w:val="-2"/>
        </w:rPr>
        <w:t>28,650.00</w:t>
      </w:r>
      <w:r>
        <w:rPr>
          <w:spacing w:val="-2"/>
        </w:rPr>
        <w:t>元，租赁期分别为自</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29</w:t>
      </w:r>
      <w:r>
        <w:rPr>
          <w:spacing w:val="-2"/>
        </w:rPr>
        <w:t>日止、自</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日止。该房屋租赁合同已</w:t>
      </w:r>
      <w:r>
        <w:rPr>
          <w:spacing w:val="48"/>
        </w:rPr>
        <w:t> </w:t>
      </w:r>
      <w:r>
        <w:rPr>
          <w:spacing w:val="48"/>
        </w:rPr>
      </w:r>
      <w:r>
        <w:rPr>
          <w:spacing w:val="-6"/>
          <w:w w:val="101"/>
        </w:rPr>
        <w:t>经深圳市龙岗区房屋租赁管理局备案，合同登记备案号分别为“深房租龙岗2018010754”、“深房租龙岗2018010755”。</w:t>
      </w:r>
      <w:r>
        <w:rPr>
          <w:rFonts w:ascii="宋体" w:hAnsi="宋体" w:cs="宋体" w:eastAsia="宋体" w:hint="default"/>
          <w:spacing w:val="-6"/>
          <w:w w:val="101"/>
        </w:rPr>
        <w:t>2018</w:t>
      </w:r>
      <w:r>
        <w:rPr>
          <w:rFonts w:ascii="宋体" w:hAnsi="宋体" w:cs="宋体" w:eastAsia="宋体" w:hint="default"/>
          <w:spacing w:val="-90"/>
          <w:w w:val="101"/>
        </w:rPr>
        <w:t> </w:t>
      </w:r>
      <w:r>
        <w:rPr>
          <w:rFonts w:ascii="宋体" w:hAnsi="宋体" w:cs="宋体" w:eastAsia="宋体" w:hint="default"/>
          <w:spacing w:val="-90"/>
          <w:w w:val="101"/>
        </w:rPr>
      </w:r>
      <w:r>
        <w:rPr>
          <w:spacing w:val="-3"/>
        </w:rPr>
        <w:t>年</w:t>
      </w:r>
      <w:r>
        <w:rPr>
          <w:rFonts w:ascii="宋体" w:hAnsi="宋体" w:cs="宋体" w:eastAsia="宋体" w:hint="default"/>
          <w:spacing w:val="-3"/>
        </w:rPr>
        <w:t>11</w:t>
      </w:r>
      <w:r>
        <w:rPr>
          <w:spacing w:val="-3"/>
        </w:rPr>
        <w:t>月，安科创新与邹金山签订了《房屋租赁合同》，约定将邹金山位于深圳市龙岗区坂田街道马安堂社区中兴路</w:t>
      </w:r>
      <w:r>
        <w:rPr>
          <w:rFonts w:ascii="宋体" w:hAnsi="宋体" w:cs="宋体" w:eastAsia="宋体" w:hint="default"/>
          <w:spacing w:val="-3"/>
        </w:rPr>
        <w:t>105</w:t>
      </w:r>
      <w:r>
        <w:rPr>
          <w:spacing w:val="-3"/>
        </w:rPr>
        <w:t>号儒</w:t>
      </w:r>
      <w:r>
        <w:rPr>
          <w:spacing w:val="77"/>
        </w:rPr>
        <w:t> </w:t>
      </w:r>
      <w:r>
        <w:rPr/>
        <w:t>骏大厦</w:t>
      </w:r>
      <w:r>
        <w:rPr>
          <w:rFonts w:ascii="宋体" w:hAnsi="宋体" w:cs="宋体" w:eastAsia="宋体" w:hint="default"/>
        </w:rPr>
        <w:t>1001-5</w:t>
      </w:r>
      <w:r>
        <w:rPr/>
        <w:t>的房产出租给安科创新办公，租赁面积为</w:t>
      </w:r>
      <w:r>
        <w:rPr>
          <w:rFonts w:ascii="宋体" w:hAnsi="宋体" w:cs="宋体" w:eastAsia="宋体" w:hint="default"/>
        </w:rPr>
        <w:t>95.53</w:t>
      </w:r>
      <w:r>
        <w:rPr/>
        <w:t>平方米，月租金为</w:t>
      </w:r>
      <w:r>
        <w:rPr>
          <w:rFonts w:ascii="宋体" w:hAnsi="宋体" w:cs="宋体" w:eastAsia="宋体" w:hint="default"/>
        </w:rPr>
        <w:t>7,738</w:t>
      </w:r>
      <w:r>
        <w:rPr/>
        <w:t>元，租赁期自</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25</w:t>
      </w:r>
      <w:r>
        <w:rPr/>
        <w:t>日至</w:t>
      </w:r>
      <w:r>
        <w:rPr>
          <w:rFonts w:ascii="宋体" w:hAnsi="宋体" w:cs="宋体" w:eastAsia="宋体" w:hint="default"/>
        </w:rPr>
        <w:t>2019</w:t>
      </w:r>
      <w:r>
        <w:rPr>
          <w:rFonts w:ascii="宋体" w:hAnsi="宋体" w:cs="宋体" w:eastAsia="宋体" w:hint="default"/>
          <w:w w:val="101"/>
        </w:rPr>
        <w:t> </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日止。该房屋租赁合同已经深圳市龙岗区房屋租赁管理局备案，合同登记备案号为“深房租龙岗2018022559”。</w:t>
      </w:r>
    </w:p>
    <w:p>
      <w:pPr>
        <w:pStyle w:val="BodyText"/>
        <w:spacing w:line="240" w:lineRule="auto" w:before="13"/>
        <w:ind w:right="0"/>
        <w:jc w:val="both"/>
      </w:pP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410" w:lineRule="auto" w:before="106"/>
        <w:ind w:left="513" w:right="3882" w:hanging="36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t>不适用</w:t>
      </w:r>
      <w:r>
        <w:rPr>
          <w:spacing w:val="-88"/>
        </w:rPr>
        <w:t> </w:t>
      </w:r>
      <w:r>
        <w:rPr>
          <w:spacing w:val="-88"/>
        </w:rPr>
      </w:r>
      <w:r>
        <w:rPr>
          <w:spacing w:val="-3"/>
        </w:rPr>
        <w:t>公司报告期不存在为公司带来的损益达到公司报告期利润总额</w:t>
      </w:r>
      <w:r>
        <w:rPr>
          <w:rFonts w:ascii="宋体" w:hAnsi="宋体" w:cs="宋体" w:eastAsia="宋体" w:hint="default"/>
          <w:spacing w:val="-3"/>
        </w:rPr>
        <w:t>10%</w:t>
      </w:r>
      <w:r>
        <w:rPr>
          <w:spacing w:val="-3"/>
        </w:rPr>
        <w:t>以上的租赁项目。</w:t>
      </w:r>
    </w:p>
    <w:p>
      <w:pPr>
        <w:spacing w:after="0" w:line="41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0"/>
        <w:gridCol w:w="924"/>
        <w:gridCol w:w="1302"/>
        <w:gridCol w:w="1059"/>
        <w:gridCol w:w="1044"/>
        <w:gridCol w:w="1046"/>
        <w:gridCol w:w="790"/>
        <w:gridCol w:w="781"/>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05"/>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0" w:right="8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0"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6" w:right="18"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05"/>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7"/>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0"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2"/>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07" w:right="23"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安科创新（深圳）有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0"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深圳银之杰智慧科技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30"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r>
      <w:tr>
        <w:trPr>
          <w:trHeight w:val="721"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05"/>
              <w:jc w:val="right"/>
              <w:rPr>
                <w:rFonts w:ascii="宋体" w:hAnsi="宋体" w:cs="宋体" w:eastAsia="宋体" w:hint="default"/>
                <w:sz w:val="18"/>
                <w:szCs w:val="18"/>
              </w:rPr>
            </w:pPr>
            <w:r>
              <w:rPr>
                <w:rFonts w:ascii="宋体" w:hAnsi="宋体" w:cs="宋体" w:eastAsia="宋体" w:hint="default"/>
                <w:spacing w:val="-2"/>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9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1" w:right="7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2"/>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2" w:right="28"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1"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40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22"/>
        <w:gridCol w:w="2234"/>
        <w:gridCol w:w="2102"/>
        <w:gridCol w:w="2617"/>
      </w:tblGrid>
      <w:tr>
        <w:trPr>
          <w:trHeight w:val="36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9"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1.48%</w:t>
            </w:r>
          </w:p>
        </w:tc>
      </w:tr>
      <w:tr>
        <w:trPr>
          <w:trHeight w:val="394"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1"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439" w:lineRule="auto" w:before="53"/>
        <w:ind w:left="513" w:right="8069" w:hanging="360"/>
        <w:jc w:val="left"/>
      </w:pPr>
      <w:r>
        <w:rPr>
          <w:spacing w:val="-3"/>
        </w:rPr>
        <w:t>采用复合方式担保的具体情况说明</w:t>
      </w:r>
      <w:r>
        <w:rPr>
          <w:spacing w:val="-44"/>
        </w:rPr>
        <w:t> </w:t>
      </w:r>
      <w:r>
        <w:rPr>
          <w:spacing w:val="-44"/>
        </w:rPr>
      </w:r>
      <w:r>
        <w:rPr/>
        <w:t>不适用。</w:t>
      </w:r>
    </w:p>
    <w:p>
      <w:pPr>
        <w:spacing w:line="240" w:lineRule="auto" w:before="2"/>
        <w:rPr>
          <w:rFonts w:ascii="宋体" w:hAnsi="宋体" w:cs="宋体" w:eastAsia="宋体" w:hint="default"/>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pStyle w:val="BodyText"/>
        <w:spacing w:line="410" w:lineRule="auto"/>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2"/>
        <w:rPr>
          <w:rFonts w:ascii="宋体" w:hAnsi="宋体" w:cs="宋体" w:eastAsia="宋体" w:hint="default"/>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186" w:top="1100" w:bottom="138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580" w:bottom="700" w:left="980" w:right="0"/>
          <w:cols w:num="2" w:equalWidth="0">
            <w:col w:w="1959" w:space="6785"/>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9"/>
      </w:tblGrid>
      <w:tr>
        <w:trPr>
          <w:trHeight w:val="39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3"/>
        <w:ind w:right="1055"/>
        <w:jc w:val="left"/>
      </w:pPr>
      <w:r>
        <w:rPr>
          <w:spacing w:val="-3"/>
        </w:rPr>
        <w:t>单项金额重大或安全性较低、流动性较差、不保本的高风险委托理财具体情况</w:t>
      </w:r>
    </w:p>
    <w:p>
      <w:pPr>
        <w:pStyle w:val="BodyText"/>
        <w:spacing w:line="338" w:lineRule="auto" w:before="119"/>
        <w:ind w:right="56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委托理财出现预期无法收回本金或存在其他可能导致减值的情形</w:t>
      </w:r>
    </w:p>
    <w:p>
      <w:pPr>
        <w:pStyle w:val="BodyText"/>
        <w:spacing w:line="240" w:lineRule="auto" w:before="41"/>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1910" w:h="16840"/>
          <w:pgMar w:top="1580" w:bottom="70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1055"/>
        <w:jc w:val="left"/>
      </w:pPr>
      <w:r>
        <w:rPr>
          <w:spacing w:val="-3"/>
        </w:rPr>
        <w:t>公司报告期不存在委托贷款。</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38"/>
        <w:gridCol w:w="639"/>
        <w:gridCol w:w="639"/>
        <w:gridCol w:w="638"/>
        <w:gridCol w:w="639"/>
        <w:gridCol w:w="638"/>
        <w:gridCol w:w="639"/>
        <w:gridCol w:w="638"/>
        <w:gridCol w:w="639"/>
        <w:gridCol w:w="638"/>
        <w:gridCol w:w="639"/>
        <w:gridCol w:w="638"/>
        <w:gridCol w:w="639"/>
        <w:gridCol w:w="638"/>
        <w:gridCol w:w="634"/>
      </w:tblGrid>
      <w:tr>
        <w:trPr>
          <w:trHeight w:val="227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方名称</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立对方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5" w:right="41" w:hanging="183"/>
              <w:jc w:val="left"/>
              <w:rPr>
                <w:rFonts w:ascii="宋体" w:hAnsi="宋体" w:cs="宋体" w:eastAsia="宋体" w:hint="default"/>
                <w:sz w:val="18"/>
                <w:szCs w:val="18"/>
              </w:rPr>
            </w:pPr>
            <w:r>
              <w:rPr>
                <w:rFonts w:ascii="宋体" w:hAnsi="宋体" w:cs="宋体" w:eastAsia="宋体" w:hint="default"/>
                <w:sz w:val="18"/>
                <w:szCs w:val="18"/>
              </w:rPr>
              <w:t>合同标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47" w:right="36"/>
              <w:jc w:val="left"/>
              <w:rPr>
                <w:rFonts w:ascii="宋体" w:hAnsi="宋体" w:cs="宋体" w:eastAsia="宋体" w:hint="default"/>
                <w:sz w:val="18"/>
                <w:szCs w:val="18"/>
              </w:rPr>
            </w:pPr>
            <w:r>
              <w:rPr>
                <w:rFonts w:ascii="宋体" w:hAnsi="宋体" w:cs="宋体" w:eastAsia="宋体" w:hint="default"/>
                <w:sz w:val="18"/>
                <w:szCs w:val="18"/>
              </w:rPr>
              <w:t>合同签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 w:right="41"/>
              <w:jc w:val="both"/>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的账面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w:t>
            </w:r>
          </w:p>
          <w:p>
            <w:pPr>
              <w:pStyle w:val="TableParagraph"/>
              <w:spacing w:line="319" w:lineRule="auto" w:before="17"/>
              <w:ind w:left="24" w:right="22" w:firstLine="4"/>
              <w:jc w:val="center"/>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37"/>
                <w:w w:val="101"/>
                <w:sz w:val="18"/>
                <w:szCs w:val="18"/>
              </w:rPr>
              <w:t>元）（如</w:t>
            </w:r>
            <w:r>
              <w:rPr>
                <w:rFonts w:ascii="宋体" w:hAnsi="宋体" w:cs="宋体" w:eastAsia="宋体" w:hint="default"/>
                <w:spacing w:val="-5"/>
                <w:w w:val="101"/>
                <w:sz w:val="18"/>
                <w:szCs w:val="18"/>
              </w:rPr>
              <w:t> </w:t>
            </w: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 w:right="41"/>
              <w:jc w:val="both"/>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的评估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w:t>
            </w:r>
          </w:p>
          <w:p>
            <w:pPr>
              <w:pStyle w:val="TableParagraph"/>
              <w:spacing w:line="319" w:lineRule="auto" w:before="17"/>
              <w:ind w:left="24" w:right="17" w:hanging="1"/>
              <w:jc w:val="center"/>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36"/>
                <w:w w:val="101"/>
                <w:sz w:val="18"/>
                <w:szCs w:val="18"/>
              </w:rPr>
              <w:t>元）（如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43" w:right="41"/>
              <w:jc w:val="left"/>
              <w:rPr>
                <w:rFonts w:ascii="宋体" w:hAnsi="宋体" w:cs="宋体" w:eastAsia="宋体" w:hint="default"/>
                <w:sz w:val="18"/>
                <w:szCs w:val="18"/>
              </w:rPr>
            </w:pPr>
            <w:r>
              <w:rPr>
                <w:rFonts w:ascii="宋体" w:hAnsi="宋体" w:cs="宋体" w:eastAsia="宋体" w:hint="default"/>
                <w:sz w:val="18"/>
                <w:szCs w:val="18"/>
              </w:rPr>
              <w:t>评估机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构名称</w:t>
            </w:r>
          </w:p>
          <w:p>
            <w:pPr>
              <w:pStyle w:val="TableParagraph"/>
              <w:spacing w:line="321" w:lineRule="auto" w:before="23"/>
              <w:ind w:left="134" w:right="129"/>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139" w:right="36" w:hanging="92"/>
              <w:jc w:val="left"/>
              <w:rPr>
                <w:rFonts w:ascii="宋体" w:hAnsi="宋体" w:cs="宋体" w:eastAsia="宋体" w:hint="default"/>
                <w:sz w:val="18"/>
                <w:szCs w:val="18"/>
              </w:rPr>
            </w:pPr>
            <w:r>
              <w:rPr>
                <w:rFonts w:ascii="宋体" w:hAnsi="宋体" w:cs="宋体" w:eastAsia="宋体" w:hint="default"/>
                <w:sz w:val="18"/>
                <w:szCs w:val="18"/>
              </w:rPr>
              <w:t>评估基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准日</w:t>
            </w:r>
          </w:p>
          <w:p>
            <w:pPr>
              <w:pStyle w:val="TableParagraph"/>
              <w:spacing w:line="321" w:lineRule="auto" w:before="23"/>
              <w:ind w:left="139" w:right="122"/>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5" w:right="41" w:hanging="183"/>
              <w:jc w:val="left"/>
              <w:rPr>
                <w:rFonts w:ascii="宋体" w:hAnsi="宋体" w:cs="宋体" w:eastAsia="宋体" w:hint="default"/>
                <w:sz w:val="18"/>
                <w:szCs w:val="18"/>
              </w:rPr>
            </w:pPr>
            <w:r>
              <w:rPr>
                <w:rFonts w:ascii="宋体" w:hAnsi="宋体" w:cs="宋体" w:eastAsia="宋体" w:hint="default"/>
                <w:sz w:val="18"/>
                <w:szCs w:val="18"/>
              </w:rPr>
              <w:t>定价原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43" w:right="41"/>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43" w:right="41"/>
              <w:jc w:val="left"/>
              <w:rPr>
                <w:rFonts w:ascii="宋体" w:hAnsi="宋体" w:cs="宋体" w:eastAsia="宋体" w:hint="default"/>
                <w:sz w:val="18"/>
                <w:szCs w:val="18"/>
              </w:rPr>
            </w:pPr>
            <w:r>
              <w:rPr>
                <w:rFonts w:ascii="宋体" w:hAnsi="宋体" w:cs="宋体" w:eastAsia="宋体" w:hint="default"/>
                <w:sz w:val="18"/>
                <w:szCs w:val="18"/>
              </w:rPr>
              <w:t>是否关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5" w:right="41"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截至报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5" w:right="41"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6" w:right="36"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96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60"/>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银之杰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60"/>
              <w:jc w:val="both"/>
              <w:rPr>
                <w:rFonts w:ascii="宋体" w:hAnsi="宋体" w:cs="宋体" w:eastAsia="宋体" w:hint="default"/>
                <w:sz w:val="18"/>
                <w:szCs w:val="18"/>
              </w:rPr>
            </w:pPr>
            <w:r>
              <w:rPr>
                <w:rFonts w:ascii="宋体" w:hAnsi="宋体" w:cs="宋体" w:eastAsia="宋体" w:hint="default"/>
                <w:sz w:val="18"/>
                <w:szCs w:val="18"/>
              </w:rPr>
              <w:t>中国农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业银行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60"/>
              <w:jc w:val="both"/>
              <w:rPr>
                <w:rFonts w:ascii="宋体" w:hAnsi="宋体" w:cs="宋体" w:eastAsia="宋体" w:hint="default"/>
                <w:sz w:val="18"/>
                <w:szCs w:val="18"/>
              </w:rPr>
            </w:pPr>
            <w:r>
              <w:rPr>
                <w:rFonts w:ascii="宋体" w:hAnsi="宋体" w:cs="宋体" w:eastAsia="宋体" w:hint="default"/>
                <w:sz w:val="18"/>
                <w:szCs w:val="18"/>
              </w:rPr>
              <w:t>业务印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控仪设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备及相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关服务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31"/>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实现销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21,087.</w:t>
            </w:r>
          </w:p>
          <w:p>
            <w:pPr>
              <w:pStyle w:val="TableParagraph"/>
              <w:spacing w:line="237"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56"/>
              <w:jc w:val="left"/>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w:t>
            </w:r>
            <w:r>
              <w:rPr>
                <w:rFonts w:ascii="Times New Roman" w:hAnsi="Times New Roman" w:cs="Times New Roman" w:eastAsia="Times New Roman" w:hint="default"/>
                <w:sz w:val="18"/>
                <w:szCs w:val="18"/>
              </w:rPr>
            </w:r>
          </w:p>
          <w:p>
            <w:pPr>
              <w:pStyle w:val="TableParagraph"/>
              <w:spacing w:line="362" w:lineRule="auto" w:before="105"/>
              <w:ind w:left="24" w:right="49"/>
              <w:jc w:val="left"/>
              <w:rPr>
                <w:rFonts w:ascii="Times New Roman" w:hAnsi="Times New Roman" w:cs="Times New Roman" w:eastAsia="Times New Roman" w:hint="default"/>
                <w:sz w:val="18"/>
                <w:szCs w:val="18"/>
              </w:rPr>
            </w:pPr>
            <w:r>
              <w:rPr>
                <w:rFonts w:ascii="Times New Roman"/>
                <w:spacing w:val="-2"/>
                <w:sz w:val="18"/>
              </w:rPr>
              <w:t>.cninfo.</w:t>
            </w:r>
            <w:r>
              <w:rPr>
                <w:rFonts w:ascii="Times New Roman"/>
                <w:spacing w:val="-33"/>
                <w:sz w:val="18"/>
              </w:rPr>
              <w:t> </w:t>
            </w:r>
            <w:r>
              <w:rPr>
                <w:rFonts w:ascii="Times New Roman"/>
                <w:spacing w:val="-33"/>
                <w:sz w:val="18"/>
              </w:rPr>
            </w:r>
            <w:r>
              <w:rPr>
                <w:rFonts w:ascii="Times New Roman"/>
                <w:spacing w:val="-2"/>
                <w:sz w:val="18"/>
              </w:rPr>
              <w:t>com.cn</w:t>
            </w:r>
          </w:p>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1055"/>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2"/>
        <w:rPr>
          <w:rFonts w:ascii="宋体" w:hAnsi="宋体" w:cs="宋体" w:eastAsia="宋体" w:hint="default"/>
          <w:b/>
          <w:bCs/>
          <w:sz w:val="32"/>
          <w:szCs w:val="32"/>
        </w:rPr>
      </w:pPr>
    </w:p>
    <w:p>
      <w:pPr>
        <w:pStyle w:val="BodyText"/>
        <w:spacing w:line="475" w:lineRule="auto"/>
        <w:ind w:right="1055" w:firstLine="360"/>
        <w:jc w:val="left"/>
      </w:pPr>
      <w:r>
        <w:rPr>
          <w:spacing w:val="-5"/>
        </w:rPr>
        <w:t>公司积极履行企业应尽的义务，承担社会责任。公司在不断为股东创造价值的同时，也积极承担对员工、客户、社会等</w:t>
      </w:r>
      <w:r>
        <w:rPr>
          <w:w w:val="101"/>
        </w:rPr>
        <w:t> </w:t>
      </w:r>
      <w:r>
        <w:rPr>
          <w:spacing w:val="-3"/>
        </w:rPr>
        <w:t>其他利益相关者的责任。</w:t>
      </w:r>
    </w:p>
    <w:p>
      <w:pPr>
        <w:pStyle w:val="BodyText"/>
        <w:spacing w:line="477" w:lineRule="auto" w:before="58"/>
        <w:ind w:right="1055" w:firstLine="360"/>
        <w:jc w:val="left"/>
      </w:pPr>
      <w:r>
        <w:rPr>
          <w:spacing w:val="-5"/>
        </w:rPr>
        <w:t>公司严格按照《公司法》、《深圳证券交易所创业板股票上市规则》、《上市公司信息披露管理办法》等相关法律法规</w:t>
      </w:r>
      <w:r>
        <w:rPr>
          <w:w w:val="101"/>
        </w:rPr>
        <w:t> </w:t>
      </w:r>
      <w:r>
        <w:rPr>
          <w:spacing w:val="-5"/>
        </w:rPr>
        <w:t>的要求，及时、准确、真实、完整地进行信息披露，通过投资者电话、电子邮箱、投资者关系互动平台和实地调研等多种方</w:t>
      </w:r>
      <w:r>
        <w:rPr>
          <w:spacing w:val="4"/>
        </w:rPr>
        <w:t> </w:t>
      </w:r>
      <w:r>
        <w:rPr>
          <w:spacing w:val="4"/>
        </w:rPr>
      </w:r>
      <w:r>
        <w:rPr>
          <w:spacing w:val="-4"/>
        </w:rPr>
        <w:t>式与投资者进行沟通交流，提高了公司的透明度和诚信度。公司非常重视对投资者的合理回报，制定了相对稳定的利润分配</w:t>
      </w:r>
      <w:r>
        <w:rPr>
          <w:spacing w:val="43"/>
        </w:rPr>
        <w:t> </w:t>
      </w:r>
      <w:r>
        <w:rPr>
          <w:spacing w:val="43"/>
        </w:rPr>
      </w:r>
      <w:r>
        <w:rPr>
          <w:spacing w:val="-6"/>
        </w:rPr>
        <w:t>政策和分红方案以回报股东。公司一直坚持以人为本的人才理念，实施企业人才战略，严格遵守《劳动法》、《劳动合同法》</w:t>
      </w:r>
      <w:r>
        <w:rPr>
          <w:spacing w:val="61"/>
        </w:rPr>
        <w:t> </w:t>
      </w:r>
      <w:r>
        <w:rPr>
          <w:spacing w:val="61"/>
        </w:rPr>
      </w:r>
      <w:r>
        <w:rPr>
          <w:spacing w:val="-4"/>
        </w:rPr>
        <w:t>等相关法律法规，尊重和维护员工的个人权益，切实关注员工健康、安全和满意度；通过知识技能的理论培训及实践操作技</w:t>
      </w:r>
      <w:r>
        <w:rPr>
          <w:spacing w:val="40"/>
        </w:rPr>
        <w:t> </w:t>
      </w:r>
      <w:r>
        <w:rPr>
          <w:spacing w:val="40"/>
        </w:rPr>
      </w:r>
      <w:r>
        <w:rPr>
          <w:spacing w:val="-3"/>
        </w:rPr>
        <w:t>能培训等方式使员工得到切实的提高和发展，维护员工权益。</w:t>
      </w:r>
    </w:p>
    <w:p>
      <w:pPr>
        <w:pStyle w:val="BodyText"/>
        <w:spacing w:line="475" w:lineRule="auto" w:before="57"/>
        <w:ind w:right="1055" w:firstLine="360"/>
        <w:jc w:val="left"/>
      </w:pPr>
      <w:r>
        <w:rPr>
          <w:spacing w:val="-4"/>
        </w:rPr>
        <w:t>公司始终将依法经营作为公司运行的基本原则，注重企业经济效益与社会效益的同步共赢。公司严格遵守国家法律、法</w:t>
      </w:r>
      <w:r>
        <w:rPr>
          <w:w w:val="101"/>
        </w:rPr>
        <w:t> </w:t>
      </w:r>
      <w:r>
        <w:rPr>
          <w:spacing w:val="-3"/>
        </w:rPr>
        <w:t>规、政策的规定，始终依法经营，积极纳税，发展就业岗位，支持地方经济的发展。</w:t>
      </w:r>
    </w:p>
    <w:p>
      <w:pPr>
        <w:spacing w:line="240" w:lineRule="auto" w:before="5"/>
        <w:rPr>
          <w:rFonts w:ascii="宋体" w:hAnsi="宋体" w:cs="宋体" w:eastAsia="宋体" w:hint="default"/>
          <w:sz w:val="19"/>
          <w:szCs w:val="19"/>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13" w:right="1055"/>
        <w:jc w:val="left"/>
      </w:pPr>
      <w:r>
        <w:rPr>
          <w:spacing w:val="-3"/>
        </w:rPr>
        <w:t>公司报告年度暂未开展精准扶贫工作，也暂无后续精准扶贫计划。</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1055"/>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655"/>
        <w:jc w:val="left"/>
      </w:pPr>
      <w:r>
        <w:rPr>
          <w:spacing w:val="-3"/>
        </w:rPr>
        <w:t>上市公司及其子公司是否属于环境保护部门公布的重点排污单位</w:t>
      </w:r>
      <w:r>
        <w:rPr>
          <w:spacing w:val="-9"/>
        </w:rPr>
        <w:t> </w:t>
      </w:r>
      <w:r>
        <w:rPr>
          <w:spacing w:val="-9"/>
        </w:rPr>
      </w:r>
      <w:r>
        <w:rPr/>
        <w:t>否</w:t>
      </w:r>
    </w:p>
    <w:p>
      <w:pPr>
        <w:pStyle w:val="BodyText"/>
        <w:spacing w:line="240" w:lineRule="auto" w:before="103"/>
        <w:ind w:left="513" w:right="1055"/>
        <w:jc w:val="left"/>
      </w:pPr>
      <w:r>
        <w:rPr>
          <w:spacing w:val="-3"/>
        </w:rPr>
        <w:t>公司及子公司均不属于环境保护部门公布的重点排污单位。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right="1055"/>
        <w:jc w:val="left"/>
        <w:rPr>
          <w:b w:val="0"/>
          <w:bCs w:val="0"/>
        </w:rPr>
      </w:pP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415" w:lineRule="auto"/>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2"/>
        </w:rPr>
        <w:t>1</w:t>
      </w:r>
      <w:r>
        <w:rPr>
          <w:spacing w:val="-2"/>
        </w:rPr>
        <w:t>、筹划重大资产重组事项的情况</w:t>
      </w:r>
    </w:p>
    <w:p>
      <w:pPr>
        <w:pStyle w:val="BodyText"/>
        <w:spacing w:line="477" w:lineRule="auto" w:before="98"/>
        <w:ind w:right="1121" w:firstLine="360"/>
        <w:jc w:val="both"/>
      </w:pPr>
      <w:r>
        <w:rPr>
          <w:spacing w:val="-4"/>
        </w:rPr>
        <w:t>公司因筹划重大资产重组事项，经向深圳证券交易所申请，公司股票自</w:t>
      </w:r>
      <w:r>
        <w:rPr>
          <w:rFonts w:ascii="宋体" w:hAnsi="宋体" w:cs="宋体" w:eastAsia="宋体" w:hint="default"/>
          <w:spacing w:val="-4"/>
        </w:rPr>
        <w:t>2017</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8</w:t>
      </w:r>
      <w:r>
        <w:rPr>
          <w:spacing w:val="-4"/>
        </w:rPr>
        <w:t>日开市起停牌。</w:t>
      </w:r>
      <w:r>
        <w:rPr>
          <w:rFonts w:ascii="宋体" w:hAnsi="宋体" w:cs="宋体" w:eastAsia="宋体" w:hint="default"/>
          <w:spacing w:val="-4"/>
        </w:rPr>
        <w:t>2017</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30</w:t>
      </w:r>
      <w:r>
        <w:rPr>
          <w:spacing w:val="-4"/>
        </w:rPr>
        <w:t>日，公</w:t>
      </w:r>
      <w:r>
        <w:rPr>
          <w:w w:val="101"/>
        </w:rPr>
        <w:t> </w:t>
      </w:r>
      <w:r>
        <w:rPr>
          <w:spacing w:val="-3"/>
        </w:rPr>
        <w:t>司第四届董事会第八次会议审议通过了《关于</w:t>
      </w:r>
      <w:r>
        <w:rPr>
          <w:rFonts w:ascii="宋体" w:hAnsi="宋体" w:cs="宋体" w:eastAsia="宋体" w:hint="default"/>
          <w:spacing w:val="-3"/>
        </w:rPr>
        <w:t>&lt;</w:t>
      </w:r>
      <w:r>
        <w:rPr>
          <w:spacing w:val="-3"/>
        </w:rPr>
        <w:t>深圳市银之杰科技股份有限公司发行股份及支付现金购买资产并募集配套资</w:t>
      </w:r>
      <w:r>
        <w:rPr>
          <w:spacing w:val="71"/>
        </w:rPr>
        <w:t> </w:t>
      </w:r>
      <w:r>
        <w:rPr>
          <w:spacing w:val="71"/>
        </w:rPr>
      </w:r>
      <w:r>
        <w:rPr>
          <w:spacing w:val="-3"/>
        </w:rPr>
        <w:t>金预案</w:t>
      </w:r>
      <w:r>
        <w:rPr>
          <w:rFonts w:ascii="宋体" w:hAnsi="宋体" w:cs="宋体" w:eastAsia="宋体" w:hint="default"/>
          <w:spacing w:val="-3"/>
        </w:rPr>
        <w:t>&gt;</w:t>
      </w:r>
      <w:r>
        <w:rPr>
          <w:spacing w:val="-3"/>
        </w:rPr>
        <w:t>的议案》等相关议案，拟通过发行股份及支付现金的方式购买赵芳、王利军、文渝等三人合计持有的北京慧博科技</w:t>
      </w:r>
      <w:r>
        <w:rPr>
          <w:spacing w:val="71"/>
        </w:rPr>
        <w:t> </w:t>
      </w:r>
      <w:r>
        <w:rPr>
          <w:spacing w:val="71"/>
        </w:rPr>
      </w:r>
      <w:r>
        <w:rPr>
          <w:spacing w:val="-3"/>
        </w:rPr>
        <w:t>有限公司</w:t>
      </w:r>
      <w:r>
        <w:rPr>
          <w:rFonts w:ascii="宋体" w:hAnsi="宋体" w:cs="宋体" w:eastAsia="宋体" w:hint="default"/>
          <w:spacing w:val="-3"/>
        </w:rPr>
        <w:t>100%</w:t>
      </w:r>
      <w:r>
        <w:rPr>
          <w:spacing w:val="-3"/>
        </w:rPr>
        <w:t>股权，同时公司拟向不超过</w:t>
      </w:r>
      <w:r>
        <w:rPr>
          <w:rFonts w:ascii="宋体" w:hAnsi="宋体" w:cs="宋体" w:eastAsia="宋体" w:hint="default"/>
          <w:spacing w:val="-3"/>
        </w:rPr>
        <w:t>5</w:t>
      </w:r>
      <w:r>
        <w:rPr>
          <w:spacing w:val="-3"/>
        </w:rPr>
        <w:t>名符合条件的特定对象非公开发行股份募集配套资金。公司于</w:t>
      </w:r>
      <w:r>
        <w:rPr>
          <w:rFonts w:ascii="宋体" w:hAnsi="宋体" w:cs="宋体" w:eastAsia="宋体" w:hint="default"/>
          <w:spacing w:val="-3"/>
        </w:rPr>
        <w:t>12</w:t>
      </w:r>
      <w:r>
        <w:rPr>
          <w:spacing w:val="-3"/>
        </w:rPr>
        <w:t>月</w:t>
      </w:r>
      <w:r>
        <w:rPr>
          <w:rFonts w:ascii="宋体" w:hAnsi="宋体" w:cs="宋体" w:eastAsia="宋体" w:hint="default"/>
          <w:spacing w:val="-3"/>
        </w:rPr>
        <w:t>14</w:t>
      </w:r>
      <w:r>
        <w:rPr>
          <w:spacing w:val="-3"/>
        </w:rPr>
        <w:t>日收到深圳</w:t>
      </w:r>
      <w:r>
        <w:rPr>
          <w:spacing w:val="83"/>
        </w:rPr>
        <w:t> </w:t>
      </w:r>
      <w:r>
        <w:rPr>
          <w:spacing w:val="83"/>
        </w:rPr>
      </w:r>
      <w:r>
        <w:rPr>
          <w:spacing w:val="-3"/>
        </w:rPr>
        <w:t>证券交易所创业板公司管理部发出的《关于对深圳市银之杰科技股份有限公司的重组问询函》（创业板许可类重组问询函</w:t>
      </w:r>
    </w:p>
    <w:p>
      <w:pPr>
        <w:pStyle w:val="BodyText"/>
        <w:spacing w:line="475" w:lineRule="auto" w:before="57"/>
        <w:ind w:right="1126"/>
        <w:jc w:val="both"/>
      </w:pPr>
      <w:r>
        <w:rPr>
          <w:spacing w:val="-4"/>
        </w:rPr>
        <w:t>【</w:t>
      </w:r>
      <w:r>
        <w:rPr>
          <w:rFonts w:ascii="宋体" w:hAnsi="宋体" w:cs="宋体" w:eastAsia="宋体" w:hint="default"/>
          <w:spacing w:val="-4"/>
        </w:rPr>
        <w:t>2017</w:t>
      </w:r>
      <w:r>
        <w:rPr>
          <w:spacing w:val="-4"/>
        </w:rPr>
        <w:t>】第</w:t>
      </w:r>
      <w:r>
        <w:rPr>
          <w:rFonts w:ascii="宋体" w:hAnsi="宋体" w:cs="宋体" w:eastAsia="宋体" w:hint="default"/>
          <w:spacing w:val="-4"/>
        </w:rPr>
        <w:t>68</w:t>
      </w:r>
      <w:r>
        <w:rPr>
          <w:spacing w:val="-4"/>
        </w:rPr>
        <w:t>号），并于</w:t>
      </w:r>
      <w:r>
        <w:rPr>
          <w:rFonts w:ascii="宋体" w:hAnsi="宋体" w:cs="宋体" w:eastAsia="宋体" w:hint="default"/>
          <w:spacing w:val="-4"/>
        </w:rPr>
        <w:t>12</w:t>
      </w:r>
      <w:r>
        <w:rPr>
          <w:spacing w:val="-4"/>
        </w:rPr>
        <w:t>月</w:t>
      </w:r>
      <w:r>
        <w:rPr>
          <w:rFonts w:ascii="宋体" w:hAnsi="宋体" w:cs="宋体" w:eastAsia="宋体" w:hint="default"/>
          <w:spacing w:val="-4"/>
        </w:rPr>
        <w:t>21</w:t>
      </w:r>
      <w:r>
        <w:rPr>
          <w:spacing w:val="-4"/>
        </w:rPr>
        <w:t>日，对外披露了《关于对深圳证券交易所重组问询函的回复公告》及重组预案修订稿等相关</w:t>
      </w:r>
      <w:r>
        <w:rPr>
          <w:spacing w:val="54"/>
        </w:rPr>
        <w:t> </w:t>
      </w:r>
      <w:r>
        <w:rPr>
          <w:spacing w:val="54"/>
        </w:rPr>
      </w:r>
      <w:r>
        <w:rPr>
          <w:spacing w:val="-4"/>
        </w:rPr>
        <w:t>公告，公司股票于</w:t>
      </w:r>
      <w:r>
        <w:rPr>
          <w:rFonts w:ascii="宋体" w:hAnsi="宋体" w:cs="宋体" w:eastAsia="宋体" w:hint="default"/>
          <w:spacing w:val="-4"/>
        </w:rPr>
        <w:t>12</w:t>
      </w:r>
      <w:r>
        <w:rPr>
          <w:spacing w:val="-4"/>
        </w:rPr>
        <w:t>月</w:t>
      </w:r>
      <w:r>
        <w:rPr>
          <w:rFonts w:ascii="宋体" w:hAnsi="宋体" w:cs="宋体" w:eastAsia="宋体" w:hint="default"/>
          <w:spacing w:val="-4"/>
        </w:rPr>
        <w:t>21</w:t>
      </w:r>
      <w:r>
        <w:rPr>
          <w:spacing w:val="-4"/>
        </w:rPr>
        <w:t>日上午开市起复牌。</w:t>
      </w:r>
      <w:r>
        <w:rPr>
          <w:rFonts w:ascii="宋体" w:hAnsi="宋体" w:cs="宋体" w:eastAsia="宋体" w:hint="default"/>
          <w:spacing w:val="-4"/>
        </w:rPr>
        <w:t>2018</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31</w:t>
      </w:r>
      <w:r>
        <w:rPr>
          <w:spacing w:val="-4"/>
        </w:rPr>
        <w:t>日，公司第四届董事会第十二次会议审议通过了《关于</w:t>
      </w:r>
      <w:r>
        <w:rPr>
          <w:rFonts w:ascii="宋体" w:hAnsi="宋体" w:cs="宋体" w:eastAsia="宋体" w:hint="default"/>
          <w:spacing w:val="-4"/>
        </w:rPr>
        <w:t>&lt;</w:t>
      </w:r>
      <w:r>
        <w:rPr>
          <w:spacing w:val="-4"/>
        </w:rPr>
        <w:t>深圳市银</w:t>
      </w:r>
      <w:r>
        <w:rPr>
          <w:spacing w:val="60"/>
        </w:rPr>
        <w:t> </w:t>
      </w:r>
      <w:r>
        <w:rPr>
          <w:spacing w:val="60"/>
        </w:rPr>
      </w:r>
      <w:r>
        <w:rPr>
          <w:spacing w:val="-3"/>
        </w:rPr>
        <w:t>之杰科技股份有限公司发行股份及支付现金购买资产并募集配套资金报告书（草案）</w:t>
      </w:r>
      <w:r>
        <w:rPr>
          <w:rFonts w:ascii="宋体" w:hAnsi="宋体" w:cs="宋体" w:eastAsia="宋体" w:hint="default"/>
          <w:spacing w:val="-3"/>
        </w:rPr>
        <w:t>&gt;</w:t>
      </w:r>
      <w:r>
        <w:rPr>
          <w:spacing w:val="-3"/>
        </w:rPr>
        <w:t>及其摘要的议案》等相关议案。</w:t>
      </w:r>
      <w:r>
        <w:rPr>
          <w:rFonts w:ascii="宋体" w:hAnsi="宋体" w:cs="宋体" w:eastAsia="宋体" w:hint="default"/>
          <w:spacing w:val="-3"/>
        </w:rPr>
        <w:t>2018</w:t>
      </w:r>
      <w:r>
        <w:rPr>
          <w:rFonts w:ascii="宋体" w:hAnsi="宋体" w:cs="宋体" w:eastAsia="宋体" w:hint="default"/>
          <w:spacing w:val="77"/>
        </w:rPr>
        <w:t> </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19</w:t>
      </w:r>
      <w:r>
        <w:rPr>
          <w:spacing w:val="-3"/>
        </w:rPr>
        <w:t>日，公司召开</w:t>
      </w:r>
      <w:r>
        <w:rPr>
          <w:rFonts w:ascii="宋体" w:hAnsi="宋体" w:cs="宋体" w:eastAsia="宋体" w:hint="default"/>
          <w:spacing w:val="-3"/>
        </w:rPr>
        <w:t>2018</w:t>
      </w:r>
      <w:r>
        <w:rPr>
          <w:spacing w:val="-3"/>
        </w:rPr>
        <w:t>年第二次临时股东大会，审议通过了重大资产重组的相关议案。</w:t>
      </w:r>
    </w:p>
    <w:p>
      <w:pPr>
        <w:pStyle w:val="BodyText"/>
        <w:spacing w:line="477" w:lineRule="auto" w:before="59"/>
        <w:ind w:right="1121" w:firstLine="360"/>
        <w:jc w:val="right"/>
      </w:pPr>
      <w:r>
        <w:rPr>
          <w:rFonts w:ascii="宋体" w:hAnsi="宋体" w:cs="宋体" w:eastAsia="宋体" w:hint="default"/>
          <w:spacing w:val="-4"/>
        </w:rPr>
        <w:t>2018</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29</w:t>
      </w:r>
      <w:r>
        <w:rPr>
          <w:spacing w:val="-4"/>
        </w:rPr>
        <w:t>日，公司收到中国证监会出具的《中国证监会行政许可申请受理单》。</w:t>
      </w:r>
      <w:r>
        <w:rPr>
          <w:rFonts w:ascii="宋体" w:hAnsi="宋体" w:cs="宋体" w:eastAsia="宋体" w:hint="default"/>
          <w:spacing w:val="-4"/>
        </w:rPr>
        <w:t>2018</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11</w:t>
      </w:r>
      <w:r>
        <w:rPr>
          <w:spacing w:val="-4"/>
        </w:rPr>
        <w:t>日，公司收到中国证监</w:t>
      </w:r>
      <w:r>
        <w:rPr>
          <w:w w:val="101"/>
        </w:rPr>
        <w:t> </w:t>
      </w:r>
      <w:r>
        <w:rPr>
          <w:spacing w:val="-4"/>
        </w:rPr>
        <w:t>会出具的《中国证监会行政许可项目审查一次反馈意见通知书》。鉴于反馈意见部分事项还需进一步核查，相关内容还需进</w:t>
      </w:r>
      <w:r>
        <w:rPr>
          <w:spacing w:val="19"/>
        </w:rPr>
        <w:t> </w:t>
      </w:r>
      <w:r>
        <w:rPr>
          <w:spacing w:val="19"/>
        </w:rPr>
      </w:r>
      <w:r>
        <w:rPr>
          <w:spacing w:val="-4"/>
        </w:rPr>
        <w:t>一步论证和完善，公司预计难以在规定的时间内完成反馈意见回复的披露及报送工作。公司已向中国证监会申请延期报送反</w:t>
      </w:r>
      <w:r>
        <w:rPr>
          <w:spacing w:val="25"/>
        </w:rPr>
        <w:t> </w:t>
      </w:r>
      <w:r>
        <w:rPr>
          <w:spacing w:val="25"/>
        </w:rPr>
      </w:r>
      <w:r>
        <w:rPr>
          <w:spacing w:val="-3"/>
        </w:rPr>
        <w:t>馈意见书面回复，申请延期不超过</w:t>
      </w:r>
      <w:r>
        <w:rPr>
          <w:rFonts w:ascii="宋体" w:hAnsi="宋体" w:cs="宋体" w:eastAsia="宋体" w:hint="default"/>
          <w:spacing w:val="-3"/>
        </w:rPr>
        <w:t>30</w:t>
      </w:r>
      <w:r>
        <w:rPr>
          <w:spacing w:val="-3"/>
        </w:rPr>
        <w:t>个工作日，即预计不晚于</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7</w:t>
      </w:r>
      <w:r>
        <w:rPr>
          <w:spacing w:val="-3"/>
        </w:rPr>
        <w:t>日前回复并报送反馈意见及相关书面回复材料。</w:t>
      </w:r>
      <w:r>
        <w:rPr>
          <w:spacing w:val="54"/>
        </w:rPr>
        <w:t> </w:t>
      </w:r>
      <w:r>
        <w:rPr>
          <w:spacing w:val="54"/>
        </w:rPr>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9</w:t>
      </w:r>
      <w:r>
        <w:rPr>
          <w:spacing w:val="-3"/>
        </w:rPr>
        <w:t>日，公司第四届董事会第十五次会议审议通过了《关于公司终止发行股份及支付现金购买资产并募集配套</w:t>
      </w:r>
      <w:r>
        <w:rPr>
          <w:w w:val="101"/>
        </w:rPr>
        <w:t> </w:t>
      </w:r>
      <w:r>
        <w:rPr>
          <w:spacing w:val="-4"/>
        </w:rPr>
        <w:t>资金事项的议案》及《关于公司与交易对方签署重大资产重组终止协议的议案》，同意公司终止本次发行股份及支付现金购</w:t>
      </w:r>
    </w:p>
    <w:p>
      <w:pPr>
        <w:pStyle w:val="BodyText"/>
        <w:spacing w:line="477" w:lineRule="auto" w:before="56"/>
        <w:ind w:right="1055"/>
        <w:jc w:val="left"/>
      </w:pPr>
      <w:r>
        <w:rPr>
          <w:spacing w:val="-3"/>
        </w:rPr>
        <w:t>买资产并募集配套资金事项并签署重大资产重组终止协议，同时公司向中国证监会申请撤回本次重大资产重组相关申请文</w:t>
      </w:r>
      <w:r>
        <w:rPr>
          <w:spacing w:val="66"/>
        </w:rPr>
        <w:t> </w:t>
      </w:r>
      <w:r>
        <w:rPr>
          <w:spacing w:val="66"/>
        </w:rPr>
      </w:r>
      <w:r>
        <w:rPr>
          <w:spacing w:val="-3"/>
        </w:rPr>
        <w:t>件。</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26</w:t>
      </w:r>
      <w:r>
        <w:rPr>
          <w:spacing w:val="-3"/>
        </w:rPr>
        <w:t>日，公司召开</w:t>
      </w:r>
      <w:r>
        <w:rPr>
          <w:rFonts w:ascii="宋体" w:hAnsi="宋体" w:cs="宋体" w:eastAsia="宋体" w:hint="default"/>
          <w:spacing w:val="-3"/>
        </w:rPr>
        <w:t>2018</w:t>
      </w:r>
      <w:r>
        <w:rPr>
          <w:spacing w:val="-3"/>
        </w:rPr>
        <w:t>年第三次临时股东大会，审议通过了终止重大资产重组的相关议案。</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w:t>
      </w:r>
      <w:r>
        <w:rPr>
          <w:spacing w:val="4"/>
        </w:rPr>
        <w:t> </w:t>
      </w:r>
      <w:r>
        <w:rPr>
          <w:spacing w:val="-4"/>
          <w:w w:val="101"/>
        </w:rPr>
        <w:t>公司与财务顾问华英证券有限责任公司向中国证监会报送了《关于撤回深圳市银之杰科技股份有限公司发行股份及支付现金</w:t>
      </w:r>
      <w:r>
        <w:rPr>
          <w:w w:val="101"/>
        </w:rPr>
        <w:t> </w:t>
      </w:r>
      <w:r>
        <w:rPr>
          <w:spacing w:val="-4"/>
        </w:rPr>
        <w:t>购买资产并募集配套资金申请文件的申请》。</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11</w:t>
      </w:r>
      <w:r>
        <w:rPr>
          <w:spacing w:val="-4"/>
        </w:rPr>
        <w:t>日，公司收到中国证监会下发的《中国证监会行政许可申请终止</w:t>
      </w:r>
      <w:r>
        <w:rPr>
          <w:spacing w:val="56"/>
        </w:rPr>
        <w:t> </w:t>
      </w:r>
      <w:r>
        <w:rPr>
          <w:spacing w:val="56"/>
        </w:rPr>
      </w:r>
      <w:r>
        <w:rPr>
          <w:spacing w:val="-3"/>
        </w:rPr>
        <w:t>审查通知书》（</w:t>
      </w:r>
      <w:r>
        <w:rPr>
          <w:rFonts w:ascii="宋体" w:hAnsi="宋体" w:cs="宋体" w:eastAsia="宋体" w:hint="default"/>
          <w:spacing w:val="-3"/>
        </w:rPr>
        <w:t>[2018]466</w:t>
      </w:r>
      <w:r>
        <w:rPr>
          <w:spacing w:val="-3"/>
        </w:rPr>
        <w:t>号），中国证监会决定终止对《中国证监会行政许可申请受理单》（</w:t>
      </w:r>
      <w:r>
        <w:rPr>
          <w:rFonts w:ascii="宋体" w:hAnsi="宋体" w:cs="宋体" w:eastAsia="宋体" w:hint="default"/>
          <w:spacing w:val="-3"/>
        </w:rPr>
        <w:t>181111</w:t>
      </w:r>
      <w:r>
        <w:rPr>
          <w:spacing w:val="-3"/>
        </w:rPr>
        <w:t>号）行政许可申请的</w:t>
      </w:r>
      <w:r>
        <w:rPr>
          <w:spacing w:val="5"/>
        </w:rPr>
        <w:t> </w:t>
      </w:r>
      <w:r>
        <w:rPr>
          <w:spacing w:val="5"/>
        </w:rPr>
      </w:r>
      <w:r>
        <w:rPr/>
        <w:t>审查。</w:t>
      </w:r>
    </w:p>
    <w:p>
      <w:pPr>
        <w:spacing w:after="0" w:line="477"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left="513" w:right="1055"/>
        <w:jc w:val="left"/>
      </w:pPr>
      <w:r>
        <w:rPr>
          <w:rFonts w:ascii="宋体" w:hAnsi="宋体" w:cs="宋体" w:eastAsia="宋体" w:hint="default"/>
          <w:spacing w:val="-3"/>
        </w:rPr>
        <w:t>2</w:t>
      </w:r>
      <w:r>
        <w:rPr>
          <w:spacing w:val="-3"/>
        </w:rPr>
        <w:t>、清算并注销参股公司福建片仔癀银之杰健康管理有限公司的相关情况</w:t>
      </w:r>
      <w:r>
        <w:rPr>
          <w:spacing w:val="6"/>
        </w:rPr>
        <w:t> </w:t>
      </w:r>
      <w:r>
        <w:rPr>
          <w:spacing w:val="6"/>
        </w:rPr>
      </w:r>
      <w:r>
        <w:rPr>
          <w:spacing w:val="-4"/>
        </w:rPr>
        <w:t>根据公司战略发展规划，对相关业务进行相应调整，为降低公司经营管理成本，优化公司治理结构，充分整合优化现有</w:t>
      </w:r>
    </w:p>
    <w:p>
      <w:pPr>
        <w:pStyle w:val="BodyText"/>
        <w:spacing w:line="477" w:lineRule="auto" w:before="59"/>
        <w:ind w:right="1122"/>
        <w:jc w:val="both"/>
      </w:pPr>
      <w:r>
        <w:rPr>
          <w:spacing w:val="-4"/>
        </w:rPr>
        <w:t>资源配置，提升公司管理运作效率，经公司审慎研究，全资子公司北京亿美软通科技有限公司拟清算并注销参股公司福建片</w:t>
      </w:r>
      <w:r>
        <w:rPr>
          <w:spacing w:val="38"/>
        </w:rPr>
        <w:t> </w:t>
      </w:r>
      <w:r>
        <w:rPr>
          <w:spacing w:val="38"/>
        </w:rPr>
      </w:r>
      <w:r>
        <w:rPr>
          <w:spacing w:val="-4"/>
        </w:rPr>
        <w:t>仔癀银之杰健康管理有限公司（以下简称“片仔癀银之杰”）。上述事项已经</w:t>
      </w:r>
      <w:r>
        <w:rPr>
          <w:rFonts w:ascii="宋体" w:hAnsi="宋体" w:cs="宋体" w:eastAsia="宋体" w:hint="default"/>
          <w:spacing w:val="-4"/>
        </w:rPr>
        <w:t>2018</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29</w:t>
      </w:r>
      <w:r>
        <w:rPr>
          <w:spacing w:val="-4"/>
        </w:rPr>
        <w:t>日公司第四届董事会第十四次会</w:t>
      </w:r>
      <w:r>
        <w:rPr>
          <w:spacing w:val="60"/>
        </w:rPr>
        <w:t> </w:t>
      </w:r>
      <w:r>
        <w:rPr>
          <w:spacing w:val="60"/>
        </w:rPr>
      </w:r>
      <w:r>
        <w:rPr/>
        <w:t>议审议通过。</w:t>
      </w:r>
    </w:p>
    <w:p>
      <w:pPr>
        <w:pStyle w:val="BodyText"/>
        <w:spacing w:line="477" w:lineRule="auto" w:before="52"/>
        <w:ind w:right="1123" w:firstLine="360"/>
        <w:jc w:val="both"/>
      </w:pPr>
      <w:r>
        <w:rPr>
          <w:spacing w:val="-3"/>
        </w:rPr>
        <w:t>公司全资子公司亿美软通持有片仔癀银之杰</w:t>
      </w:r>
      <w:r>
        <w:rPr>
          <w:rFonts w:ascii="宋体" w:hAnsi="宋体" w:cs="宋体" w:eastAsia="宋体" w:hint="default"/>
          <w:spacing w:val="-3"/>
        </w:rPr>
        <w:t>43%</w:t>
      </w:r>
      <w:r>
        <w:rPr>
          <w:spacing w:val="-3"/>
        </w:rPr>
        <w:t>的股权，片仔癀银之杰作为公司的联营企业，公司以权益法核算投资收</w:t>
      </w:r>
      <w:r>
        <w:rPr>
          <w:w w:val="101"/>
        </w:rPr>
        <w:t> </w:t>
      </w:r>
      <w:r>
        <w:rPr>
          <w:spacing w:val="-4"/>
        </w:rPr>
        <w:t>益。片仔癀银之杰注销完成后，公司合并财务报表的范围不会发生变更。鉴于片仔癀银之杰对公司投资收益的影响较小，不</w:t>
      </w:r>
      <w:r>
        <w:rPr>
          <w:spacing w:val="40"/>
        </w:rPr>
        <w:t> </w:t>
      </w:r>
      <w:r>
        <w:rPr>
          <w:spacing w:val="40"/>
        </w:rPr>
      </w:r>
      <w:r>
        <w:rPr>
          <w:spacing w:val="-3"/>
        </w:rPr>
        <w:t>会对公司的经营成果产生重大影响，也不会对公司整体业务的发展和生产经营产生实质性的影响</w:t>
      </w:r>
      <w:r>
        <w:rPr>
          <w:rFonts w:ascii="宋体" w:hAnsi="宋体" w:cs="宋体" w:eastAsia="宋体" w:hint="default"/>
          <w:spacing w:val="-3"/>
        </w:rPr>
        <w:t>,</w:t>
      </w:r>
      <w:r>
        <w:rPr>
          <w:spacing w:val="-3"/>
        </w:rPr>
        <w:t>不存在损害公司及股东、</w:t>
      </w:r>
      <w:r>
        <w:rPr>
          <w:spacing w:val="70"/>
        </w:rPr>
        <w:t> </w:t>
      </w:r>
      <w:r>
        <w:rPr>
          <w:spacing w:val="70"/>
        </w:rPr>
      </w:r>
      <w:r>
        <w:rPr>
          <w:spacing w:val="-3"/>
        </w:rPr>
        <w:t>特别是中小股东利益的情形。截至本报告期末，片仔癀银之杰的注销工作尚未完成。</w:t>
      </w:r>
    </w:p>
    <w:p>
      <w:pPr>
        <w:pStyle w:val="BodyText"/>
        <w:spacing w:line="240" w:lineRule="auto" w:before="52"/>
        <w:ind w:left="513" w:right="1055"/>
        <w:jc w:val="left"/>
      </w:pPr>
      <w:r>
        <w:rPr>
          <w:rFonts w:ascii="宋体" w:hAnsi="宋体" w:cs="宋体" w:eastAsia="宋体" w:hint="default"/>
        </w:rPr>
        <w:t>3</w:t>
      </w:r>
      <w:r>
        <w:rPr/>
        <w:t>、出售公司自有房产的相关情况</w:t>
      </w:r>
    </w:p>
    <w:p>
      <w:pPr>
        <w:spacing w:line="240" w:lineRule="auto" w:before="12"/>
        <w:rPr>
          <w:rFonts w:ascii="宋体" w:hAnsi="宋体" w:cs="宋体" w:eastAsia="宋体" w:hint="default"/>
          <w:sz w:val="17"/>
          <w:szCs w:val="17"/>
        </w:rPr>
      </w:pPr>
    </w:p>
    <w:p>
      <w:pPr>
        <w:pStyle w:val="BodyText"/>
        <w:spacing w:line="475" w:lineRule="auto"/>
        <w:ind w:right="1123" w:firstLine="360"/>
        <w:jc w:val="both"/>
      </w:pPr>
      <w:r>
        <w:rPr/>
        <w:pict>
          <v:shape style="position:absolute;margin-left:56.183998pt;margin-top:89.011734pt;width:479.85pt;height:358.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5"/>
                    <w:gridCol w:w="2694"/>
                    <w:gridCol w:w="3477"/>
                  </w:tblGrid>
                  <w:tr>
                    <w:trPr>
                      <w:trHeight w:val="427" w:hRule="exact"/>
                    </w:trPr>
                    <w:tc>
                      <w:tcPr>
                        <w:tcW w:w="34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4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pacing w:val="-3"/>
                            <w:sz w:val="18"/>
                            <w:szCs w:val="18"/>
                          </w:rPr>
                          <w:t>临时报告披露网站查询索引</w:t>
                        </w:r>
                      </w:p>
                    </w:tc>
                  </w:tr>
                  <w:tr>
                    <w:trPr>
                      <w:trHeight w:val="1052"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pacing w:val="-3"/>
                            <w:sz w:val="18"/>
                            <w:szCs w:val="18"/>
                          </w:rPr>
                          <w:t>披露重大资产重组方案等</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01</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的《发行股份及支付现金购买资产并配套募</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集资金报告书（草案）》等相关公告</w:t>
                        </w:r>
                      </w:p>
                    </w:tc>
                  </w:tr>
                  <w:tr>
                    <w:trPr>
                      <w:trHeight w:val="1051"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pacing w:val="-3"/>
                            <w:sz w:val="18"/>
                            <w:szCs w:val="18"/>
                          </w:rPr>
                          <w:t>重大资产重组经公司股东大会审议通过</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的《</w:t>
                        </w:r>
                        <w:r>
                          <w:rPr>
                            <w:rFonts w:ascii="宋体" w:hAnsi="宋体" w:cs="宋体" w:eastAsia="宋体" w:hint="default"/>
                            <w:sz w:val="18"/>
                            <w:szCs w:val="18"/>
                          </w:rPr>
                          <w:t>2018</w:t>
                        </w:r>
                        <w:r>
                          <w:rPr>
                            <w:rFonts w:ascii="宋体" w:hAnsi="宋体" w:cs="宋体" w:eastAsia="宋体" w:hint="default"/>
                            <w:sz w:val="18"/>
                            <w:szCs w:val="18"/>
                          </w:rPr>
                          <w:t>年第二次临时股东大会决议公告》</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等相关公告</w:t>
                        </w:r>
                      </w:p>
                    </w:tc>
                  </w:tr>
                  <w:tr>
                    <w:trPr>
                      <w:trHeight w:val="1052"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pacing w:val="-3"/>
                            <w:sz w:val="18"/>
                            <w:szCs w:val="18"/>
                          </w:rPr>
                          <w:t>收到中国证监会重大资产重组申请受理单</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6"/>
                            <w:sz w:val="18"/>
                            <w:szCs w:val="18"/>
                          </w:rPr>
                          <w:t>的《关于收到</w:t>
                        </w:r>
                        <w:r>
                          <w:rPr>
                            <w:rFonts w:ascii="宋体" w:hAnsi="宋体" w:cs="宋体" w:eastAsia="宋体" w:hint="default"/>
                            <w:spacing w:val="-6"/>
                            <w:sz w:val="18"/>
                            <w:szCs w:val="18"/>
                          </w:rPr>
                          <w:t>&lt;</w:t>
                        </w:r>
                        <w:r>
                          <w:rPr>
                            <w:rFonts w:ascii="宋体" w:hAnsi="宋体" w:cs="宋体" w:eastAsia="宋体" w:hint="default"/>
                            <w:spacing w:val="-6"/>
                            <w:sz w:val="18"/>
                            <w:szCs w:val="18"/>
                          </w:rPr>
                          <w:t>中国证监会行政许可申请受理</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单</w:t>
                        </w:r>
                        <w:r>
                          <w:rPr>
                            <w:rFonts w:ascii="宋体" w:hAnsi="宋体" w:cs="宋体" w:eastAsia="宋体" w:hint="default"/>
                            <w:sz w:val="18"/>
                            <w:szCs w:val="18"/>
                          </w:rPr>
                          <w:t>&gt;</w:t>
                        </w:r>
                        <w:r>
                          <w:rPr>
                            <w:rFonts w:ascii="宋体" w:hAnsi="宋体" w:cs="宋体" w:eastAsia="宋体" w:hint="default"/>
                            <w:sz w:val="18"/>
                            <w:szCs w:val="18"/>
                          </w:rPr>
                          <w:t>的公告》</w:t>
                        </w:r>
                      </w:p>
                    </w:tc>
                  </w:tr>
                  <w:tr>
                    <w:trPr>
                      <w:trHeight w:val="1051"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4" w:right="3"/>
                          <w:jc w:val="left"/>
                          <w:rPr>
                            <w:rFonts w:ascii="宋体" w:hAnsi="宋体" w:cs="宋体" w:eastAsia="宋体" w:hint="default"/>
                            <w:sz w:val="18"/>
                            <w:szCs w:val="18"/>
                          </w:rPr>
                        </w:pPr>
                        <w:r>
                          <w:rPr>
                            <w:rFonts w:ascii="宋体" w:hAnsi="宋体" w:cs="宋体" w:eastAsia="宋体" w:hint="default"/>
                            <w:spacing w:val="3"/>
                            <w:sz w:val="18"/>
                            <w:szCs w:val="18"/>
                          </w:rPr>
                          <w:t>收到中国证监会重大资产重组反馈意见通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知书</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09</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6"/>
                            <w:sz w:val="18"/>
                            <w:szCs w:val="18"/>
                          </w:rPr>
                          <w:t>的《关于收到</w:t>
                        </w:r>
                        <w:r>
                          <w:rPr>
                            <w:rFonts w:ascii="宋体" w:hAnsi="宋体" w:cs="宋体" w:eastAsia="宋体" w:hint="default"/>
                            <w:spacing w:val="-6"/>
                            <w:sz w:val="18"/>
                            <w:szCs w:val="18"/>
                          </w:rPr>
                          <w:t>&lt;</w:t>
                        </w:r>
                        <w:r>
                          <w:rPr>
                            <w:rFonts w:ascii="宋体" w:hAnsi="宋体" w:cs="宋体" w:eastAsia="宋体" w:hint="default"/>
                            <w:spacing w:val="-6"/>
                            <w:sz w:val="18"/>
                            <w:szCs w:val="18"/>
                          </w:rPr>
                          <w:t>中国证监会行政许可项目审查</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一次反馈意见通知书</w:t>
                        </w:r>
                        <w:r>
                          <w:rPr>
                            <w:rFonts w:ascii="宋体" w:hAnsi="宋体" w:cs="宋体" w:eastAsia="宋体" w:hint="default"/>
                            <w:spacing w:val="-3"/>
                            <w:sz w:val="18"/>
                            <w:szCs w:val="18"/>
                          </w:rPr>
                          <w:t>&gt;</w:t>
                        </w:r>
                        <w:r>
                          <w:rPr>
                            <w:rFonts w:ascii="宋体" w:hAnsi="宋体" w:cs="宋体" w:eastAsia="宋体" w:hint="default"/>
                            <w:spacing w:val="-3"/>
                            <w:sz w:val="18"/>
                            <w:szCs w:val="18"/>
                          </w:rPr>
                          <w:t>的公告》</w:t>
                        </w:r>
                      </w:p>
                    </w:tc>
                  </w:tr>
                  <w:tr>
                    <w:trPr>
                      <w:trHeight w:val="1052"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pacing w:val="-3"/>
                            <w:sz w:val="18"/>
                            <w:szCs w:val="18"/>
                          </w:rPr>
                          <w:t>延期报送重大资产重组反馈意见回复</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6"/>
                            <w:sz w:val="18"/>
                            <w:szCs w:val="18"/>
                          </w:rPr>
                          <w:t>的《关于延期回复</w:t>
                        </w:r>
                        <w:r>
                          <w:rPr>
                            <w:rFonts w:ascii="宋体" w:hAnsi="宋体" w:cs="宋体" w:eastAsia="宋体" w:hint="default"/>
                            <w:spacing w:val="-6"/>
                            <w:sz w:val="18"/>
                            <w:szCs w:val="18"/>
                          </w:rPr>
                          <w:t>&lt;</w:t>
                        </w:r>
                        <w:r>
                          <w:rPr>
                            <w:rFonts w:ascii="宋体" w:hAnsi="宋体" w:cs="宋体" w:eastAsia="宋体" w:hint="default"/>
                            <w:spacing w:val="-6"/>
                            <w:sz w:val="18"/>
                            <w:szCs w:val="18"/>
                          </w:rPr>
                          <w:t>中国证监会行政许可项目</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审查一次反馈意见通知书</w:t>
                        </w:r>
                        <w:r>
                          <w:rPr>
                            <w:rFonts w:ascii="宋体" w:hAnsi="宋体" w:cs="宋体" w:eastAsia="宋体" w:hint="default"/>
                            <w:spacing w:val="-3"/>
                            <w:sz w:val="18"/>
                            <w:szCs w:val="18"/>
                          </w:rPr>
                          <w:t>&gt;</w:t>
                        </w:r>
                        <w:r>
                          <w:rPr>
                            <w:rFonts w:ascii="宋体" w:hAnsi="宋体" w:cs="宋体" w:eastAsia="宋体" w:hint="default"/>
                            <w:spacing w:val="-3"/>
                            <w:sz w:val="18"/>
                            <w:szCs w:val="18"/>
                          </w:rPr>
                          <w:t>的公告》</w:t>
                        </w:r>
                      </w:p>
                    </w:tc>
                  </w:tr>
                  <w:tr>
                    <w:trPr>
                      <w:trHeight w:val="1052"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4" w:lineRule="auto"/>
                          <w:ind w:left="4" w:right="1"/>
                          <w:jc w:val="left"/>
                          <w:rPr>
                            <w:rFonts w:ascii="宋体" w:hAnsi="宋体" w:cs="宋体" w:eastAsia="宋体" w:hint="default"/>
                            <w:sz w:val="18"/>
                            <w:szCs w:val="18"/>
                          </w:rPr>
                        </w:pPr>
                        <w:r>
                          <w:rPr>
                            <w:rFonts w:ascii="宋体" w:hAnsi="宋体" w:cs="宋体" w:eastAsia="宋体" w:hint="default"/>
                            <w:spacing w:val="-5"/>
                            <w:sz w:val="18"/>
                            <w:szCs w:val="18"/>
                          </w:rPr>
                          <w:t>拟终止重大资产重组终止事项，并向中国证</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监会申请撤回重大资产重组相关申请文件</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的《关于终止发行股份及支付现金购买资产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并募集配套资金事项的公告》</w:t>
                        </w:r>
                      </w:p>
                    </w:tc>
                  </w:tr>
                  <w:tr>
                    <w:trPr>
                      <w:trHeight w:val="427"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left"/>
                          <w:rPr>
                            <w:rFonts w:ascii="宋体" w:hAnsi="宋体" w:cs="宋体" w:eastAsia="宋体" w:hint="default"/>
                            <w:sz w:val="18"/>
                            <w:szCs w:val="18"/>
                          </w:rPr>
                        </w:pPr>
                        <w:r>
                          <w:rPr>
                            <w:rFonts w:ascii="宋体" w:hAnsi="宋体" w:cs="宋体" w:eastAsia="宋体" w:hint="default"/>
                            <w:spacing w:val="3"/>
                            <w:sz w:val="18"/>
                            <w:szCs w:val="18"/>
                          </w:rPr>
                          <w:t>终止重大资产重组经公司股东大会审议通</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p>
                    </w:tc>
                  </w:tr>
                </w:tbl>
                <w:p>
                  <w:pPr/>
                </w:p>
              </w:txbxContent>
            </v:textbox>
            <w10:wrap type="none"/>
          </v:shape>
        </w:pic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9</w:t>
      </w:r>
      <w:r>
        <w:rPr>
          <w:spacing w:val="-3"/>
        </w:rPr>
        <w:t>日，公司第四届董事会第十五次会议及第四届监事会第十三次会议审议通过了《关于出售公司自有房产的</w:t>
      </w:r>
      <w:r>
        <w:rPr>
          <w:w w:val="101"/>
        </w:rPr>
        <w:t> </w:t>
      </w:r>
      <w:r>
        <w:rPr>
          <w:spacing w:val="-4"/>
        </w:rPr>
        <w:t>议案》，为提高公司资产使用效率，调整资产负债结构，有效回笼资金，同意公司将位于深圳市福田区深南中路与广深高速</w:t>
      </w:r>
      <w:r>
        <w:rPr>
          <w:spacing w:val="40"/>
        </w:rPr>
        <w:t> </w:t>
      </w:r>
      <w:r>
        <w:rPr>
          <w:spacing w:val="40"/>
        </w:rPr>
      </w:r>
      <w:r>
        <w:rPr>
          <w:spacing w:val="-3"/>
        </w:rPr>
        <w:t>公路交界东南金运世纪大厦</w:t>
      </w:r>
      <w:r>
        <w:rPr>
          <w:rFonts w:ascii="宋体" w:hAnsi="宋体" w:cs="宋体" w:eastAsia="宋体" w:hint="default"/>
          <w:spacing w:val="-3"/>
        </w:rPr>
        <w:t>10A-10L</w:t>
      </w:r>
      <w:r>
        <w:rPr>
          <w:spacing w:val="-3"/>
        </w:rPr>
        <w:t>，总面积为</w:t>
      </w:r>
      <w:r>
        <w:rPr>
          <w:rFonts w:ascii="宋体" w:hAnsi="宋体" w:cs="宋体" w:eastAsia="宋体" w:hint="default"/>
          <w:spacing w:val="-3"/>
        </w:rPr>
        <w:t>1,853.96</w:t>
      </w:r>
      <w:r>
        <w:rPr>
          <w:spacing w:val="-3"/>
        </w:rPr>
        <w:t>平方米的房产对外出售。截至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24</w:t>
      </w:r>
      <w:r>
        <w:rPr>
          <w:spacing w:val="-3"/>
        </w:rPr>
        <w:t>日，公司已经完成该项</w:t>
      </w:r>
      <w:r>
        <w:rPr>
          <w:spacing w:val="13"/>
        </w:rPr>
        <w:t> </w:t>
      </w:r>
      <w:r>
        <w:rPr>
          <w:spacing w:val="13"/>
        </w:rPr>
      </w:r>
      <w:r>
        <w:rPr>
          <w:spacing w:val="-3"/>
        </w:rPr>
        <w:t>房产出售的全部交易过户手续。</w:t>
      </w:r>
    </w:p>
    <w:p>
      <w:pPr>
        <w:spacing w:after="0" w:line="475" w:lineRule="auto"/>
        <w:jc w:val="both"/>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3405"/>
        <w:gridCol w:w="2694"/>
        <w:gridCol w:w="3477"/>
      </w:tblGrid>
      <w:tr>
        <w:trPr>
          <w:trHeight w:val="701"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w w:val="101"/>
                <w:sz w:val="18"/>
                <w:szCs w:val="18"/>
              </w:rPr>
              <w:t>过</w:t>
            </w:r>
            <w:r>
              <w:rPr>
                <w:rFonts w:ascii="宋体" w:hAnsi="宋体" w:cs="宋体" w:eastAsia="宋体" w:hint="default"/>
                <w:sz w:val="18"/>
                <w:szCs w:val="18"/>
              </w:rPr>
            </w:r>
          </w:p>
        </w:tc>
        <w:tc>
          <w:tcPr>
            <w:tcW w:w="2694" w:type="dxa"/>
            <w:tcBorders>
              <w:top w:val="single" w:sz="6" w:space="0" w:color="000000"/>
              <w:left w:val="single" w:sz="6" w:space="0" w:color="000000"/>
              <w:bottom w:val="single" w:sz="6" w:space="0" w:color="000000"/>
              <w:right w:val="single" w:sz="6" w:space="0" w:color="000000"/>
            </w:tcBorders>
          </w:tcPr>
          <w:p>
            <w:pP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z w:val="18"/>
                <w:szCs w:val="18"/>
              </w:rPr>
              <w:t>2018</w:t>
            </w:r>
            <w:r>
              <w:rPr>
                <w:rFonts w:ascii="宋体" w:hAnsi="宋体" w:cs="宋体" w:eastAsia="宋体" w:hint="default"/>
                <w:sz w:val="18"/>
                <w:szCs w:val="18"/>
              </w:rPr>
              <w:t>年第三次临时股东大会决议公告》</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等相关公告</w:t>
            </w:r>
          </w:p>
        </w:tc>
      </w:tr>
      <w:tr>
        <w:trPr>
          <w:trHeight w:val="1052"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pacing w:val="-3"/>
                <w:sz w:val="18"/>
                <w:szCs w:val="18"/>
              </w:rPr>
              <w:t>收到中国证监会终止审查通知书</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0"/>
              <w:jc w:val="both"/>
              <w:rPr>
                <w:rFonts w:ascii="宋体" w:hAnsi="宋体" w:cs="宋体" w:eastAsia="宋体" w:hint="default"/>
                <w:sz w:val="18"/>
                <w:szCs w:val="18"/>
              </w:rPr>
            </w:pPr>
            <w:r>
              <w:rPr>
                <w:rFonts w:ascii="宋体" w:hAnsi="宋体" w:cs="宋体" w:eastAsia="宋体" w:hint="default"/>
                <w:spacing w:val="2"/>
                <w:sz w:val="18"/>
                <w:szCs w:val="18"/>
              </w:rPr>
              <w:t>详见披露于巨潮资讯网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6"/>
                <w:sz w:val="18"/>
                <w:szCs w:val="18"/>
              </w:rPr>
              <w:t>的《关于收到</w:t>
            </w:r>
            <w:r>
              <w:rPr>
                <w:rFonts w:ascii="宋体" w:hAnsi="宋体" w:cs="宋体" w:eastAsia="宋体" w:hint="default"/>
                <w:spacing w:val="-6"/>
                <w:sz w:val="18"/>
                <w:szCs w:val="18"/>
              </w:rPr>
              <w:t>&lt;</w:t>
            </w:r>
            <w:r>
              <w:rPr>
                <w:rFonts w:ascii="宋体" w:hAnsi="宋体" w:cs="宋体" w:eastAsia="宋体" w:hint="default"/>
                <w:spacing w:val="-6"/>
                <w:sz w:val="18"/>
                <w:szCs w:val="18"/>
              </w:rPr>
              <w:t>中国证监会行政许可申请终止</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审查通知书</w:t>
            </w:r>
            <w:r>
              <w:rPr>
                <w:rFonts w:ascii="宋体" w:hAnsi="宋体" w:cs="宋体" w:eastAsia="宋体" w:hint="default"/>
                <w:sz w:val="18"/>
                <w:szCs w:val="18"/>
              </w:rPr>
              <w:t>&gt;</w:t>
            </w:r>
            <w:r>
              <w:rPr>
                <w:rFonts w:ascii="宋体" w:hAnsi="宋体" w:cs="宋体" w:eastAsia="宋体" w:hint="default"/>
                <w:sz w:val="18"/>
                <w:szCs w:val="18"/>
              </w:rPr>
              <w:t>的公告》等相关公告</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1055"/>
        <w:jc w:val="left"/>
        <w:rPr>
          <w:b w:val="0"/>
          <w:bCs w:val="0"/>
        </w:rPr>
      </w:pPr>
      <w:r>
        <w:rPr/>
        <w:t>十九、公司子公司重大事项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410" w:lineRule="auto"/>
        <w:ind w:left="513" w:right="5823"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3"/>
        </w:rPr>
        <w:t>1</w:t>
      </w:r>
      <w:r>
        <w:rPr>
          <w:spacing w:val="-3"/>
        </w:rPr>
        <w:t>、银之杰资产管理完成私募基金管理人登记的相关情况</w:t>
      </w:r>
    </w:p>
    <w:p>
      <w:pPr>
        <w:pStyle w:val="BodyText"/>
        <w:spacing w:line="477" w:lineRule="auto" w:before="107"/>
        <w:ind w:right="1122" w:firstLine="360"/>
        <w:jc w:val="both"/>
      </w:pPr>
      <w:r>
        <w:rPr>
          <w:spacing w:val="-5"/>
        </w:rPr>
        <w:t>银之杰资产管理向中国证券投资基金业协会申请了私募基金管理人资格，并在基金业协会完成私募基金管理人登记。详</w:t>
      </w:r>
      <w:r>
        <w:rPr>
          <w:w w:val="101"/>
        </w:rPr>
        <w:t> </w:t>
      </w:r>
      <w:r>
        <w:rPr>
          <w:spacing w:val="-4"/>
        </w:rPr>
        <w:t>见公司</w:t>
      </w:r>
      <w:r>
        <w:rPr>
          <w:rFonts w:ascii="宋体" w:hAnsi="宋体" w:cs="宋体" w:eastAsia="宋体" w:hint="default"/>
          <w:spacing w:val="-4"/>
        </w:rPr>
        <w:t>2018</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30</w:t>
      </w:r>
      <w:r>
        <w:rPr>
          <w:spacing w:val="-4"/>
        </w:rPr>
        <w:t>日披露于巨潮资讯网（</w:t>
      </w:r>
      <w:hyperlink r:id="rId13">
        <w:r>
          <w:rPr>
            <w:rFonts w:ascii="宋体" w:hAnsi="宋体" w:cs="宋体" w:eastAsia="宋体" w:hint="default"/>
            <w:spacing w:val="-4"/>
          </w:rPr>
          <w:t>www.cninfo.com.cn</w:t>
        </w:r>
      </w:hyperlink>
      <w:r>
        <w:rPr>
          <w:spacing w:val="-4"/>
        </w:rPr>
        <w:t>）的《关于全资子公司完成私募基金管理人登记的公告》（公</w:t>
      </w:r>
      <w:r>
        <w:rPr>
          <w:spacing w:val="2"/>
        </w:rPr>
        <w:t> </w:t>
      </w:r>
      <w:r>
        <w:rPr>
          <w:spacing w:val="2"/>
        </w:rPr>
      </w:r>
      <w:r>
        <w:rPr/>
        <w:t>告编号：</w:t>
      </w:r>
      <w:r>
        <w:rPr>
          <w:rFonts w:ascii="宋体" w:hAnsi="宋体" w:cs="宋体" w:eastAsia="宋体" w:hint="default"/>
        </w:rPr>
        <w:t>2018-012</w:t>
      </w:r>
      <w:r>
        <w:rPr/>
        <w:t>）。</w:t>
      </w:r>
    </w:p>
    <w:p>
      <w:pPr>
        <w:pStyle w:val="BodyText"/>
        <w:spacing w:line="240" w:lineRule="auto" w:before="52"/>
        <w:ind w:left="513" w:right="1055"/>
        <w:jc w:val="left"/>
      </w:pPr>
      <w:r>
        <w:rPr>
          <w:rFonts w:ascii="宋体" w:hAnsi="宋体" w:cs="宋体" w:eastAsia="宋体" w:hint="default"/>
          <w:spacing w:val="-3"/>
        </w:rPr>
        <w:t>2</w:t>
      </w:r>
      <w:r>
        <w:rPr>
          <w:spacing w:val="-3"/>
        </w:rPr>
        <w:t>、华道征信参与发起设立百行征信有限公司的相关情况</w:t>
      </w:r>
    </w:p>
    <w:p>
      <w:pPr>
        <w:spacing w:line="240" w:lineRule="auto" w:before="12"/>
        <w:rPr>
          <w:rFonts w:ascii="宋体" w:hAnsi="宋体" w:cs="宋体" w:eastAsia="宋体" w:hint="default"/>
          <w:sz w:val="17"/>
          <w:szCs w:val="17"/>
        </w:rPr>
      </w:pPr>
    </w:p>
    <w:p>
      <w:pPr>
        <w:pStyle w:val="BodyText"/>
        <w:spacing w:line="477" w:lineRule="auto"/>
        <w:ind w:right="1055" w:firstLine="360"/>
        <w:jc w:val="left"/>
      </w:pPr>
      <w:r>
        <w:rPr>
          <w:rFonts w:ascii="宋体" w:hAnsi="宋体" w:cs="宋体" w:eastAsia="宋体" w:hint="default"/>
          <w:spacing w:val="-6"/>
        </w:rPr>
        <w:t>2018</w:t>
      </w:r>
      <w:r>
        <w:rPr>
          <w:spacing w:val="-6"/>
        </w:rPr>
        <w:t>年</w:t>
      </w:r>
      <w:r>
        <w:rPr>
          <w:rFonts w:ascii="宋体" w:hAnsi="宋体" w:cs="宋体" w:eastAsia="宋体" w:hint="default"/>
          <w:spacing w:val="-6"/>
        </w:rPr>
        <w:t>1</w:t>
      </w:r>
      <w:r>
        <w:rPr>
          <w:spacing w:val="-6"/>
        </w:rPr>
        <w:t>月</w:t>
      </w:r>
      <w:r>
        <w:rPr>
          <w:rFonts w:ascii="宋体" w:hAnsi="宋体" w:cs="宋体" w:eastAsia="宋体" w:hint="default"/>
          <w:spacing w:val="-6"/>
        </w:rPr>
        <w:t>4</w:t>
      </w:r>
      <w:r>
        <w:rPr>
          <w:spacing w:val="-6"/>
        </w:rPr>
        <w:t>日，中国人民银行发布“关于百行征信有限公司（筹）相关情况的公示”，华道征信参与发起设立百行征信，</w:t>
      </w:r>
      <w:r>
        <w:rPr>
          <w:w w:val="101"/>
        </w:rPr>
        <w:t> </w:t>
      </w:r>
      <w:r>
        <w:rPr>
          <w:spacing w:val="-3"/>
        </w:rPr>
        <w:t>本公司董事长陈向军先生拟任百行征信董事，北京华道征信有限公司持股比例为</w:t>
      </w:r>
      <w:r>
        <w:rPr>
          <w:rFonts w:ascii="宋体" w:hAnsi="宋体" w:cs="宋体" w:eastAsia="宋体" w:hint="default"/>
          <w:spacing w:val="-3"/>
        </w:rPr>
        <w:t>8%</w:t>
      </w:r>
      <w:r>
        <w:rPr>
          <w:spacing w:val="-3"/>
        </w:rPr>
        <w:t>。百行征信已于</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月获得中国人民</w:t>
      </w:r>
      <w:r>
        <w:rPr>
          <w:spacing w:val="80"/>
        </w:rPr>
        <w:t> </w:t>
      </w:r>
      <w:r>
        <w:rPr>
          <w:spacing w:val="80"/>
        </w:rPr>
      </w:r>
      <w:r>
        <w:rPr>
          <w:spacing w:val="-3"/>
        </w:rPr>
        <w:t>银行个人征信业务经营许可，并于</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月在深圳正式挂牌成立。详见公司</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23</w:t>
      </w:r>
      <w:r>
        <w:rPr>
          <w:spacing w:val="-3"/>
        </w:rPr>
        <w:t>日披露于巨潮资讯网</w:t>
      </w:r>
    </w:p>
    <w:p>
      <w:pPr>
        <w:pStyle w:val="BodyText"/>
        <w:spacing w:line="480" w:lineRule="auto" w:before="52"/>
        <w:ind w:right="1133"/>
        <w:jc w:val="left"/>
      </w:pPr>
      <w:r>
        <w:rPr>
          <w:spacing w:val="-3"/>
        </w:rPr>
        <w:t>（</w:t>
      </w:r>
      <w:hyperlink r:id="rId13">
        <w:r>
          <w:rPr>
            <w:rFonts w:ascii="宋体" w:hAnsi="宋体" w:cs="宋体" w:eastAsia="宋体" w:hint="default"/>
            <w:spacing w:val="-3"/>
          </w:rPr>
          <w:t>www.cninfo.com.cn</w:t>
        </w:r>
      </w:hyperlink>
      <w:r>
        <w:rPr>
          <w:spacing w:val="-3"/>
        </w:rPr>
        <w:t>）的《关于子公司北京华道征信有限公司发起设立百行征信有限公司及百行征信获得个人征信业务经</w:t>
      </w:r>
      <w:r>
        <w:rPr>
          <w:spacing w:val="7"/>
        </w:rPr>
        <w:t> </w:t>
      </w:r>
      <w:r>
        <w:rPr>
          <w:spacing w:val="7"/>
        </w:rPr>
      </w:r>
      <w:r>
        <w:rPr>
          <w:spacing w:val="-3"/>
        </w:rPr>
        <w:t>营许可的公告》（公告编号：</w:t>
      </w:r>
      <w:r>
        <w:rPr>
          <w:rFonts w:ascii="宋体" w:hAnsi="宋体" w:cs="宋体" w:eastAsia="宋体" w:hint="default"/>
          <w:spacing w:val="-3"/>
        </w:rPr>
        <w:t>2018-007</w:t>
      </w:r>
      <w:r>
        <w:rPr>
          <w:spacing w:val="-3"/>
        </w:rPr>
        <w:t>）。</w:t>
      </w:r>
      <w:r>
        <w:rPr/>
      </w:r>
    </w:p>
    <w:p>
      <w:pPr>
        <w:pStyle w:val="BodyText"/>
        <w:spacing w:line="240" w:lineRule="auto" w:before="50"/>
        <w:ind w:left="513" w:right="1055"/>
        <w:jc w:val="left"/>
      </w:pPr>
      <w:r>
        <w:rPr>
          <w:rFonts w:ascii="宋体" w:hAnsi="宋体" w:cs="宋体" w:eastAsia="宋体" w:hint="default"/>
          <w:spacing w:val="-3"/>
        </w:rPr>
        <w:t>3</w:t>
      </w:r>
      <w:r>
        <w:rPr>
          <w:spacing w:val="-3"/>
        </w:rPr>
        <w:t>、亿美软通清算并注销福建片仔癀银之杰健康管理有限公司的相关情况</w:t>
      </w:r>
    </w:p>
    <w:p>
      <w:pPr>
        <w:spacing w:line="240" w:lineRule="auto" w:before="12"/>
        <w:rPr>
          <w:rFonts w:ascii="宋体" w:hAnsi="宋体" w:cs="宋体" w:eastAsia="宋体" w:hint="default"/>
          <w:sz w:val="17"/>
          <w:szCs w:val="17"/>
        </w:rPr>
      </w:pPr>
    </w:p>
    <w:p>
      <w:pPr>
        <w:pStyle w:val="BodyText"/>
        <w:spacing w:line="477" w:lineRule="auto"/>
        <w:ind w:right="1123" w:firstLine="360"/>
        <w:jc w:val="both"/>
      </w:pPr>
      <w:r>
        <w:rPr>
          <w:rFonts w:ascii="宋体" w:hAnsi="宋体" w:cs="宋体" w:eastAsia="宋体" w:hint="default"/>
          <w:spacing w:val="-4"/>
        </w:rPr>
        <w:t>2018</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29</w:t>
      </w:r>
      <w:r>
        <w:rPr>
          <w:spacing w:val="-4"/>
        </w:rPr>
        <w:t>日，经公司</w:t>
      </w:r>
      <w:r>
        <w:rPr>
          <w:rFonts w:ascii="宋体" w:hAnsi="宋体" w:cs="宋体" w:eastAsia="宋体" w:hint="default"/>
          <w:spacing w:val="-4"/>
        </w:rPr>
        <w:t>2018</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29</w:t>
      </w:r>
      <w:r>
        <w:rPr>
          <w:spacing w:val="-4"/>
        </w:rPr>
        <w:t>日召开的第四届董事会第十四次会议审议通过，同意亿美软通清算并注销参股公</w:t>
      </w:r>
      <w:r>
        <w:rPr>
          <w:w w:val="101"/>
        </w:rPr>
        <w:t> </w:t>
      </w:r>
      <w:r>
        <w:rPr>
          <w:spacing w:val="-2"/>
        </w:rPr>
        <w:t>司福建片仔癀银之杰健康管理有限公司。详见公司</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日披露于巨潮资讯网（</w:t>
      </w:r>
      <w:hyperlink r:id="rId13">
        <w:r>
          <w:rPr>
            <w:rFonts w:ascii="宋体" w:hAnsi="宋体" w:cs="宋体" w:eastAsia="宋体" w:hint="default"/>
            <w:spacing w:val="-2"/>
          </w:rPr>
          <w:t>www.cninfo.com.cn</w:t>
        </w:r>
      </w:hyperlink>
      <w:r>
        <w:rPr>
          <w:spacing w:val="-2"/>
        </w:rPr>
        <w:t>）的《第四届董</w:t>
      </w:r>
      <w:r>
        <w:rPr>
          <w:spacing w:val="40"/>
        </w:rPr>
        <w:t> </w:t>
      </w:r>
      <w:r>
        <w:rPr>
          <w:spacing w:val="40"/>
        </w:rPr>
      </w:r>
      <w:r>
        <w:rPr>
          <w:spacing w:val="-3"/>
        </w:rPr>
        <w:t>事会第十四次会议决议公告》（公告编号：</w:t>
      </w:r>
      <w:r>
        <w:rPr>
          <w:rFonts w:ascii="宋体" w:hAnsi="宋体" w:cs="宋体" w:eastAsia="宋体" w:hint="default"/>
          <w:spacing w:val="-3"/>
        </w:rPr>
        <w:t>2018-055</w:t>
      </w:r>
      <w:r>
        <w:rPr>
          <w:spacing w:val="-3"/>
        </w:rPr>
        <w:t>）。</w:t>
      </w:r>
      <w:r>
        <w:rPr/>
      </w:r>
    </w:p>
    <w:p>
      <w:pPr>
        <w:spacing w:after="0" w:line="477" w:lineRule="auto"/>
        <w:jc w:val="both"/>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left="2967" w:right="1055"/>
        <w:jc w:val="left"/>
        <w:rPr>
          <w:b w:val="0"/>
          <w:bCs w:val="0"/>
        </w:rPr>
      </w:pPr>
      <w:bookmarkStart w:name="_bookmark4" w:id="5"/>
      <w:bookmarkEnd w:id="5"/>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055"/>
        <w:jc w:val="left"/>
        <w:rPr>
          <w:b w:val="0"/>
          <w:bCs w:val="0"/>
        </w:rPr>
      </w:pP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31"/>
        <w:gridCol w:w="1018"/>
        <w:gridCol w:w="773"/>
        <w:gridCol w:w="788"/>
        <w:gridCol w:w="542"/>
        <w:gridCol w:w="672"/>
        <w:gridCol w:w="1052"/>
        <w:gridCol w:w="936"/>
        <w:gridCol w:w="1037"/>
        <w:gridCol w:w="725"/>
      </w:tblGrid>
      <w:tr>
        <w:trPr>
          <w:trHeight w:val="403" w:hRule="exact"/>
        </w:trPr>
        <w:tc>
          <w:tcPr>
            <w:tcW w:w="2031" w:type="dxa"/>
            <w:vMerge w:val="restart"/>
            <w:tcBorders>
              <w:top w:val="single" w:sz="4" w:space="0" w:color="000000"/>
              <w:left w:val="single" w:sz="4" w:space="0" w:color="000000"/>
              <w:right w:val="single" w:sz="4" w:space="0" w:color="000000"/>
            </w:tcBorders>
            <w:shd w:val="clear" w:color="auto" w:fill="D2D2D2"/>
          </w:tcPr>
          <w:p>
            <w:pP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0" w:hRule="exact"/>
        </w:trPr>
        <w:tc>
          <w:tcPr>
            <w:tcW w:w="2031" w:type="dxa"/>
            <w:vMerge/>
            <w:tcBorders>
              <w:left w:val="single" w:sz="4" w:space="0" w:color="000000"/>
              <w:bottom w:val="single" w:sz="4" w:space="0" w:color="000000"/>
              <w:right w:val="single" w:sz="4" w:space="0" w:color="000000"/>
            </w:tcBorders>
            <w:shd w:val="clear" w:color="auto" w:fill="D2D2D2"/>
          </w:tcPr>
          <w:p>
            <w:pP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8" w:right="55"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314,205,769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44.46%</w:t>
            </w:r>
          </w:p>
        </w:tc>
        <w:tc>
          <w:tcPr>
            <w:tcW w:w="788"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-22,626,841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-22,626,841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291,578,928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41.26%</w:t>
            </w:r>
          </w:p>
        </w:tc>
      </w:tr>
      <w:tr>
        <w:trPr>
          <w:trHeight w:val="403" w:hRule="exact"/>
        </w:trPr>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314,205,769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44.46%</w:t>
            </w:r>
          </w:p>
        </w:tc>
        <w:tc>
          <w:tcPr>
            <w:tcW w:w="788"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-22,626,841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-22,626,841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291,578,928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41.26%</w:t>
            </w:r>
          </w:p>
        </w:tc>
      </w:tr>
      <w:tr>
        <w:trPr>
          <w:trHeight w:val="403" w:hRule="exact"/>
        </w:trPr>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22,626,766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w:t>
            </w:r>
          </w:p>
        </w:tc>
        <w:tc>
          <w:tcPr>
            <w:tcW w:w="788"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-22,626,766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-22,626,766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291,579,003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41.26%</w:t>
            </w:r>
          </w:p>
        </w:tc>
        <w:tc>
          <w:tcPr>
            <w:tcW w:w="788"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291,578,928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41.26%</w:t>
            </w:r>
          </w:p>
        </w:tc>
      </w:tr>
      <w:tr>
        <w:trPr>
          <w:trHeight w:val="403" w:hRule="exact"/>
        </w:trPr>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392,434,766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55.54%</w:t>
            </w:r>
          </w:p>
        </w:tc>
        <w:tc>
          <w:tcPr>
            <w:tcW w:w="788"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22,626,841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22,626,841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415,061,607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58.74%</w:t>
            </w:r>
          </w:p>
        </w:tc>
      </w:tr>
      <w:tr>
        <w:trPr>
          <w:trHeight w:val="404" w:hRule="exact"/>
        </w:trPr>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392,434,766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55.54%</w:t>
            </w:r>
          </w:p>
        </w:tc>
        <w:tc>
          <w:tcPr>
            <w:tcW w:w="788"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22,626,841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22,626,841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415,061,607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58.74%</w:t>
            </w:r>
          </w:p>
        </w:tc>
      </w:tr>
      <w:tr>
        <w:trPr>
          <w:trHeight w:val="403" w:hRule="exact"/>
        </w:trPr>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706,640,535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706,640,535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1055"/>
        <w:jc w:val="left"/>
      </w:pPr>
      <w:r>
        <w:rPr>
          <w:spacing w:val="-3"/>
        </w:rPr>
        <w:t>股份变动的原因</w:t>
      </w:r>
    </w:p>
    <w:p>
      <w:pPr>
        <w:pStyle w:val="BodyText"/>
        <w:spacing w:line="417" w:lineRule="auto" w:before="115"/>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3"/>
        </w:rPr>
        <w:t>1.2018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w:t>
      </w:r>
      <w:r>
        <w:rPr>
          <w:spacing w:val="-3"/>
        </w:rPr>
        <w:t>日，依照《深圳证券交易所创业板上市公司规范运作指引》的相关规定，解除高管锁定股</w:t>
      </w:r>
      <w:r>
        <w:rPr>
          <w:rFonts w:ascii="宋体" w:hAnsi="宋体" w:cs="宋体" w:eastAsia="宋体" w:hint="default"/>
          <w:spacing w:val="-3"/>
        </w:rPr>
        <w:t>75</w:t>
      </w:r>
      <w:r>
        <w:rPr>
          <w:spacing w:val="-3"/>
        </w:rPr>
        <w:t>股。</w:t>
      </w:r>
      <w:r>
        <w:rPr/>
      </w:r>
    </w:p>
    <w:p>
      <w:pPr>
        <w:pStyle w:val="BodyText"/>
        <w:spacing w:line="240" w:lineRule="auto" w:before="97"/>
        <w:ind w:left="513" w:right="1055"/>
        <w:jc w:val="left"/>
      </w:pPr>
      <w:r>
        <w:rPr>
          <w:rFonts w:ascii="宋体" w:hAnsi="宋体" w:cs="宋体" w:eastAsia="宋体" w:hint="default"/>
          <w:spacing w:val="-3"/>
        </w:rPr>
        <w:t>2.</w:t>
      </w:r>
      <w:r>
        <w:rPr>
          <w:spacing w:val="-3"/>
        </w:rPr>
        <w:t>报告期内，公司董事冯军办理了股份转托管手续，可转让额度</w:t>
      </w:r>
      <w:r>
        <w:rPr>
          <w:rFonts w:ascii="宋体" w:hAnsi="宋体" w:cs="宋体" w:eastAsia="宋体" w:hint="default"/>
          <w:spacing w:val="-3"/>
        </w:rPr>
        <w:t>1,450,000</w:t>
      </w:r>
      <w:r>
        <w:rPr>
          <w:spacing w:val="-3"/>
        </w:rPr>
        <w:t>股在划转完成后即解除限售，故本期增加</w:t>
      </w:r>
    </w:p>
    <w:p>
      <w:pPr>
        <w:spacing w:line="240" w:lineRule="auto" w:before="12"/>
        <w:rPr>
          <w:rFonts w:ascii="宋体" w:hAnsi="宋体" w:cs="宋体" w:eastAsia="宋体" w:hint="default"/>
          <w:sz w:val="17"/>
          <w:szCs w:val="17"/>
        </w:rPr>
      </w:pPr>
    </w:p>
    <w:p>
      <w:pPr>
        <w:pStyle w:val="BodyText"/>
        <w:spacing w:line="240" w:lineRule="auto"/>
        <w:ind w:right="1055"/>
        <w:jc w:val="left"/>
      </w:pPr>
      <w:r>
        <w:rPr>
          <w:rFonts w:ascii="宋体" w:hAnsi="宋体" w:cs="宋体" w:eastAsia="宋体" w:hint="default"/>
        </w:rPr>
        <w:t>1,450,000</w:t>
      </w:r>
      <w:r>
        <w:rPr/>
        <w:t>股限售股后又相应减少</w:t>
      </w:r>
      <w:r>
        <w:rPr>
          <w:rFonts w:ascii="宋体" w:hAnsi="宋体" w:cs="宋体" w:eastAsia="宋体" w:hint="default"/>
        </w:rPr>
        <w:t>1,450,000</w:t>
      </w:r>
      <w:r>
        <w:rPr/>
        <w:t>股限售股。</w:t>
      </w:r>
    </w:p>
    <w:p>
      <w:pPr>
        <w:spacing w:line="240" w:lineRule="auto" w:before="8"/>
        <w:rPr>
          <w:rFonts w:ascii="宋体" w:hAnsi="宋体" w:cs="宋体" w:eastAsia="宋体" w:hint="default"/>
          <w:sz w:val="17"/>
          <w:szCs w:val="17"/>
        </w:rPr>
      </w:pPr>
    </w:p>
    <w:p>
      <w:pPr>
        <w:pStyle w:val="BodyText"/>
        <w:spacing w:line="480" w:lineRule="auto"/>
        <w:ind w:right="1055" w:firstLine="360"/>
        <w:jc w:val="left"/>
      </w:pPr>
      <w:r>
        <w:rPr>
          <w:rFonts w:ascii="宋体" w:hAnsi="宋体" w:cs="宋体" w:eastAsia="宋体" w:hint="default"/>
          <w:spacing w:val="-3"/>
        </w:rPr>
        <w:t>3.2018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24</w:t>
      </w:r>
      <w:r>
        <w:rPr>
          <w:spacing w:val="-3"/>
        </w:rPr>
        <w:t>日，同方金融控股（深圳）有限公司、武汉亘星投资有限公司和财通基金管理有限公司等</w:t>
      </w:r>
      <w:r>
        <w:rPr>
          <w:rFonts w:ascii="宋体" w:hAnsi="宋体" w:cs="宋体" w:eastAsia="宋体" w:hint="default"/>
          <w:spacing w:val="-3"/>
        </w:rPr>
        <w:t>11</w:t>
      </w:r>
      <w:r>
        <w:rPr>
          <w:spacing w:val="-3"/>
        </w:rPr>
        <w:t>户持有的非</w:t>
      </w:r>
      <w:r>
        <w:rPr>
          <w:w w:val="101"/>
        </w:rPr>
        <w:t> </w:t>
      </w:r>
      <w:r>
        <w:rPr/>
        <w:t>公开发行限售股解除限售，故本期减少</w:t>
      </w:r>
      <w:r>
        <w:rPr>
          <w:rFonts w:ascii="宋体" w:hAnsi="宋体" w:cs="宋体" w:eastAsia="宋体" w:hint="default"/>
        </w:rPr>
        <w:t>22,626,766</w:t>
      </w:r>
      <w:r>
        <w:rPr/>
        <w:t>股限售股。</w:t>
      </w:r>
    </w:p>
    <w:p>
      <w:pPr>
        <w:pStyle w:val="BodyText"/>
        <w:spacing w:line="240" w:lineRule="auto" w:before="11"/>
        <w:ind w:right="1055"/>
        <w:jc w:val="left"/>
      </w:pPr>
      <w:r>
        <w:rPr>
          <w:spacing w:val="-3"/>
        </w:rPr>
        <w:t>股份变动的批准情况</w:t>
      </w:r>
    </w:p>
    <w:p>
      <w:pPr>
        <w:pStyle w:val="BodyText"/>
        <w:spacing w:line="338" w:lineRule="auto" w:before="119"/>
        <w:ind w:right="842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股份变动的过户情况</w:t>
      </w:r>
    </w:p>
    <w:p>
      <w:pPr>
        <w:pStyle w:val="BodyText"/>
        <w:spacing w:line="338" w:lineRule="auto" w:before="46"/>
        <w:ind w:right="842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43" w:lineRule="auto" w:before="41"/>
        <w:ind w:right="69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38" w:lineRule="auto" w:before="37"/>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38" w:lineRule="auto" w:before="45"/>
        <w:ind w:right="58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spacing w:after="0" w:line="338" w:lineRule="auto"/>
        <w:jc w:val="left"/>
        <w:sectPr>
          <w:pgSz w:w="11910" w:h="16840"/>
          <w:pgMar w:header="871" w:footer="1186" w:top="1100" w:bottom="138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561"/>
        <w:gridCol w:w="1133"/>
        <w:gridCol w:w="1133"/>
        <w:gridCol w:w="1278"/>
        <w:gridCol w:w="1277"/>
        <w:gridCol w:w="1633"/>
      </w:tblGrid>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92" w:right="103" w:hanging="178"/>
              <w:jc w:val="left"/>
              <w:rPr>
                <w:rFonts w:ascii="宋体" w:hAnsi="宋体" w:cs="宋体" w:eastAsia="宋体" w:hint="default"/>
                <w:sz w:val="18"/>
                <w:szCs w:val="18"/>
              </w:rPr>
            </w:pPr>
            <w:r>
              <w:rPr>
                <w:rFonts w:ascii="宋体" w:hAnsi="宋体" w:cs="宋体" w:eastAsia="宋体" w:hint="default"/>
                <w:spacing w:val="-2"/>
                <w:sz w:val="18"/>
                <w:szCs w:val="18"/>
              </w:rPr>
              <w:t>本期解除限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92" w:right="103" w:hanging="178"/>
              <w:jc w:val="left"/>
              <w:rPr>
                <w:rFonts w:ascii="宋体" w:hAnsi="宋体" w:cs="宋体" w:eastAsia="宋体" w:hint="default"/>
                <w:sz w:val="18"/>
                <w:szCs w:val="18"/>
              </w:rPr>
            </w:pPr>
            <w:r>
              <w:rPr>
                <w:rFonts w:ascii="宋体" w:hAnsi="宋体" w:cs="宋体" w:eastAsia="宋体" w:hint="default"/>
                <w:spacing w:val="-2"/>
                <w:sz w:val="18"/>
                <w:szCs w:val="18"/>
              </w:rPr>
              <w:t>本期增加限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3"/>
                <w:sz w:val="18"/>
                <w:szCs w:val="18"/>
              </w:rPr>
              <w:t>拟解除限售日期</w:t>
            </w:r>
            <w:r>
              <w:rPr>
                <w:rFonts w:ascii="宋体" w:hAnsi="宋体" w:cs="宋体" w:eastAsia="宋体" w:hint="default"/>
                <w:sz w:val="18"/>
                <w:szCs w:val="18"/>
              </w:rPr>
            </w:r>
          </w:p>
        </w:tc>
      </w:tr>
      <w:tr>
        <w:trPr>
          <w:trHeight w:val="102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100,595,100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100,595,100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37"/>
              <w:jc w:val="both"/>
              <w:rPr>
                <w:rFonts w:ascii="宋体" w:hAnsi="宋体" w:cs="宋体" w:eastAsia="宋体" w:hint="default"/>
                <w:sz w:val="18"/>
                <w:szCs w:val="18"/>
              </w:rPr>
            </w:pPr>
            <w:r>
              <w:rPr>
                <w:rFonts w:ascii="宋体" w:hAnsi="宋体" w:cs="宋体" w:eastAsia="宋体" w:hint="default"/>
                <w:sz w:val="18"/>
                <w:szCs w:val="18"/>
              </w:rPr>
              <w:t>每年按照上年末持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有股份数的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r>
              <w:rPr>
                <w:rFonts w:ascii="宋体" w:hAnsi="宋体" w:cs="宋体" w:eastAsia="宋体" w:hint="default"/>
                <w:w w:val="101"/>
                <w:sz w:val="18"/>
                <w:szCs w:val="18"/>
              </w:rPr>
              <w:t> </w:t>
            </w:r>
            <w:r>
              <w:rPr>
                <w:rFonts w:ascii="宋体" w:hAnsi="宋体" w:cs="宋体" w:eastAsia="宋体" w:hint="default"/>
                <w:sz w:val="18"/>
                <w:szCs w:val="18"/>
              </w:rPr>
              <w:t>除限售</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86,245,800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86,245,800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3" w:right="137"/>
              <w:jc w:val="both"/>
              <w:rPr>
                <w:rFonts w:ascii="宋体" w:hAnsi="宋体" w:cs="宋体" w:eastAsia="宋体" w:hint="default"/>
                <w:sz w:val="18"/>
                <w:szCs w:val="18"/>
              </w:rPr>
            </w:pPr>
            <w:r>
              <w:rPr>
                <w:rFonts w:ascii="宋体" w:hAnsi="宋体" w:cs="宋体" w:eastAsia="宋体" w:hint="default"/>
                <w:sz w:val="18"/>
                <w:szCs w:val="18"/>
              </w:rPr>
              <w:t>每年按照上年末持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有股份数的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r>
              <w:rPr>
                <w:rFonts w:ascii="宋体" w:hAnsi="宋体" w:cs="宋体" w:eastAsia="宋体" w:hint="default"/>
                <w:w w:val="101"/>
                <w:sz w:val="18"/>
                <w:szCs w:val="18"/>
              </w:rPr>
              <w:t> </w:t>
            </w:r>
            <w:r>
              <w:rPr>
                <w:rFonts w:ascii="宋体" w:hAnsi="宋体" w:cs="宋体" w:eastAsia="宋体" w:hint="default"/>
                <w:sz w:val="18"/>
                <w:szCs w:val="18"/>
              </w:rPr>
              <w:t>除限售</w:t>
            </w:r>
          </w:p>
        </w:tc>
      </w:tr>
      <w:tr>
        <w:trPr>
          <w:trHeight w:val="1027"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43,238,025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43,238,025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37"/>
              <w:jc w:val="both"/>
              <w:rPr>
                <w:rFonts w:ascii="宋体" w:hAnsi="宋体" w:cs="宋体" w:eastAsia="宋体" w:hint="default"/>
                <w:sz w:val="18"/>
                <w:szCs w:val="18"/>
              </w:rPr>
            </w:pPr>
            <w:r>
              <w:rPr>
                <w:rFonts w:ascii="宋体" w:hAnsi="宋体" w:cs="宋体" w:eastAsia="宋体" w:hint="default"/>
                <w:sz w:val="18"/>
                <w:szCs w:val="18"/>
              </w:rPr>
              <w:t>每年按照上年末持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有股份数的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r>
              <w:rPr>
                <w:rFonts w:ascii="宋体" w:hAnsi="宋体" w:cs="宋体" w:eastAsia="宋体" w:hint="default"/>
                <w:w w:val="101"/>
                <w:sz w:val="18"/>
                <w:szCs w:val="18"/>
              </w:rPr>
              <w:t> </w:t>
            </w:r>
            <w:r>
              <w:rPr>
                <w:rFonts w:ascii="宋体" w:hAnsi="宋体" w:cs="宋体" w:eastAsia="宋体" w:hint="default"/>
                <w:sz w:val="18"/>
                <w:szCs w:val="18"/>
              </w:rPr>
              <w:t>除限售</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43,233,150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43,233,150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37"/>
              <w:jc w:val="both"/>
              <w:rPr>
                <w:rFonts w:ascii="宋体" w:hAnsi="宋体" w:cs="宋体" w:eastAsia="宋体" w:hint="default"/>
                <w:sz w:val="18"/>
                <w:szCs w:val="18"/>
              </w:rPr>
            </w:pPr>
            <w:r>
              <w:rPr>
                <w:rFonts w:ascii="宋体" w:hAnsi="宋体" w:cs="宋体" w:eastAsia="宋体" w:hint="default"/>
                <w:sz w:val="18"/>
                <w:szCs w:val="18"/>
              </w:rPr>
              <w:t>每年按照上年末持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有股份数的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r>
              <w:rPr>
                <w:rFonts w:ascii="宋体" w:hAnsi="宋体" w:cs="宋体" w:eastAsia="宋体" w:hint="default"/>
                <w:w w:val="101"/>
                <w:sz w:val="18"/>
                <w:szCs w:val="18"/>
              </w:rPr>
              <w:t> </w:t>
            </w:r>
            <w:r>
              <w:rPr>
                <w:rFonts w:ascii="宋体" w:hAnsi="宋体" w:cs="宋体" w:eastAsia="宋体" w:hint="default"/>
                <w:sz w:val="18"/>
                <w:szCs w:val="18"/>
              </w:rPr>
              <w:t>除限售</w:t>
            </w:r>
          </w:p>
        </w:tc>
      </w:tr>
      <w:tr>
        <w:trPr>
          <w:trHeight w:val="102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37"/>
              <w:jc w:val="both"/>
              <w:rPr>
                <w:rFonts w:ascii="宋体" w:hAnsi="宋体" w:cs="宋体" w:eastAsia="宋体" w:hint="default"/>
                <w:sz w:val="18"/>
                <w:szCs w:val="18"/>
              </w:rPr>
            </w:pPr>
            <w:r>
              <w:rPr>
                <w:rFonts w:ascii="宋体" w:hAnsi="宋体" w:cs="宋体" w:eastAsia="宋体" w:hint="default"/>
                <w:sz w:val="18"/>
                <w:szCs w:val="18"/>
              </w:rPr>
              <w:t>每年按照上年末持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有股份数的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r>
              <w:rPr>
                <w:rFonts w:ascii="宋体" w:hAnsi="宋体" w:cs="宋体" w:eastAsia="宋体" w:hint="default"/>
                <w:w w:val="101"/>
                <w:sz w:val="18"/>
                <w:szCs w:val="18"/>
              </w:rPr>
              <w:t> </w:t>
            </w:r>
            <w:r>
              <w:rPr>
                <w:rFonts w:ascii="宋体" w:hAnsi="宋体" w:cs="宋体" w:eastAsia="宋体" w:hint="default"/>
                <w:sz w:val="18"/>
                <w:szCs w:val="18"/>
              </w:rPr>
              <w:t>除限售</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9"/>
              <w:ind w:left="23" w:right="137"/>
              <w:jc w:val="both"/>
              <w:rPr>
                <w:rFonts w:ascii="宋体" w:hAnsi="宋体" w:cs="宋体" w:eastAsia="宋体" w:hint="default"/>
                <w:sz w:val="18"/>
                <w:szCs w:val="18"/>
              </w:rPr>
            </w:pPr>
            <w:r>
              <w:rPr>
                <w:rFonts w:ascii="宋体" w:hAnsi="宋体" w:cs="宋体" w:eastAsia="宋体" w:hint="default"/>
                <w:sz w:val="18"/>
                <w:szCs w:val="18"/>
              </w:rPr>
              <w:t>每年按照上年末持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有股份数的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r>
              <w:rPr>
                <w:rFonts w:ascii="宋体" w:hAnsi="宋体" w:cs="宋体" w:eastAsia="宋体" w:hint="default"/>
                <w:w w:val="101"/>
                <w:sz w:val="18"/>
                <w:szCs w:val="18"/>
              </w:rPr>
              <w:t> </w:t>
            </w:r>
            <w:r>
              <w:rPr>
                <w:rFonts w:ascii="宋体" w:hAnsi="宋体" w:cs="宋体" w:eastAsia="宋体" w:hint="default"/>
                <w:sz w:val="18"/>
                <w:szCs w:val="18"/>
              </w:rPr>
              <w:t>除限售</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165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13,898,853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13,898,853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8"/>
                <w:sz w:val="18"/>
                <w:szCs w:val="18"/>
              </w:rPr>
              <w:t>高管锁定股；因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托管单元变化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可转让额度未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相应划转</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每年按照上年末持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r>
              <w:rPr>
                <w:rFonts w:ascii="宋体" w:hAnsi="宋体" w:cs="宋体" w:eastAsia="宋体" w:hint="default"/>
                <w:spacing w:val="-86"/>
                <w:sz w:val="18"/>
                <w:szCs w:val="18"/>
              </w:rPr>
              <w:t> </w:t>
            </w:r>
            <w:r>
              <w:rPr>
                <w:rFonts w:ascii="宋体" w:hAnsi="宋体" w:cs="宋体" w:eastAsia="宋体" w:hint="default"/>
                <w:sz w:val="18"/>
                <w:szCs w:val="18"/>
              </w:rPr>
              <w:t>除限售；</w:t>
            </w:r>
            <w:r>
              <w:rPr>
                <w:rFonts w:ascii="Times New Roman" w:hAnsi="Times New Roman" w:cs="Times New Roman" w:eastAsia="Times New Roman" w:hint="default"/>
                <w:sz w:val="18"/>
                <w:szCs w:val="18"/>
              </w:rPr>
              <w:t>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万股在</w:t>
            </w:r>
            <w:r>
              <w:rPr>
                <w:rFonts w:ascii="宋体" w:hAnsi="宋体" w:cs="宋体" w:eastAsia="宋体" w:hint="default"/>
                <w:w w:val="101"/>
                <w:sz w:val="18"/>
                <w:szCs w:val="18"/>
              </w:rPr>
              <w:t> </w:t>
            </w:r>
            <w:r>
              <w:rPr>
                <w:rFonts w:ascii="宋体" w:hAnsi="宋体" w:cs="宋体" w:eastAsia="宋体" w:hint="default"/>
                <w:sz w:val="18"/>
                <w:szCs w:val="18"/>
              </w:rPr>
              <w:t>可转让额度相应划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转后解除限售。</w:t>
            </w:r>
          </w:p>
        </w:tc>
      </w:tr>
      <w:tr>
        <w:trPr>
          <w:trHeight w:val="711"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武汉亘星投资有限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10,006,253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10,006,253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9"/>
              <w:jc w:val="left"/>
              <w:rPr>
                <w:rFonts w:ascii="宋体" w:hAnsi="宋体" w:cs="宋体" w:eastAsia="宋体" w:hint="default"/>
                <w:sz w:val="18"/>
                <w:szCs w:val="18"/>
              </w:rPr>
            </w:pPr>
            <w:r>
              <w:rPr>
                <w:rFonts w:ascii="宋体" w:hAnsi="宋体" w:cs="宋体" w:eastAsia="宋体" w:hint="default"/>
                <w:spacing w:val="-2"/>
                <w:sz w:val="18"/>
                <w:szCs w:val="18"/>
              </w:rPr>
              <w:t>同方金融控股（深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圳）有限公司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9,130,706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9,130,706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中国工商银行股份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有限公司－财通福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盛定增定期开放灵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活配置混合型发起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式证券投资基金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860,500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860,500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1" w:footer="1186" w:top="1100" w:bottom="14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61"/>
        <w:gridCol w:w="1561"/>
        <w:gridCol w:w="1133"/>
        <w:gridCol w:w="1133"/>
        <w:gridCol w:w="1278"/>
        <w:gridCol w:w="1277"/>
        <w:gridCol w:w="1633"/>
      </w:tblGrid>
      <w:tr>
        <w:trPr>
          <w:trHeight w:val="1027"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财通基金－招商银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行－华创证券有限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846,159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846,159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79"/>
              <w:jc w:val="both"/>
              <w:rPr>
                <w:rFonts w:ascii="宋体" w:hAnsi="宋体" w:cs="宋体" w:eastAsia="宋体" w:hint="default"/>
                <w:sz w:val="18"/>
                <w:szCs w:val="18"/>
              </w:rPr>
            </w:pPr>
            <w:r>
              <w:rPr>
                <w:rFonts w:ascii="宋体" w:hAnsi="宋体" w:cs="宋体" w:eastAsia="宋体" w:hint="default"/>
                <w:spacing w:val="-2"/>
                <w:sz w:val="18"/>
                <w:szCs w:val="18"/>
              </w:rPr>
              <w:t>财通基金－招商银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行－财通基金－祥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w:t>
            </w:r>
            <w:r>
              <w:rPr>
                <w:rFonts w:ascii="宋体" w:hAnsi="宋体" w:cs="宋体" w:eastAsia="宋体" w:hint="default"/>
                <w:w w:val="101"/>
                <w:sz w:val="18"/>
                <w:szCs w:val="18"/>
              </w:rPr>
              <w:t> </w:t>
            </w:r>
            <w:r>
              <w:rPr>
                <w:rFonts w:ascii="宋体" w:hAnsi="宋体" w:cs="宋体" w:eastAsia="宋体" w:hint="default"/>
                <w:sz w:val="18"/>
                <w:szCs w:val="18"/>
              </w:rPr>
              <w:t>划</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621,472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621,472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9"/>
              <w:jc w:val="both"/>
              <w:rPr>
                <w:rFonts w:ascii="宋体" w:hAnsi="宋体" w:cs="宋体" w:eastAsia="宋体" w:hint="default"/>
                <w:sz w:val="18"/>
                <w:szCs w:val="18"/>
              </w:rPr>
            </w:pPr>
            <w:r>
              <w:rPr>
                <w:rFonts w:ascii="宋体" w:hAnsi="宋体" w:cs="宋体" w:eastAsia="宋体" w:hint="default"/>
                <w:spacing w:val="-2"/>
                <w:sz w:val="18"/>
                <w:szCs w:val="18"/>
              </w:rPr>
              <w:t>财通基金－兴业银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行－海通证券股份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382,445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382,445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4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财通基金－上海银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行－富春定增慧福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1316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号资产管理计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334,639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334,639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财通基金－工商银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行－杭州锦聚投资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管理有限公司－财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通锦聚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号私募投</w:t>
            </w:r>
            <w:r>
              <w:rPr>
                <w:rFonts w:ascii="宋体" w:hAnsi="宋体" w:cs="宋体" w:eastAsia="宋体" w:hint="default"/>
                <w:w w:val="101"/>
                <w:sz w:val="18"/>
                <w:szCs w:val="18"/>
              </w:rPr>
              <w:t> </w:t>
            </w:r>
            <w:r>
              <w:rPr>
                <w:rFonts w:ascii="宋体" w:hAnsi="宋体" w:cs="宋体" w:eastAsia="宋体" w:hint="default"/>
                <w:sz w:val="18"/>
                <w:szCs w:val="18"/>
              </w:rPr>
              <w:t>资基金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143,417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财通基金－浦发银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行－浦睿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r>
              <w:rPr>
                <w:rFonts w:ascii="宋体" w:hAnsi="宋体" w:cs="宋体" w:eastAsia="宋体" w:hint="default"/>
                <w:w w:val="101"/>
                <w:sz w:val="18"/>
                <w:szCs w:val="18"/>
              </w:rPr>
              <w:t> </w:t>
            </w:r>
            <w:r>
              <w:rPr>
                <w:rFonts w:ascii="宋体" w:hAnsi="宋体" w:cs="宋体" w:eastAsia="宋体" w:hint="default"/>
                <w:sz w:val="18"/>
                <w:szCs w:val="18"/>
              </w:rPr>
              <w:t>管理计划</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143,417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96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财通基金－工商银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行－平安财富理财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安财富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财通定盈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号组合定增投资私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86,050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86,050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79"/>
              <w:jc w:val="both"/>
              <w:rPr>
                <w:rFonts w:ascii="宋体" w:hAnsi="宋体" w:cs="宋体" w:eastAsia="宋体" w:hint="default"/>
                <w:sz w:val="18"/>
                <w:szCs w:val="18"/>
              </w:rPr>
            </w:pPr>
            <w:r>
              <w:rPr>
                <w:rFonts w:ascii="宋体" w:hAnsi="宋体" w:cs="宋体" w:eastAsia="宋体" w:hint="default"/>
                <w:spacing w:val="-2"/>
                <w:sz w:val="18"/>
                <w:szCs w:val="18"/>
              </w:rPr>
              <w:t>财通基金－宁波银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行－石船山（上海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资产管理有限公司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71,708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71,708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pacing w:val="-2"/>
                <w:sz w:val="18"/>
                <w:szCs w:val="18"/>
              </w:rPr>
              <w:t>非公开发行限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314,205,769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24,076,841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291,578,928</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1055"/>
        <w:jc w:val="left"/>
        <w:rPr>
          <w:b w:val="0"/>
          <w:bCs w:val="0"/>
        </w:rPr>
      </w:pPr>
      <w:r>
        <w:rPr/>
        <w:pict>
          <v:shape style="position:absolute;margin-left:128.911682pt;margin-top:-83.128372pt;width:83.6pt;height:50.95pt;mso-position-horizontal-relative:page;mso-position-vertical-relative:paragraph;z-index:-8212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30"/>
                    <w:ind w:left="0" w:right="0"/>
                    <w:jc w:val="left"/>
                  </w:pPr>
                  <w:r>
                    <w:rPr>
                      <w:w w:val="101"/>
                    </w:rPr>
                    <w:t>）</w:t>
                  </w:r>
                  <w:r>
                    <w:rPr/>
                  </w:r>
                </w:p>
              </w:txbxContent>
            </v:textbox>
            <w10:wrap type="none"/>
          </v:shape>
        </w:pict>
      </w:r>
      <w:r>
        <w:rPr/>
        <w:pict>
          <v:group style="position:absolute;margin-left:134.929993pt;margin-top:-83.128372pt;width:77.6pt;height:50.95pt;mso-position-horizontal-relative:page;mso-position-vertical-relative:paragraph;z-index:-821248" coordorigin="2699,-1663" coordsize="1552,1019">
            <v:group style="position:absolute;left:2699;top:-1663;width:1552;height:1019" coordorigin="2699,-1663" coordsize="1552,1019">
              <v:shape style="position:absolute;left:2699;top:-1663;width:1552;height:1019" coordorigin="2699,-1663" coordsize="1552,1019" path="m2699,-644l4250,-644,4250,-1663,2699,-1663,2699,-644xe" filled="true" fillcolor="#ffffff" stroked="false">
                <v:path arrowok="t"/>
                <v:fill type="solid"/>
              </v:shape>
            </v:group>
            <v:group style="position:absolute;left:2723;top:-1350;width:1504;height:394" coordorigin="2723,-1350" coordsize="1504,394">
              <v:shape style="position:absolute;left:2723;top:-1350;width:1504;height:394" coordorigin="2723,-1350" coordsize="1504,394" path="m2723,-956l4226,-956,4226,-1350,2723,-1350,2723,-956xe" filled="true" fillcolor="#ffffff" stroked="false">
                <v:path arrowok="t"/>
                <v:fill type="solid"/>
              </v:shape>
            </v:group>
            <w10:wrap type="none"/>
          </v:group>
        </w:pict>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105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1055"/>
        <w:jc w:val="left"/>
        <w:rPr>
          <w:b w:val="0"/>
          <w:bCs w:val="0"/>
        </w:rPr>
      </w:pP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pict>
          <v:shape style="position:absolute;margin-left:476.576233pt;margin-top:19.551731pt;width:58.4pt;height:82.1pt;mso-position-horizontal-relative:page;mso-position-vertical-relative:paragraph;z-index:-8212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0" w:right="0"/>
                    <w:jc w:val="left"/>
                  </w:pPr>
                  <w:r>
                    <w:rPr>
                      <w:w w:val="101"/>
                    </w:rPr>
                    <w:t>）</w:t>
                  </w:r>
                  <w:r>
                    <w:rPr/>
                  </w:r>
                </w:p>
              </w:txbxContent>
            </v:textbox>
            <w10:wrap type="none"/>
          </v:shape>
        </w:pict>
      </w:r>
      <w:r>
        <w:rPr/>
        <w:pict>
          <v:group style="position:absolute;margin-left:482.589996pt;margin-top:19.551731pt;width:52.35pt;height:82.1pt;mso-position-horizontal-relative:page;mso-position-vertical-relative:paragraph;z-index:-821200" coordorigin="9652,391" coordsize="1047,1642">
            <v:group style="position:absolute;left:9652;top:391;width:1047;height:1642" coordorigin="9652,391" coordsize="1047,1642">
              <v:shape style="position:absolute;left:9652;top:391;width:1047;height:1642" coordorigin="9652,391" coordsize="1047,1642" path="m9652,2033l10699,2033,10699,391,9652,391,9652,2033xe" filled="true" fillcolor="#ffffff" stroked="false">
                <v:path arrowok="t"/>
                <v:fill type="solid"/>
              </v:shape>
            </v:group>
            <v:group style="position:absolute;left:9676;top:1015;width:1004;height:394" coordorigin="9676,1015" coordsize="1004,394">
              <v:shape style="position:absolute;left:9676;top:1015;width:1004;height:394" coordorigin="9676,1015" coordsize="1004,394" path="m9676,1409l10679,1409,10679,1015,9676,1015,9676,1409xe" filled="true" fillcolor="#ffffff" stroked="false">
                <v:path arrowok="t"/>
                <v:fill type="solid"/>
              </v:shape>
            </v:group>
            <w10:wrap type="none"/>
          </v:group>
        </w:pict>
      </w: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3"/>
        <w:gridCol w:w="422"/>
        <w:gridCol w:w="706"/>
        <w:gridCol w:w="331"/>
        <w:gridCol w:w="518"/>
        <w:gridCol w:w="680"/>
        <w:gridCol w:w="175"/>
        <w:gridCol w:w="989"/>
        <w:gridCol w:w="163"/>
        <w:gridCol w:w="754"/>
        <w:gridCol w:w="312"/>
        <w:gridCol w:w="1037"/>
        <w:gridCol w:w="293"/>
        <w:gridCol w:w="504"/>
        <w:gridCol w:w="552"/>
      </w:tblGrid>
      <w:tr>
        <w:trPr>
          <w:trHeight w:val="1656"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pacing w:val="-3"/>
                <w:sz w:val="18"/>
                <w:szCs w:val="18"/>
              </w:rPr>
              <w:t>报告期末普通股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42,707</w:t>
            </w:r>
          </w:p>
        </w:tc>
        <w:tc>
          <w:tcPr>
            <w:tcW w:w="14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61"/>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股股东总数</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58,084</w:t>
            </w:r>
          </w:p>
        </w:tc>
        <w:tc>
          <w:tcPr>
            <w:tcW w:w="1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21" w:right="27"/>
              <w:jc w:val="both"/>
              <w:rPr>
                <w:rFonts w:ascii="宋体" w:hAnsi="宋体" w:cs="宋体" w:eastAsia="宋体" w:hint="default"/>
                <w:sz w:val="18"/>
                <w:szCs w:val="18"/>
              </w:rPr>
            </w:pPr>
            <w:r>
              <w:rPr>
                <w:rFonts w:ascii="宋体" w:hAnsi="宋体" w:cs="宋体" w:eastAsia="宋体" w:hint="default"/>
                <w:spacing w:val="-3"/>
                <w:sz w:val="18"/>
                <w:szCs w:val="18"/>
              </w:rPr>
              <w:t>报告期末表决权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恢复的优先股股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东总数（如有）</w:t>
            </w:r>
          </w:p>
          <w:p>
            <w:pPr>
              <w:pStyle w:val="TableParagraph"/>
              <w:spacing w:line="240" w:lineRule="auto" w:before="25"/>
              <w:ind w:left="2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31"/>
              <w:jc w:val="both"/>
              <w:rPr>
                <w:rFonts w:ascii="宋体" w:hAnsi="宋体" w:cs="宋体" w:eastAsia="宋体" w:hint="default"/>
                <w:sz w:val="18"/>
                <w:szCs w:val="18"/>
              </w:rPr>
            </w:pPr>
            <w:r>
              <w:rPr>
                <w:rFonts w:ascii="宋体" w:hAnsi="宋体" w:cs="宋体" w:eastAsia="宋体" w:hint="default"/>
                <w:spacing w:val="-3"/>
                <w:sz w:val="18"/>
                <w:szCs w:val="18"/>
              </w:rPr>
              <w:t>年度报告披露日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前上一月末表决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权恢复的优先股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4"/>
                <w:w w:val="101"/>
                <w:sz w:val="18"/>
                <w:szCs w:val="18"/>
              </w:rPr>
              <w:t>股东总数（如有</w:t>
            </w:r>
            <w:r>
              <w:rPr>
                <w:rFonts w:ascii="宋体" w:hAnsi="宋体" w:cs="宋体" w:eastAsia="宋体" w:hint="default"/>
                <w:spacing w:val="-14"/>
                <w:sz w:val="18"/>
                <w:szCs w:val="18"/>
              </w:rPr>
            </w:r>
          </w:p>
          <w:p>
            <w:pPr>
              <w:pStyle w:val="TableParagraph"/>
              <w:spacing w:line="240" w:lineRule="auto" w:before="23"/>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4" w:type="dxa"/>
            <w:tcBorders>
              <w:top w:val="single" w:sz="4" w:space="0" w:color="000000"/>
              <w:left w:val="single" w:sz="4" w:space="0" w:color="000000"/>
              <w:bottom w:val="single" w:sz="4" w:space="0" w:color="000000"/>
              <w:right w:val="nil" w:sz="6" w:space="0" w:color="auto"/>
            </w:tcBorders>
          </w:tcPr>
          <w:p>
            <w:pPr/>
          </w:p>
        </w:tc>
        <w:tc>
          <w:tcPr>
            <w:tcW w:w="5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9570"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39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59" w:right="70"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7" w:right="55"/>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51"/>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 w:right="3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1"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5" w:type="dxa"/>
            <w:gridSpan w:val="2"/>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855" w:type="dxa"/>
            <w:gridSpan w:val="2"/>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917"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18.98%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134,126,8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100,595,100</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33,531,700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16.27%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114,994,4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86,245,800</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28,748,600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8.16%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57,650,70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43,238,025</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14,412,675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8.16%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57,644,20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43,233,150</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14,411,050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34,564,800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18,531,80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13,898,853</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4,632,951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6,690,400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71"/>
              <w:jc w:val="left"/>
              <w:rPr>
                <w:rFonts w:ascii="宋体" w:hAnsi="宋体" w:cs="宋体" w:eastAsia="宋体" w:hint="default"/>
                <w:sz w:val="18"/>
                <w:szCs w:val="18"/>
              </w:rPr>
            </w:pPr>
            <w:r>
              <w:rPr>
                <w:rFonts w:ascii="宋体" w:hAnsi="宋体" w:cs="宋体" w:eastAsia="宋体" w:hint="default"/>
                <w:spacing w:val="-3"/>
                <w:sz w:val="18"/>
                <w:szCs w:val="18"/>
              </w:rPr>
              <w:t>武汉亘星投资有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47"/>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10,006,25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10,006,253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兴业国际信托有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限公司－兴享进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取明达</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号证券投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资集合资金信托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计划</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9,671,752</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9,671,752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9"/>
              <w:jc w:val="left"/>
              <w:rPr>
                <w:rFonts w:ascii="宋体" w:hAnsi="宋体" w:cs="宋体" w:eastAsia="宋体" w:hint="default"/>
                <w:sz w:val="18"/>
                <w:szCs w:val="18"/>
              </w:rPr>
            </w:pPr>
            <w:r>
              <w:rPr>
                <w:rFonts w:ascii="宋体" w:hAnsi="宋体" w:cs="宋体" w:eastAsia="宋体" w:hint="default"/>
                <w:spacing w:val="-3"/>
                <w:sz w:val="18"/>
                <w:szCs w:val="18"/>
              </w:rPr>
              <w:t>深圳市明达资产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管理有限公司－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明达</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期私募投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资基金</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9,645,360</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9,645,360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深圳弘道天瑞投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资有限责任公司</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47"/>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9,135,635</w:t>
            </w:r>
          </w:p>
        </w:tc>
        <w:tc>
          <w:tcPr>
            <w:tcW w:w="855"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9,135,635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9,135,627</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69"/>
        <w:gridCol w:w="1085"/>
        <w:gridCol w:w="326"/>
        <w:gridCol w:w="380"/>
        <w:gridCol w:w="850"/>
        <w:gridCol w:w="855"/>
        <w:gridCol w:w="989"/>
        <w:gridCol w:w="917"/>
        <w:gridCol w:w="1349"/>
        <w:gridCol w:w="1349"/>
      </w:tblGrid>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6"/>
                <w:sz w:val="18"/>
                <w:szCs w:val="18"/>
              </w:rPr>
              <w:t>同方金融控股（深</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圳）有限公司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7"/>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9,130,706</w:t>
            </w: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9,130,706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6"/>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016" w:type="dxa"/>
            <w:gridSpan w:val="8"/>
            <w:tcBorders>
              <w:top w:val="single" w:sz="4" w:space="0" w:color="000000"/>
              <w:left w:val="single" w:sz="10" w:space="0" w:color="D2D2D2"/>
              <w:bottom w:val="single" w:sz="4" w:space="0" w:color="000000"/>
              <w:right w:val="single" w:sz="4" w:space="0" w:color="000000"/>
            </w:tcBorders>
          </w:tcPr>
          <w:p>
            <w:pPr>
              <w:pStyle w:val="TableParagraph"/>
              <w:spacing w:line="319" w:lineRule="auto" w:before="53"/>
              <w:ind w:left="16" w:right="-44"/>
              <w:jc w:val="left"/>
              <w:rPr>
                <w:rFonts w:ascii="宋体" w:hAnsi="宋体" w:cs="宋体" w:eastAsia="宋体" w:hint="default"/>
                <w:sz w:val="18"/>
                <w:szCs w:val="18"/>
              </w:rPr>
            </w:pPr>
            <w:r>
              <w:rPr>
                <w:rFonts w:ascii="宋体" w:hAnsi="宋体" w:cs="宋体" w:eastAsia="宋体" w:hint="default"/>
                <w:spacing w:val="-3"/>
                <w:sz w:val="18"/>
                <w:szCs w:val="18"/>
              </w:rPr>
              <w:t>公司前十名股东之间，张学君、陈向军、李军三人为公司共同实际控制人、一致行动人。</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除此之外，公司未知前十名股东之间是否存在关联关系，也未知是否属于一致行动人。</w:t>
            </w:r>
          </w:p>
        </w:tc>
      </w:tr>
      <w:tr>
        <w:trPr>
          <w:trHeight w:val="401"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88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9"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3"/>
            <w:vMerge/>
            <w:tcBorders>
              <w:left w:val="single" w:sz="4" w:space="0" w:color="000000"/>
              <w:bottom w:val="nil" w:sz="6" w:space="0" w:color="auto"/>
              <w:right w:val="single" w:sz="4" w:space="0" w:color="000000"/>
            </w:tcBorders>
            <w:shd w:val="clear" w:color="auto" w:fill="D2D2D2"/>
          </w:tcPr>
          <w:p>
            <w:pPr/>
          </w:p>
        </w:tc>
        <w:tc>
          <w:tcPr>
            <w:tcW w:w="3991"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33,531,700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33,531,700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28,748,600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28,748,600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14,412,675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14,412,675</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14,411,050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14,411,050</w:t>
            </w:r>
          </w:p>
        </w:tc>
      </w:tr>
      <w:tr>
        <w:trPr>
          <w:trHeight w:val="399"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武汉亘星投资有限公司</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10,006,253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10,006,253</w:t>
            </w:r>
          </w:p>
        </w:tc>
      </w:tr>
      <w:tr>
        <w:trPr>
          <w:trHeight w:val="1027"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4" w:right="142"/>
              <w:jc w:val="both"/>
              <w:rPr>
                <w:rFonts w:ascii="宋体" w:hAnsi="宋体" w:cs="宋体" w:eastAsia="宋体" w:hint="default"/>
                <w:sz w:val="18"/>
                <w:szCs w:val="18"/>
              </w:rPr>
            </w:pPr>
            <w:r>
              <w:rPr>
                <w:rFonts w:ascii="宋体" w:hAnsi="宋体" w:cs="宋体" w:eastAsia="宋体" w:hint="default"/>
                <w:spacing w:val="-3"/>
                <w:sz w:val="18"/>
                <w:szCs w:val="18"/>
              </w:rPr>
              <w:t>兴业国际信托有限公司－兴享进取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明达</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号证券投资集合资金信托计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9,671,752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9,671,752</w:t>
            </w:r>
          </w:p>
        </w:tc>
      </w:tr>
      <w:tr>
        <w:trPr>
          <w:trHeight w:val="716"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42"/>
              <w:jc w:val="left"/>
              <w:rPr>
                <w:rFonts w:ascii="宋体" w:hAnsi="宋体" w:cs="宋体" w:eastAsia="宋体" w:hint="default"/>
                <w:sz w:val="18"/>
                <w:szCs w:val="18"/>
              </w:rPr>
            </w:pPr>
            <w:r>
              <w:rPr>
                <w:rFonts w:ascii="宋体" w:hAnsi="宋体" w:cs="宋体" w:eastAsia="宋体" w:hint="default"/>
                <w:spacing w:val="-3"/>
                <w:sz w:val="18"/>
                <w:szCs w:val="18"/>
              </w:rPr>
              <w:t>深圳市明达资产管理有限公司－明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达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期私募投资基金</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9,645,360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9,645,360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深圳弘道天瑞投资有限责任公司</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9,135,635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9,135,635</w:t>
            </w:r>
          </w:p>
        </w:tc>
      </w:tr>
      <w:tr>
        <w:trPr>
          <w:trHeight w:val="398"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同方金融控股（深圳）有限公司</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9,130,706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9,130,706</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8,505,450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8,505,450</w:t>
            </w:r>
          </w:p>
        </w:tc>
      </w:tr>
      <w:tr>
        <w:trPr>
          <w:trHeight w:val="1340"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9"/>
              <w:jc w:val="both"/>
              <w:rPr>
                <w:rFonts w:ascii="宋体" w:hAnsi="宋体" w:cs="宋体" w:eastAsia="宋体" w:hint="default"/>
                <w:sz w:val="18"/>
                <w:szCs w:val="18"/>
              </w:rPr>
            </w:pPr>
            <w:r>
              <w:rPr>
                <w:rFonts w:ascii="宋体" w:hAnsi="宋体" w:cs="宋体" w:eastAsia="宋体" w:hint="default"/>
                <w:spacing w:val="-4"/>
                <w:sz w:val="18"/>
                <w:szCs w:val="18"/>
              </w:rPr>
              <w:t>公司前十名股东之间，张学君、陈向军、李军三人为公司共同实际控制人、一致行动</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4"/>
                <w:sz w:val="18"/>
                <w:szCs w:val="18"/>
              </w:rPr>
              <w:t>人。除此之外，公司未知前十名股东之间是否存在关联关系，也未知是否属于一致行</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动人。</w:t>
            </w:r>
          </w:p>
        </w:tc>
      </w:tr>
      <w:tr>
        <w:trPr>
          <w:trHeight w:val="716"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6"/>
                <w:sz w:val="18"/>
                <w:szCs w:val="18"/>
              </w:rPr>
              <w:t>参与融资融券业务股东情况说明（如</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6"/>
                <w:w w:val="101"/>
                <w:sz w:val="18"/>
                <w:szCs w:val="18"/>
              </w:rPr>
              <w:t>有）（参见注</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5</w:t>
            </w:r>
            <w:r>
              <w:rPr>
                <w:rFonts w:ascii="宋体" w:hAnsi="宋体" w:cs="宋体" w:eastAsia="宋体" w:hint="default"/>
                <w:w w:val="101"/>
                <w:sz w:val="18"/>
                <w:szCs w:val="18"/>
              </w:rPr>
              <w:t>）</w:t>
            </w:r>
            <w:r>
              <w:rPr>
                <w:rFonts w:ascii="宋体" w:hAnsi="宋体" w:cs="宋体" w:eastAsia="宋体" w:hint="default"/>
                <w:sz w:val="18"/>
                <w:szCs w:val="18"/>
              </w:rPr>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1055"/>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13"/>
          <w:szCs w:val="13"/>
        </w:rPr>
      </w:pPr>
    </w:p>
    <w:p>
      <w:pPr>
        <w:pStyle w:val="BodyText"/>
        <w:spacing w:line="240" w:lineRule="auto"/>
        <w:ind w:left="513" w:right="1055"/>
        <w:jc w:val="left"/>
      </w:pPr>
      <w:r>
        <w:rPr>
          <w:spacing w:val="-3"/>
        </w:rPr>
        <w:t>公司前</w:t>
      </w:r>
      <w:r>
        <w:rPr>
          <w:rFonts w:ascii="宋体" w:hAnsi="宋体" w:cs="宋体" w:eastAsia="宋体" w:hint="default"/>
          <w:spacing w:val="-3"/>
        </w:rPr>
        <w:t>10</w:t>
      </w:r>
      <w:r>
        <w:rPr>
          <w:spacing w:val="-3"/>
        </w:rPr>
        <w:t>名普通股股东、前</w:t>
      </w:r>
      <w:r>
        <w:rPr>
          <w:rFonts w:ascii="宋体" w:hAnsi="宋体" w:cs="宋体" w:eastAsia="宋体" w:hint="default"/>
          <w:spacing w:val="-3"/>
        </w:rPr>
        <w:t>10</w:t>
      </w:r>
      <w:r>
        <w:rPr>
          <w:spacing w:val="-3"/>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420"/>
        <w:jc w:val="left"/>
      </w:pPr>
      <w:r>
        <w:rPr>
          <w:spacing w:val="-3"/>
        </w:rPr>
        <w:t>控股股东性质：自然人控股</w:t>
      </w:r>
      <w:r>
        <w:rPr>
          <w:spacing w:val="-51"/>
        </w:rPr>
        <w:t> </w:t>
      </w:r>
      <w:r>
        <w:rPr>
          <w:spacing w:val="-51"/>
        </w:rPr>
      </w:r>
      <w:r>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2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6"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2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张学君女士现任本公司董事。 陈向军先生现任本公司董事长。 </w:t>
            </w:r>
            <w:r>
              <w:rPr>
                <w:rFonts w:ascii="宋体" w:hAnsi="宋体" w:cs="宋体" w:eastAsia="宋体" w:hint="default"/>
                <w:sz w:val="18"/>
                <w:szCs w:val="18"/>
              </w:rPr>
              <w:t>李军先生现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任本公司董事、总经理。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38"/>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3"/>
        <w:ind w:right="1055"/>
        <w:jc w:val="left"/>
      </w:pPr>
      <w:r>
        <w:rPr/>
        <w:t>控股股东报告期内变更</w:t>
      </w:r>
    </w:p>
    <w:p>
      <w:pPr>
        <w:pStyle w:val="BodyText"/>
        <w:spacing w:line="412" w:lineRule="auto" w:before="119"/>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13"/>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20"/>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3" w:right="104"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1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60" w:lineRule="auto" w:before="53"/>
              <w:ind w:left="23" w:right="4258"/>
              <w:jc w:val="left"/>
              <w:rPr>
                <w:rFonts w:ascii="宋体" w:hAnsi="宋体" w:cs="宋体" w:eastAsia="宋体" w:hint="default"/>
                <w:sz w:val="18"/>
                <w:szCs w:val="18"/>
              </w:rPr>
            </w:pPr>
            <w:r>
              <w:rPr>
                <w:rFonts w:ascii="宋体" w:hAnsi="宋体" w:cs="宋体" w:eastAsia="宋体" w:hint="default"/>
                <w:spacing w:val="-3"/>
                <w:sz w:val="18"/>
                <w:szCs w:val="18"/>
              </w:rPr>
              <w:t>张学君女士现任本公司董事。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陈向军先生现任本公司董事长。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李军先生现任本公司董事、总经理。</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055"/>
        <w:jc w:val="left"/>
      </w:pPr>
      <w:r>
        <w:rPr>
          <w:spacing w:val="-3"/>
        </w:rPr>
        <w:t>实际控制人报告期内变更</w:t>
      </w:r>
    </w:p>
    <w:p>
      <w:pPr>
        <w:pStyle w:val="BodyText"/>
        <w:spacing w:line="410" w:lineRule="auto" w:before="119"/>
        <w:ind w:left="513" w:right="69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p>
    <w:p>
      <w:pPr>
        <w:pStyle w:val="BodyText"/>
        <w:spacing w:line="240" w:lineRule="auto" w:before="68"/>
        <w:ind w:right="1055"/>
        <w:jc w:val="left"/>
      </w:pPr>
      <w:r>
        <w:rPr>
          <w:spacing w:val="-3"/>
        </w:rPr>
        <w:t>公司与实际控制人之间的产权及控制关系的方框图</w:t>
      </w:r>
    </w:p>
    <w:p>
      <w:pPr>
        <w:spacing w:line="240" w:lineRule="auto" w:before="6"/>
        <w:rPr>
          <w:rFonts w:ascii="宋体" w:hAnsi="宋体" w:cs="宋体" w:eastAsia="宋体" w:hint="default"/>
          <w:sz w:val="19"/>
          <w:szCs w:val="19"/>
        </w:rPr>
      </w:pPr>
    </w:p>
    <w:p>
      <w:pPr>
        <w:spacing w:line="1875" w:lineRule="exact"/>
        <w:ind w:left="1910"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3905403" cy="11906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3" cstate="print"/>
                    <a:stretch>
                      <a:fillRect/>
                    </a:stretch>
                  </pic:blipFill>
                  <pic:spPr>
                    <a:xfrm>
                      <a:off x="0" y="0"/>
                      <a:ext cx="3905403" cy="1190625"/>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9"/>
        <w:rPr>
          <w:rFonts w:ascii="宋体" w:hAnsi="宋体" w:cs="宋体" w:eastAsia="宋体" w:hint="default"/>
          <w:sz w:val="16"/>
          <w:szCs w:val="16"/>
        </w:rPr>
      </w:pPr>
    </w:p>
    <w:p>
      <w:pPr>
        <w:pStyle w:val="BodyText"/>
        <w:spacing w:line="240" w:lineRule="auto"/>
        <w:ind w:right="1055"/>
        <w:jc w:val="left"/>
      </w:pPr>
      <w:r>
        <w:rPr>
          <w:spacing w:val="-3"/>
        </w:rPr>
        <w:t>实际控制人通过信托或其他资产管理方式控制公司</w:t>
      </w:r>
    </w:p>
    <w:p>
      <w:pPr>
        <w:pStyle w:val="BodyText"/>
        <w:spacing w:line="240" w:lineRule="auto" w:before="115"/>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1055"/>
        <w:jc w:val="left"/>
        <w:rPr>
          <w:b w:val="0"/>
          <w:bCs w:val="0"/>
        </w:rPr>
      </w:pP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4" w:right="1055"/>
        <w:jc w:val="left"/>
        <w:rPr>
          <w:b w:val="0"/>
          <w:bCs w:val="0"/>
        </w:rPr>
      </w:pPr>
      <w:bookmarkStart w:name="_bookmark5" w:id="6"/>
      <w:bookmarkEnd w:id="6"/>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410" w:lineRule="auto" w:before="46"/>
        <w:ind w:left="513" w:right="806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41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680" w:right="1055"/>
        <w:jc w:val="left"/>
        <w:rPr>
          <w:b w:val="0"/>
          <w:bCs w:val="0"/>
        </w:rPr>
      </w:pPr>
      <w:bookmarkStart w:name="_bookmark6" w:id="7"/>
      <w:bookmarkEnd w:id="7"/>
      <w:r>
        <w:rPr>
          <w:b w:val="0"/>
          <w:bCs w:val="0"/>
        </w:rPr>
      </w:r>
      <w:r>
        <w:rPr/>
        <w:t>第八节</w:t>
      </w:r>
      <w:r>
        <w:rPr>
          <w:spacing w:val="-2"/>
        </w:rPr>
        <w:t> </w:t>
      </w:r>
      <w:r>
        <w:rPr/>
        <w:t>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055"/>
        <w:jc w:val="left"/>
        <w:rPr>
          <w:b w:val="0"/>
          <w:bCs w:val="0"/>
        </w:rPr>
      </w:pP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586"/>
        <w:gridCol w:w="567"/>
        <w:gridCol w:w="994"/>
        <w:gridCol w:w="850"/>
        <w:gridCol w:w="994"/>
        <w:gridCol w:w="797"/>
        <w:gridCol w:w="802"/>
        <w:gridCol w:w="528"/>
        <w:gridCol w:w="1066"/>
      </w:tblGrid>
      <w:tr>
        <w:trPr>
          <w:trHeight w:val="133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403" w:right="36" w:hanging="360"/>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240" w:right="50"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1"/>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增减</w:t>
            </w:r>
            <w:r>
              <w:rPr>
                <w:rFonts w:ascii="宋体" w:hAnsi="宋体" w:cs="宋体" w:eastAsia="宋体" w:hint="default"/>
                <w:spacing w:val="-86"/>
                <w:sz w:val="18"/>
                <w:szCs w:val="18"/>
              </w:rPr>
              <w:t> </w:t>
            </w:r>
            <w:r>
              <w:rPr>
                <w:rFonts w:ascii="宋体" w:hAnsi="宋体" w:cs="宋体" w:eastAsia="宋体" w:hint="default"/>
                <w:sz w:val="18"/>
                <w:szCs w:val="18"/>
              </w:rPr>
              <w:t>变动</w:t>
            </w:r>
          </w:p>
          <w:p>
            <w:pPr>
              <w:pStyle w:val="TableParagraph"/>
              <w:spacing w:line="240" w:lineRule="auto" w:before="23"/>
              <w:ind w:left="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57,650,700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57,650,700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57,644,200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57,644,200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134,126,800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134,126,800</w:t>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114,994,400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114,994,400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18,531,804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18,531,804</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3,536,000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3,536,000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2,288,000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586"/>
        <w:gridCol w:w="567"/>
        <w:gridCol w:w="994"/>
        <w:gridCol w:w="850"/>
        <w:gridCol w:w="994"/>
        <w:gridCol w:w="797"/>
        <w:gridCol w:w="802"/>
        <w:gridCol w:w="528"/>
        <w:gridCol w:w="1066"/>
      </w:tblGrid>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388,772,004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388,772,004</w:t>
            </w:r>
          </w:p>
        </w:tc>
      </w:tr>
    </w:tbl>
    <w:p>
      <w:pPr>
        <w:spacing w:line="240" w:lineRule="auto" w:before="9"/>
        <w:rPr>
          <w:rFonts w:ascii="宋体" w:hAnsi="宋体" w:cs="宋体" w:eastAsia="宋体" w:hint="default"/>
          <w:b/>
          <w:bCs/>
          <w:sz w:val="17"/>
          <w:szCs w:val="17"/>
        </w:rPr>
      </w:pPr>
    </w:p>
    <w:p>
      <w:pPr>
        <w:pStyle w:val="Heading2"/>
        <w:spacing w:line="240" w:lineRule="auto" w:before="26"/>
        <w:ind w:right="1055"/>
        <w:jc w:val="left"/>
        <w:rPr>
          <w:b w:val="0"/>
          <w:bCs w:val="0"/>
        </w:rPr>
      </w:pP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三、任职情况</w:t>
      </w:r>
      <w:r>
        <w:rPr>
          <w:b w:val="0"/>
          <w:bCs w:val="0"/>
        </w:rPr>
      </w:r>
    </w:p>
    <w:p>
      <w:pPr>
        <w:spacing w:line="240" w:lineRule="auto" w:before="7"/>
        <w:rPr>
          <w:rFonts w:ascii="宋体" w:hAnsi="宋体" w:cs="宋体" w:eastAsia="宋体" w:hint="default"/>
          <w:b/>
          <w:bCs/>
          <w:sz w:val="27"/>
          <w:szCs w:val="27"/>
        </w:rPr>
      </w:pPr>
    </w:p>
    <w:p>
      <w:pPr>
        <w:pStyle w:val="BodyText"/>
        <w:spacing w:line="441" w:lineRule="auto"/>
        <w:ind w:left="513" w:right="3258" w:hanging="360"/>
        <w:jc w:val="left"/>
      </w:pPr>
      <w:r>
        <w:rPr>
          <w:spacing w:val="-3"/>
        </w:rPr>
        <w:t>公司现任董事、监事、高级管理人员专业背景、主要工作经历以及目前在公司的主要职责</w:t>
      </w:r>
      <w:r>
        <w:rPr>
          <w:spacing w:val="25"/>
        </w:rPr>
        <w:t> </w:t>
      </w:r>
      <w:r>
        <w:rPr>
          <w:spacing w:val="25"/>
        </w:rPr>
      </w:r>
      <w:r>
        <w:rPr>
          <w:rFonts w:ascii="宋体" w:hAnsi="宋体" w:cs="宋体" w:eastAsia="宋体" w:hint="default"/>
        </w:rPr>
        <w:t>1</w:t>
      </w:r>
      <w:r>
        <w:rPr/>
        <w:t>．董事</w:t>
      </w:r>
    </w:p>
    <w:p>
      <w:pPr>
        <w:pStyle w:val="BodyText"/>
        <w:spacing w:line="480" w:lineRule="auto" w:before="79"/>
        <w:ind w:left="513" w:right="1055"/>
        <w:jc w:val="left"/>
      </w:pPr>
      <w:r>
        <w:rPr>
          <w:spacing w:val="-3"/>
        </w:rPr>
        <w:t>公司董事会由</w:t>
      </w:r>
      <w:r>
        <w:rPr>
          <w:rFonts w:ascii="宋体" w:hAnsi="宋体" w:cs="宋体" w:eastAsia="宋体" w:hint="default"/>
          <w:spacing w:val="-3"/>
        </w:rPr>
        <w:t>9</w:t>
      </w:r>
      <w:r>
        <w:rPr>
          <w:spacing w:val="-3"/>
        </w:rPr>
        <w:t>名董事组成，其中独立董事</w:t>
      </w:r>
      <w:r>
        <w:rPr>
          <w:rFonts w:ascii="宋体" w:hAnsi="宋体" w:cs="宋体" w:eastAsia="宋体" w:hint="default"/>
          <w:spacing w:val="-3"/>
        </w:rPr>
        <w:t>3</w:t>
      </w:r>
      <w:r>
        <w:rPr>
          <w:spacing w:val="-3"/>
        </w:rPr>
        <w:t>名，具体如下：</w:t>
      </w:r>
      <w:r>
        <w:rPr>
          <w:spacing w:val="-7"/>
        </w:rPr>
        <w:t> </w:t>
      </w:r>
      <w:r>
        <w:rPr>
          <w:spacing w:val="-7"/>
        </w:rPr>
      </w:r>
      <w:r>
        <w:rPr>
          <w:spacing w:val="-3"/>
        </w:rPr>
        <w:t>陈向军先生，公司董事长，中国籍，</w:t>
      </w:r>
      <w:r>
        <w:rPr>
          <w:rFonts w:ascii="宋体" w:hAnsi="宋体" w:cs="宋体" w:eastAsia="宋体" w:hint="default"/>
          <w:spacing w:val="-3"/>
        </w:rPr>
        <w:t>1964</w:t>
      </w:r>
      <w:r>
        <w:rPr>
          <w:spacing w:val="-3"/>
        </w:rPr>
        <w:t>年出生，研究生学历。</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月至今任公司董事长，</w:t>
      </w:r>
      <w:r>
        <w:rPr>
          <w:rFonts w:ascii="宋体" w:hAnsi="宋体" w:cs="宋体" w:eastAsia="宋体" w:hint="default"/>
          <w:spacing w:val="-3"/>
        </w:rPr>
        <w:t>2014</w:t>
      </w:r>
      <w:r>
        <w:rPr>
          <w:spacing w:val="-3"/>
        </w:rPr>
        <w:t>年</w:t>
      </w:r>
      <w:r>
        <w:rPr>
          <w:rFonts w:ascii="宋体" w:hAnsi="宋体" w:cs="宋体" w:eastAsia="宋体" w:hint="default"/>
          <w:spacing w:val="-3"/>
        </w:rPr>
        <w:t>7</w:t>
      </w:r>
      <w:r>
        <w:rPr>
          <w:spacing w:val="-3"/>
        </w:rPr>
        <w:t>月起任公司子</w:t>
      </w:r>
    </w:p>
    <w:p>
      <w:pPr>
        <w:pStyle w:val="BodyText"/>
        <w:spacing w:line="480" w:lineRule="auto" w:before="50"/>
        <w:ind w:left="513" w:right="1055" w:hanging="360"/>
        <w:jc w:val="left"/>
      </w:pPr>
      <w:r>
        <w:rPr>
          <w:spacing w:val="-3"/>
        </w:rPr>
        <w:t>公司华道征信董事长，</w:t>
      </w:r>
      <w:r>
        <w:rPr>
          <w:rFonts w:ascii="宋体" w:hAnsi="宋体" w:cs="宋体" w:eastAsia="宋体" w:hint="default"/>
          <w:spacing w:val="-3"/>
        </w:rPr>
        <w:t>2018</w:t>
      </w:r>
      <w:r>
        <w:rPr>
          <w:spacing w:val="-3"/>
        </w:rPr>
        <w:t>年</w:t>
      </w:r>
      <w:r>
        <w:rPr>
          <w:rFonts w:ascii="宋体" w:hAnsi="宋体" w:cs="宋体" w:eastAsia="宋体" w:hint="default"/>
          <w:spacing w:val="-3"/>
        </w:rPr>
        <w:t>3</w:t>
      </w:r>
      <w:r>
        <w:rPr>
          <w:spacing w:val="-3"/>
        </w:rPr>
        <w:t>月至今任公司参股公司百行征信董事。</w:t>
      </w:r>
      <w:r>
        <w:rPr>
          <w:spacing w:val="12"/>
        </w:rPr>
        <w:t> </w:t>
      </w:r>
      <w:r>
        <w:rPr>
          <w:spacing w:val="12"/>
        </w:rPr>
      </w:r>
      <w:r>
        <w:rPr>
          <w:spacing w:val="-4"/>
        </w:rPr>
        <w:t>李军先生，公司董事、总经理，中国籍，</w:t>
      </w:r>
      <w:r>
        <w:rPr>
          <w:rFonts w:ascii="宋体" w:hAnsi="宋体" w:cs="宋体" w:eastAsia="宋体" w:hint="default"/>
          <w:spacing w:val="-4"/>
        </w:rPr>
        <w:t>1970</w:t>
      </w:r>
      <w:r>
        <w:rPr>
          <w:spacing w:val="-4"/>
        </w:rPr>
        <w:t>年出生，研究生学历。</w:t>
      </w:r>
      <w:r>
        <w:rPr>
          <w:rFonts w:ascii="宋体" w:hAnsi="宋体" w:cs="宋体" w:eastAsia="宋体" w:hint="default"/>
          <w:spacing w:val="-4"/>
        </w:rPr>
        <w:t>2007</w:t>
      </w:r>
      <w:r>
        <w:rPr>
          <w:spacing w:val="-4"/>
        </w:rPr>
        <w:t>年</w:t>
      </w:r>
      <w:r>
        <w:rPr>
          <w:rFonts w:ascii="宋体" w:hAnsi="宋体" w:cs="宋体" w:eastAsia="宋体" w:hint="default"/>
          <w:spacing w:val="-4"/>
        </w:rPr>
        <w:t>12</w:t>
      </w:r>
      <w:r>
        <w:rPr>
          <w:spacing w:val="-4"/>
        </w:rPr>
        <w:t>月起任公司董事、总经理，</w:t>
      </w:r>
      <w:r>
        <w:rPr>
          <w:rFonts w:ascii="宋体" w:hAnsi="宋体" w:cs="宋体" w:eastAsia="宋体" w:hint="default"/>
          <w:spacing w:val="-4"/>
        </w:rPr>
        <w:t>2013</w:t>
      </w:r>
      <w:r>
        <w:rPr>
          <w:spacing w:val="-4"/>
        </w:rPr>
        <w:t>年</w:t>
      </w:r>
      <w:r>
        <w:rPr>
          <w:rFonts w:ascii="宋体" w:hAnsi="宋体" w:cs="宋体" w:eastAsia="宋体" w:hint="default"/>
          <w:spacing w:val="-4"/>
        </w:rPr>
        <w:t>10</w:t>
      </w:r>
      <w:r>
        <w:rPr>
          <w:spacing w:val="-4"/>
        </w:rPr>
        <w:t>月起</w:t>
      </w:r>
    </w:p>
    <w:p>
      <w:pPr>
        <w:pStyle w:val="BodyText"/>
        <w:spacing w:line="480" w:lineRule="auto" w:before="50"/>
        <w:ind w:right="1055"/>
        <w:jc w:val="left"/>
      </w:pPr>
      <w:r>
        <w:rPr>
          <w:spacing w:val="-4"/>
        </w:rPr>
        <w:t>任公司子公司票联金服董事，</w:t>
      </w:r>
      <w:r>
        <w:rPr>
          <w:rFonts w:ascii="宋体" w:hAnsi="宋体" w:cs="宋体" w:eastAsia="宋体" w:hint="default"/>
          <w:spacing w:val="-4"/>
        </w:rPr>
        <w:t>2013</w:t>
      </w:r>
      <w:r>
        <w:rPr>
          <w:spacing w:val="-4"/>
        </w:rPr>
        <w:t>年</w:t>
      </w:r>
      <w:r>
        <w:rPr>
          <w:rFonts w:ascii="宋体" w:hAnsi="宋体" w:cs="宋体" w:eastAsia="宋体" w:hint="default"/>
          <w:spacing w:val="-4"/>
        </w:rPr>
        <w:t>12</w:t>
      </w:r>
      <w:r>
        <w:rPr>
          <w:spacing w:val="-4"/>
        </w:rPr>
        <w:t>月起任公司子公司华道征信董事，</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月起任公司子公司福建片仔癀银之杰健康</w:t>
      </w:r>
      <w:r>
        <w:rPr>
          <w:spacing w:val="68"/>
        </w:rPr>
        <w:t> </w:t>
      </w:r>
      <w:r>
        <w:rPr>
          <w:spacing w:val="68"/>
        </w:rPr>
      </w:r>
      <w:r>
        <w:rPr>
          <w:spacing w:val="-3"/>
        </w:rPr>
        <w:t>管理有限公司董事，</w:t>
      </w:r>
      <w:r>
        <w:rPr>
          <w:rFonts w:ascii="宋体" w:hAnsi="宋体" w:cs="宋体" w:eastAsia="宋体" w:hint="default"/>
          <w:spacing w:val="-3"/>
        </w:rPr>
        <w:t>2016</w:t>
      </w:r>
      <w:r>
        <w:rPr>
          <w:spacing w:val="-3"/>
        </w:rPr>
        <w:t>年</w:t>
      </w:r>
      <w:r>
        <w:rPr>
          <w:rFonts w:ascii="宋体" w:hAnsi="宋体" w:cs="宋体" w:eastAsia="宋体" w:hint="default"/>
          <w:spacing w:val="-3"/>
        </w:rPr>
        <w:t>2</w:t>
      </w:r>
      <w:r>
        <w:rPr>
          <w:spacing w:val="-3"/>
        </w:rPr>
        <w:t>月起任公司子公司易安保险董事长。</w:t>
      </w:r>
    </w:p>
    <w:p>
      <w:pPr>
        <w:pStyle w:val="BodyText"/>
        <w:spacing w:line="480" w:lineRule="auto" w:before="50"/>
        <w:ind w:left="513" w:right="1055"/>
        <w:jc w:val="left"/>
      </w:pPr>
      <w:r>
        <w:rPr>
          <w:spacing w:val="-3"/>
        </w:rPr>
        <w:t>张学君女士，公司董事，中国籍，</w:t>
      </w:r>
      <w:r>
        <w:rPr>
          <w:rFonts w:ascii="宋体" w:hAnsi="宋体" w:cs="宋体" w:eastAsia="宋体" w:hint="default"/>
          <w:spacing w:val="-3"/>
        </w:rPr>
        <w:t>1940</w:t>
      </w:r>
      <w:r>
        <w:rPr>
          <w:spacing w:val="-3"/>
        </w:rPr>
        <w:t>年出生，大专学历。</w:t>
      </w:r>
      <w:r>
        <w:rPr>
          <w:rFonts w:ascii="宋体" w:hAnsi="宋体" w:cs="宋体" w:eastAsia="宋体" w:hint="default"/>
          <w:spacing w:val="-3"/>
        </w:rPr>
        <w:t>2000</w:t>
      </w:r>
      <w:r>
        <w:rPr>
          <w:spacing w:val="-3"/>
        </w:rPr>
        <w:t>年</w:t>
      </w:r>
      <w:r>
        <w:rPr>
          <w:rFonts w:ascii="宋体" w:hAnsi="宋体" w:cs="宋体" w:eastAsia="宋体" w:hint="default"/>
          <w:spacing w:val="-3"/>
        </w:rPr>
        <w:t>9</w:t>
      </w:r>
      <w:r>
        <w:rPr>
          <w:spacing w:val="-3"/>
        </w:rPr>
        <w:t>月至今任公司董事。</w:t>
      </w:r>
      <w:r>
        <w:rPr>
          <w:spacing w:val="35"/>
        </w:rPr>
        <w:t> </w:t>
      </w:r>
      <w:r>
        <w:rPr>
          <w:spacing w:val="35"/>
        </w:rPr>
      </w:r>
      <w:r>
        <w:rPr>
          <w:spacing w:val="-4"/>
        </w:rPr>
        <w:t>何晔女士，公司董事，中国籍，</w:t>
      </w:r>
      <w:r>
        <w:rPr>
          <w:rFonts w:ascii="宋体" w:hAnsi="宋体" w:cs="宋体" w:eastAsia="宋体" w:hint="default"/>
          <w:spacing w:val="-4"/>
        </w:rPr>
        <w:t>1970</w:t>
      </w:r>
      <w:r>
        <w:rPr>
          <w:spacing w:val="-4"/>
        </w:rPr>
        <w:t>年出生，本科学历。</w:t>
      </w:r>
      <w:r>
        <w:rPr>
          <w:rFonts w:ascii="宋体" w:hAnsi="宋体" w:cs="宋体" w:eastAsia="宋体" w:hint="default"/>
          <w:spacing w:val="-4"/>
        </w:rPr>
        <w:t>2001</w:t>
      </w:r>
      <w:r>
        <w:rPr>
          <w:spacing w:val="-4"/>
        </w:rPr>
        <w:t>年</w:t>
      </w:r>
      <w:r>
        <w:rPr>
          <w:rFonts w:ascii="宋体" w:hAnsi="宋体" w:cs="宋体" w:eastAsia="宋体" w:hint="default"/>
          <w:spacing w:val="-4"/>
        </w:rPr>
        <w:t>4</w:t>
      </w:r>
      <w:r>
        <w:rPr>
          <w:spacing w:val="-4"/>
        </w:rPr>
        <w:t>月至</w:t>
      </w:r>
      <w:r>
        <w:rPr>
          <w:rFonts w:ascii="宋体" w:hAnsi="宋体" w:cs="宋体" w:eastAsia="宋体" w:hint="default"/>
          <w:spacing w:val="-4"/>
        </w:rPr>
        <w:t>2010</w:t>
      </w:r>
      <w:r>
        <w:rPr>
          <w:spacing w:val="-4"/>
        </w:rPr>
        <w:t>年</w:t>
      </w:r>
      <w:r>
        <w:rPr>
          <w:rFonts w:ascii="宋体" w:hAnsi="宋体" w:cs="宋体" w:eastAsia="宋体" w:hint="default"/>
          <w:spacing w:val="-4"/>
        </w:rPr>
        <w:t>3</w:t>
      </w:r>
      <w:r>
        <w:rPr>
          <w:spacing w:val="-4"/>
        </w:rPr>
        <w:t>月在联合证券有限责任公司（华泰联合证</w:t>
      </w:r>
    </w:p>
    <w:p>
      <w:pPr>
        <w:pStyle w:val="BodyText"/>
        <w:spacing w:line="480" w:lineRule="auto" w:before="50"/>
        <w:ind w:right="1055"/>
        <w:jc w:val="left"/>
      </w:pPr>
      <w:r>
        <w:rPr>
          <w:spacing w:val="-7"/>
        </w:rPr>
        <w:t>券有限责任公司）工作，历任计划财务部职员、基金业务小组组长助理、销售交易部总经理助理、销售交易部副总经理。</w:t>
      </w:r>
      <w:r>
        <w:rPr>
          <w:rFonts w:ascii="宋体" w:hAnsi="宋体" w:cs="宋体" w:eastAsia="宋体" w:hint="default"/>
          <w:spacing w:val="-7"/>
        </w:rPr>
        <w:t>2007</w:t>
      </w:r>
      <w:r>
        <w:rPr>
          <w:rFonts w:ascii="宋体" w:hAnsi="宋体" w:cs="宋体" w:eastAsia="宋体" w:hint="default"/>
          <w:spacing w:val="47"/>
        </w:rPr>
        <w:t> </w:t>
      </w:r>
      <w:r>
        <w:rPr>
          <w:rFonts w:ascii="宋体" w:hAnsi="宋体" w:cs="宋体" w:eastAsia="宋体" w:hint="default"/>
          <w:spacing w:val="47"/>
        </w:rPr>
      </w:r>
      <w:r>
        <w:rPr>
          <w:spacing w:val="-3"/>
        </w:rPr>
        <w:t>年</w:t>
      </w:r>
      <w:r>
        <w:rPr>
          <w:rFonts w:ascii="宋体" w:hAnsi="宋体" w:cs="宋体" w:eastAsia="宋体" w:hint="default"/>
          <w:spacing w:val="-3"/>
        </w:rPr>
        <w:t>12</w:t>
      </w:r>
      <w:r>
        <w:rPr>
          <w:spacing w:val="-3"/>
        </w:rPr>
        <w:t>月至今任公司董事。</w:t>
      </w:r>
    </w:p>
    <w:p>
      <w:pPr>
        <w:pStyle w:val="BodyText"/>
        <w:spacing w:line="477" w:lineRule="auto" w:before="50"/>
        <w:ind w:right="1122" w:firstLine="360"/>
        <w:jc w:val="both"/>
      </w:pPr>
      <w:r>
        <w:rPr>
          <w:spacing w:val="-4"/>
        </w:rPr>
        <w:t>郑学定先生，公司独立董事，中国籍，</w:t>
      </w:r>
      <w:r>
        <w:rPr>
          <w:rFonts w:ascii="宋体" w:hAnsi="宋体" w:cs="宋体" w:eastAsia="宋体" w:hint="default"/>
          <w:spacing w:val="-4"/>
        </w:rPr>
        <w:t>1963</w:t>
      </w:r>
      <w:r>
        <w:rPr>
          <w:spacing w:val="-4"/>
        </w:rPr>
        <w:t>年出生，研究生学历。</w:t>
      </w:r>
      <w:r>
        <w:rPr>
          <w:rFonts w:ascii="宋体" w:hAnsi="宋体" w:cs="宋体" w:eastAsia="宋体" w:hint="default"/>
          <w:spacing w:val="-4"/>
        </w:rPr>
        <w:t>1991</w:t>
      </w:r>
      <w:r>
        <w:rPr>
          <w:spacing w:val="-4"/>
        </w:rPr>
        <w:t>年</w:t>
      </w:r>
      <w:r>
        <w:rPr>
          <w:rFonts w:ascii="宋体" w:hAnsi="宋体" w:cs="宋体" w:eastAsia="宋体" w:hint="default"/>
          <w:spacing w:val="-4"/>
        </w:rPr>
        <w:t>12</w:t>
      </w:r>
      <w:r>
        <w:rPr>
          <w:spacing w:val="-4"/>
        </w:rPr>
        <w:t>月至</w:t>
      </w:r>
      <w:r>
        <w:rPr>
          <w:rFonts w:ascii="宋体" w:hAnsi="宋体" w:cs="宋体" w:eastAsia="宋体" w:hint="default"/>
          <w:spacing w:val="-4"/>
        </w:rPr>
        <w:t>2005</w:t>
      </w:r>
      <w:r>
        <w:rPr>
          <w:spacing w:val="-4"/>
        </w:rPr>
        <w:t>年</w:t>
      </w:r>
      <w:r>
        <w:rPr>
          <w:rFonts w:ascii="宋体" w:hAnsi="宋体" w:cs="宋体" w:eastAsia="宋体" w:hint="default"/>
          <w:spacing w:val="-4"/>
        </w:rPr>
        <w:t>12</w:t>
      </w:r>
      <w:r>
        <w:rPr>
          <w:spacing w:val="-4"/>
        </w:rPr>
        <w:t>月任深圳市注册会计师协会副</w:t>
      </w:r>
      <w:r>
        <w:rPr>
          <w:w w:val="101"/>
        </w:rPr>
        <w:t> </w:t>
      </w:r>
      <w:r>
        <w:rPr>
          <w:spacing w:val="-4"/>
        </w:rPr>
        <w:t>秘书长、秘书长，</w:t>
      </w:r>
      <w:r>
        <w:rPr>
          <w:rFonts w:ascii="宋体" w:hAnsi="宋体" w:cs="宋体" w:eastAsia="宋体" w:hint="default"/>
          <w:spacing w:val="-4"/>
        </w:rPr>
        <w:t>2006</w:t>
      </w:r>
      <w:r>
        <w:rPr>
          <w:spacing w:val="-4"/>
        </w:rPr>
        <w:t>年</w:t>
      </w:r>
      <w:r>
        <w:rPr>
          <w:rFonts w:ascii="宋体" w:hAnsi="宋体" w:cs="宋体" w:eastAsia="宋体" w:hint="default"/>
          <w:spacing w:val="-4"/>
        </w:rPr>
        <w:t>1</w:t>
      </w:r>
      <w:r>
        <w:rPr>
          <w:spacing w:val="-4"/>
        </w:rPr>
        <w:t>月至</w:t>
      </w:r>
      <w:r>
        <w:rPr>
          <w:rFonts w:ascii="宋体" w:hAnsi="宋体" w:cs="宋体" w:eastAsia="宋体" w:hint="default"/>
          <w:spacing w:val="-4"/>
        </w:rPr>
        <w:t>2011</w:t>
      </w:r>
      <w:r>
        <w:rPr>
          <w:spacing w:val="-4"/>
        </w:rPr>
        <w:t>年</w:t>
      </w:r>
      <w:r>
        <w:rPr>
          <w:rFonts w:ascii="宋体" w:hAnsi="宋体" w:cs="宋体" w:eastAsia="宋体" w:hint="default"/>
          <w:spacing w:val="-4"/>
        </w:rPr>
        <w:t>12</w:t>
      </w:r>
      <w:r>
        <w:rPr>
          <w:spacing w:val="-4"/>
        </w:rPr>
        <w:t>月任开元信德会计师事务所合伙人，</w:t>
      </w: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月至今任大华会计师事务所合伙人。深</w:t>
      </w:r>
      <w:r>
        <w:rPr>
          <w:spacing w:val="73"/>
        </w:rPr>
        <w:t> </w:t>
      </w:r>
      <w:r>
        <w:rPr>
          <w:spacing w:val="73"/>
        </w:rPr>
      </w:r>
      <w:r>
        <w:rPr>
          <w:spacing w:val="-3"/>
        </w:rPr>
        <w:t>圳市第六届人民代表大会代表、人大常委。</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月至今任公司独立董事。</w:t>
      </w:r>
    </w:p>
    <w:p>
      <w:pPr>
        <w:pStyle w:val="BodyText"/>
        <w:spacing w:line="475" w:lineRule="auto" w:before="57"/>
        <w:ind w:right="1055" w:firstLine="360"/>
        <w:jc w:val="left"/>
      </w:pPr>
      <w:r>
        <w:rPr>
          <w:spacing w:val="-3"/>
        </w:rPr>
        <w:t>郭斐先生，公司独立董事，中国籍，</w:t>
      </w:r>
      <w:r>
        <w:rPr>
          <w:rFonts w:ascii="宋体" w:hAnsi="宋体" w:cs="宋体" w:eastAsia="宋体" w:hint="default"/>
          <w:spacing w:val="-3"/>
        </w:rPr>
        <w:t>1966</w:t>
      </w:r>
      <w:r>
        <w:rPr>
          <w:spacing w:val="-3"/>
        </w:rPr>
        <w:t>年出生，本科学历。</w:t>
      </w:r>
      <w:r>
        <w:rPr>
          <w:rFonts w:ascii="宋体" w:hAnsi="宋体" w:cs="宋体" w:eastAsia="宋体" w:hint="default"/>
          <w:spacing w:val="-3"/>
        </w:rPr>
        <w:t>2007</w:t>
      </w:r>
      <w:r>
        <w:rPr>
          <w:spacing w:val="-3"/>
        </w:rPr>
        <w:t>年</w:t>
      </w:r>
      <w:r>
        <w:rPr>
          <w:rFonts w:ascii="宋体" w:hAnsi="宋体" w:cs="宋体" w:eastAsia="宋体" w:hint="default"/>
          <w:spacing w:val="-3"/>
        </w:rPr>
        <w:t>9</w:t>
      </w:r>
      <w:r>
        <w:rPr>
          <w:spacing w:val="-3"/>
        </w:rPr>
        <w:t>月至今任北京大成（深圳）律师事务所律师、高</w:t>
      </w:r>
      <w:r>
        <w:rPr>
          <w:w w:val="101"/>
        </w:rPr>
        <w:t> </w:t>
      </w:r>
      <w:r>
        <w:rPr>
          <w:spacing w:val="-3"/>
        </w:rPr>
        <w:t>级合伙人。</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月至今任公司独立董事。</w:t>
      </w:r>
    </w:p>
    <w:p>
      <w:pPr>
        <w:pStyle w:val="BodyText"/>
        <w:spacing w:line="477" w:lineRule="auto" w:before="58"/>
        <w:ind w:right="1055" w:firstLine="360"/>
        <w:jc w:val="left"/>
      </w:pPr>
      <w:r>
        <w:rPr>
          <w:spacing w:val="-4"/>
        </w:rPr>
        <w:t>何剑先生，公司独立董事，中国籍，</w:t>
      </w:r>
      <w:r>
        <w:rPr>
          <w:rFonts w:ascii="宋体" w:hAnsi="宋体" w:cs="宋体" w:eastAsia="宋体" w:hint="default"/>
          <w:spacing w:val="-4"/>
        </w:rPr>
        <w:t>1969</w:t>
      </w:r>
      <w:r>
        <w:rPr>
          <w:spacing w:val="-4"/>
        </w:rPr>
        <w:t>年出生，研究生学历。</w:t>
      </w:r>
      <w:r>
        <w:rPr>
          <w:rFonts w:ascii="宋体" w:hAnsi="宋体" w:cs="宋体" w:eastAsia="宋体" w:hint="default"/>
          <w:spacing w:val="-4"/>
        </w:rPr>
        <w:t>2009</w:t>
      </w:r>
      <w:r>
        <w:rPr>
          <w:spacing w:val="-4"/>
        </w:rPr>
        <w:t>年至</w:t>
      </w:r>
      <w:r>
        <w:rPr>
          <w:rFonts w:ascii="宋体" w:hAnsi="宋体" w:cs="宋体" w:eastAsia="宋体" w:hint="default"/>
          <w:spacing w:val="-4"/>
        </w:rPr>
        <w:t>2011</w:t>
      </w:r>
      <w:r>
        <w:rPr>
          <w:spacing w:val="-4"/>
        </w:rPr>
        <w:t>年任江苏久禧实业有限公司董事长，</w:t>
      </w:r>
      <w:r>
        <w:rPr>
          <w:rFonts w:ascii="宋体" w:hAnsi="宋体" w:cs="宋体" w:eastAsia="宋体" w:hint="default"/>
          <w:spacing w:val="-4"/>
        </w:rPr>
        <w:t>2011</w:t>
      </w:r>
      <w:r>
        <w:rPr>
          <w:rFonts w:ascii="宋体" w:hAnsi="宋体" w:cs="宋体" w:eastAsia="宋体" w:hint="default"/>
          <w:w w:val="101"/>
        </w:rPr>
        <w:t> </w:t>
      </w:r>
      <w:r>
        <w:rPr>
          <w:spacing w:val="-3"/>
        </w:rPr>
        <w:t>年至</w:t>
      </w:r>
      <w:r>
        <w:rPr>
          <w:rFonts w:ascii="宋体" w:hAnsi="宋体" w:cs="宋体" w:eastAsia="宋体" w:hint="default"/>
          <w:spacing w:val="-3"/>
        </w:rPr>
        <w:t>2012</w:t>
      </w:r>
      <w:r>
        <w:rPr>
          <w:spacing w:val="-3"/>
        </w:rPr>
        <w:t>年任北京久禧康源投资管理有限公司董事长、总经理，</w:t>
      </w:r>
      <w:r>
        <w:rPr>
          <w:rFonts w:ascii="宋体" w:hAnsi="宋体" w:cs="宋体" w:eastAsia="宋体" w:hint="default"/>
          <w:spacing w:val="-3"/>
        </w:rPr>
        <w:t>2013</w:t>
      </w:r>
      <w:r>
        <w:rPr>
          <w:spacing w:val="-3"/>
        </w:rPr>
        <w:t>年至今任北京冏鹿网络科技有限公司董事长、总经理。</w:t>
      </w:r>
      <w:r>
        <w:rPr>
          <w:spacing w:val="77"/>
        </w:rPr>
        <w:t> </w:t>
      </w:r>
      <w:r>
        <w:rPr>
          <w:spacing w:val="77"/>
        </w:rPr>
      </w:r>
      <w:r>
        <w:rPr>
          <w:rFonts w:ascii="宋体" w:hAnsi="宋体" w:cs="宋体" w:eastAsia="宋体" w:hint="default"/>
        </w:rPr>
        <w:t>2014</w:t>
      </w:r>
      <w:r>
        <w:rPr/>
        <w:t>年</w:t>
      </w:r>
      <w:r>
        <w:rPr>
          <w:rFonts w:ascii="宋体" w:hAnsi="宋体" w:cs="宋体" w:eastAsia="宋体" w:hint="default"/>
        </w:rPr>
        <w:t>4</w:t>
      </w:r>
      <w:r>
        <w:rPr/>
        <w:t>月至今任公司独立董事。</w:t>
      </w:r>
    </w:p>
    <w:p>
      <w:pPr>
        <w:pStyle w:val="BodyText"/>
        <w:spacing w:line="477" w:lineRule="auto" w:before="52"/>
        <w:ind w:right="1055" w:firstLine="360"/>
        <w:jc w:val="left"/>
      </w:pPr>
      <w:r>
        <w:rPr>
          <w:spacing w:val="-6"/>
        </w:rPr>
        <w:t>刘奕先生，公司董事，中国籍，</w:t>
      </w:r>
      <w:r>
        <w:rPr>
          <w:rFonts w:ascii="宋体" w:hAnsi="宋体" w:cs="宋体" w:eastAsia="宋体" w:hint="default"/>
          <w:spacing w:val="-6"/>
        </w:rPr>
        <w:t>1971</w:t>
      </w:r>
      <w:r>
        <w:rPr>
          <w:spacing w:val="-6"/>
        </w:rPr>
        <w:t>年出生，研究生学历。</w:t>
      </w:r>
      <w:r>
        <w:rPr>
          <w:rFonts w:ascii="宋体" w:hAnsi="宋体" w:cs="宋体" w:eastAsia="宋体" w:hint="default"/>
          <w:spacing w:val="-6"/>
        </w:rPr>
        <w:t>1998</w:t>
      </w:r>
      <w:r>
        <w:rPr>
          <w:spacing w:val="-6"/>
        </w:rPr>
        <w:t>年</w:t>
      </w:r>
      <w:r>
        <w:rPr>
          <w:rFonts w:ascii="宋体" w:hAnsi="宋体" w:cs="宋体" w:eastAsia="宋体" w:hint="default"/>
          <w:spacing w:val="-6"/>
        </w:rPr>
        <w:t>10</w:t>
      </w:r>
      <w:r>
        <w:rPr>
          <w:spacing w:val="-6"/>
        </w:rPr>
        <w:t>月至今在本公司工作，历任总经理助理、副总经理。</w:t>
      </w:r>
      <w:r>
        <w:rPr>
          <w:w w:val="101"/>
        </w:rPr>
        <w:t> </w:t>
      </w:r>
      <w:r>
        <w:rPr>
          <w:rFonts w:ascii="宋体" w:hAnsi="宋体" w:cs="宋体" w:eastAsia="宋体" w:hint="default"/>
          <w:spacing w:val="-4"/>
        </w:rPr>
        <w:t>2007</w:t>
      </w:r>
      <w:r>
        <w:rPr>
          <w:spacing w:val="-4"/>
        </w:rPr>
        <w:t>年</w:t>
      </w:r>
      <w:r>
        <w:rPr>
          <w:rFonts w:ascii="宋体" w:hAnsi="宋体" w:cs="宋体" w:eastAsia="宋体" w:hint="default"/>
          <w:spacing w:val="-4"/>
        </w:rPr>
        <w:t>12</w:t>
      </w:r>
      <w:r>
        <w:rPr>
          <w:spacing w:val="-4"/>
        </w:rPr>
        <w:t>月至今任公司副总经理、董事会秘书，</w:t>
      </w:r>
      <w:r>
        <w:rPr>
          <w:rFonts w:ascii="宋体" w:hAnsi="宋体" w:cs="宋体" w:eastAsia="宋体" w:hint="default"/>
          <w:spacing w:val="-4"/>
        </w:rPr>
        <w:t>2015</w:t>
      </w:r>
      <w:r>
        <w:rPr>
          <w:spacing w:val="-4"/>
        </w:rPr>
        <w:t>年</w:t>
      </w:r>
      <w:r>
        <w:rPr>
          <w:rFonts w:ascii="宋体" w:hAnsi="宋体" w:cs="宋体" w:eastAsia="宋体" w:hint="default"/>
          <w:spacing w:val="-4"/>
        </w:rPr>
        <w:t>6</w:t>
      </w:r>
      <w:r>
        <w:rPr>
          <w:spacing w:val="-4"/>
        </w:rPr>
        <w:t>月起任公司董事，</w:t>
      </w:r>
      <w:r>
        <w:rPr>
          <w:rFonts w:ascii="宋体" w:hAnsi="宋体" w:cs="宋体" w:eastAsia="宋体" w:hint="default"/>
          <w:spacing w:val="-4"/>
        </w:rPr>
        <w:t>2016</w:t>
      </w:r>
      <w:r>
        <w:rPr>
          <w:spacing w:val="-4"/>
        </w:rPr>
        <w:t>年</w:t>
      </w:r>
      <w:r>
        <w:rPr>
          <w:rFonts w:ascii="宋体" w:hAnsi="宋体" w:cs="宋体" w:eastAsia="宋体" w:hint="default"/>
          <w:spacing w:val="-4"/>
        </w:rPr>
        <w:t>4</w:t>
      </w:r>
      <w:r>
        <w:rPr>
          <w:spacing w:val="-4"/>
        </w:rPr>
        <w:t>月起任公司财务总监。</w:t>
      </w:r>
      <w:r>
        <w:rPr>
          <w:rFonts w:ascii="宋体" w:hAnsi="宋体" w:cs="宋体" w:eastAsia="宋体" w:hint="default"/>
          <w:spacing w:val="-4"/>
        </w:rPr>
        <w:t>2013</w:t>
      </w:r>
      <w:r>
        <w:rPr>
          <w:spacing w:val="-4"/>
        </w:rPr>
        <w:t>年</w:t>
      </w:r>
      <w:r>
        <w:rPr>
          <w:rFonts w:ascii="宋体" w:hAnsi="宋体" w:cs="宋体" w:eastAsia="宋体" w:hint="default"/>
          <w:spacing w:val="-4"/>
        </w:rPr>
        <w:t>10</w:t>
      </w:r>
      <w:r>
        <w:rPr>
          <w:spacing w:val="-4"/>
        </w:rPr>
        <w:t>月起任公</w:t>
      </w:r>
      <w:r>
        <w:rPr>
          <w:spacing w:val="-3"/>
        </w:rPr>
        <w:t> </w:t>
      </w:r>
      <w:r>
        <w:rPr>
          <w:spacing w:val="-3"/>
        </w:rPr>
      </w:r>
      <w:r>
        <w:rPr>
          <w:spacing w:val="-4"/>
        </w:rPr>
        <w:t>司子公司票联金服董事，</w:t>
      </w:r>
      <w:r>
        <w:rPr>
          <w:rFonts w:ascii="宋体" w:hAnsi="宋体" w:cs="宋体" w:eastAsia="宋体" w:hint="default"/>
          <w:spacing w:val="-4"/>
        </w:rPr>
        <w:t>2014</w:t>
      </w:r>
      <w:r>
        <w:rPr>
          <w:spacing w:val="-4"/>
        </w:rPr>
        <w:t>年</w:t>
      </w:r>
      <w:r>
        <w:rPr>
          <w:rFonts w:ascii="宋体" w:hAnsi="宋体" w:cs="宋体" w:eastAsia="宋体" w:hint="default"/>
          <w:spacing w:val="-4"/>
        </w:rPr>
        <w:t>7</w:t>
      </w:r>
      <w:r>
        <w:rPr>
          <w:spacing w:val="-4"/>
        </w:rPr>
        <w:t>月起任公司子公司华道征信董事，</w:t>
      </w:r>
      <w:r>
        <w:rPr>
          <w:rFonts w:ascii="宋体" w:hAnsi="宋体" w:cs="宋体" w:eastAsia="宋体" w:hint="default"/>
          <w:spacing w:val="-4"/>
        </w:rPr>
        <w:t>2014</w:t>
      </w:r>
      <w:r>
        <w:rPr>
          <w:spacing w:val="-4"/>
        </w:rPr>
        <w:t>年</w:t>
      </w:r>
      <w:r>
        <w:rPr>
          <w:rFonts w:ascii="宋体" w:hAnsi="宋体" w:cs="宋体" w:eastAsia="宋体" w:hint="default"/>
          <w:spacing w:val="-4"/>
        </w:rPr>
        <w:t>10</w:t>
      </w:r>
      <w:r>
        <w:rPr>
          <w:spacing w:val="-4"/>
        </w:rPr>
        <w:t>月起任公司子公司安科创新执行董事，</w:t>
      </w:r>
      <w:r>
        <w:rPr>
          <w:rFonts w:ascii="宋体" w:hAnsi="宋体" w:cs="宋体" w:eastAsia="宋体" w:hint="default"/>
          <w:spacing w:val="-4"/>
        </w:rPr>
        <w:t>2016</w:t>
      </w:r>
      <w:r>
        <w:rPr>
          <w:spacing w:val="-4"/>
        </w:rPr>
        <w:t>年</w:t>
      </w:r>
      <w:r>
        <w:rPr>
          <w:rFonts w:ascii="宋体" w:hAnsi="宋体" w:cs="宋体" w:eastAsia="宋体" w:hint="default"/>
          <w:spacing w:val="-4"/>
        </w:rPr>
        <w:t>2</w:t>
      </w:r>
      <w:r>
        <w:rPr>
          <w:rFonts w:ascii="宋体" w:hAnsi="宋体" w:cs="宋体" w:eastAsia="宋体" w:hint="default"/>
          <w:spacing w:val="76"/>
        </w:rPr>
        <w:t> </w:t>
      </w:r>
      <w:r>
        <w:rPr>
          <w:spacing w:val="-3"/>
        </w:rPr>
        <w:t>月起任公司子公司易安保险监事，</w:t>
      </w: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月至今任公司子公司东亚前海证券监事。</w:t>
      </w:r>
    </w:p>
    <w:p>
      <w:pPr>
        <w:spacing w:after="0" w:line="477"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22" w:firstLine="360"/>
        <w:jc w:val="both"/>
      </w:pPr>
      <w:r>
        <w:rPr>
          <w:spacing w:val="-4"/>
        </w:rPr>
        <w:t>冯军先生，公司董事，中国籍，</w:t>
      </w:r>
      <w:r>
        <w:rPr>
          <w:rFonts w:ascii="宋体" w:hAnsi="宋体" w:cs="宋体" w:eastAsia="宋体" w:hint="default"/>
          <w:spacing w:val="-4"/>
        </w:rPr>
        <w:t>1971</w:t>
      </w:r>
      <w:r>
        <w:rPr>
          <w:spacing w:val="-4"/>
        </w:rPr>
        <w:t>年出生，本科学历。</w:t>
      </w:r>
      <w:r>
        <w:rPr>
          <w:rFonts w:ascii="宋体" w:hAnsi="宋体" w:cs="宋体" w:eastAsia="宋体" w:hint="default"/>
          <w:spacing w:val="-4"/>
        </w:rPr>
        <w:t>2015</w:t>
      </w:r>
      <w:r>
        <w:rPr>
          <w:spacing w:val="-4"/>
        </w:rPr>
        <w:t>年</w:t>
      </w:r>
      <w:r>
        <w:rPr>
          <w:rFonts w:ascii="宋体" w:hAnsi="宋体" w:cs="宋体" w:eastAsia="宋体" w:hint="default"/>
          <w:spacing w:val="-4"/>
        </w:rPr>
        <w:t>6</w:t>
      </w:r>
      <w:r>
        <w:rPr>
          <w:spacing w:val="-4"/>
        </w:rPr>
        <w:t>月起任公司董事。</w:t>
      </w:r>
      <w:r>
        <w:rPr>
          <w:rFonts w:ascii="宋体" w:hAnsi="宋体" w:cs="宋体" w:eastAsia="宋体" w:hint="default"/>
          <w:spacing w:val="-4"/>
        </w:rPr>
        <w:t>2001</w:t>
      </w:r>
      <w:r>
        <w:rPr>
          <w:spacing w:val="-4"/>
        </w:rPr>
        <w:t>年</w:t>
      </w:r>
      <w:r>
        <w:rPr>
          <w:rFonts w:ascii="宋体" w:hAnsi="宋体" w:cs="宋体" w:eastAsia="宋体" w:hint="default"/>
          <w:spacing w:val="-4"/>
        </w:rPr>
        <w:t>5</w:t>
      </w:r>
      <w:r>
        <w:rPr>
          <w:spacing w:val="-4"/>
        </w:rPr>
        <w:t>月至今在亿美软通工作，历</w:t>
      </w:r>
      <w:r>
        <w:rPr>
          <w:w w:val="101"/>
        </w:rPr>
        <w:t> </w:t>
      </w:r>
      <w:r>
        <w:rPr>
          <w:spacing w:val="-3"/>
        </w:rPr>
        <w:t>任董事长、董事，现任执行董事兼总经理。</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月起任公司子公司福建片仔癀银之杰健康管理有限公司董事，</w:t>
      </w:r>
      <w:r>
        <w:rPr>
          <w:rFonts w:ascii="宋体" w:hAnsi="宋体" w:cs="宋体" w:eastAsia="宋体" w:hint="default"/>
          <w:spacing w:val="-3"/>
        </w:rPr>
        <w:t>2015</w:t>
      </w:r>
      <w:r>
        <w:rPr>
          <w:spacing w:val="-3"/>
        </w:rPr>
        <w:t>年</w:t>
      </w:r>
      <w:r>
        <w:rPr>
          <w:rFonts w:ascii="宋体" w:hAnsi="宋体" w:cs="宋体" w:eastAsia="宋体" w:hint="default"/>
          <w:spacing w:val="-3"/>
        </w:rPr>
        <w:t>6</w:t>
      </w:r>
      <w:r>
        <w:rPr>
          <w:rFonts w:ascii="宋体" w:hAnsi="宋体" w:cs="宋体" w:eastAsia="宋体" w:hint="default"/>
          <w:spacing w:val="-1"/>
        </w:rPr>
        <w:t> </w:t>
      </w:r>
      <w:r>
        <w:rPr>
          <w:spacing w:val="-4"/>
        </w:rPr>
        <w:t>月起任公司董事，</w:t>
      </w:r>
      <w:r>
        <w:rPr>
          <w:rFonts w:ascii="宋体" w:hAnsi="宋体" w:cs="宋体" w:eastAsia="宋体" w:hint="default"/>
          <w:spacing w:val="-4"/>
        </w:rPr>
        <w:t>2015</w:t>
      </w:r>
      <w:r>
        <w:rPr>
          <w:spacing w:val="-4"/>
        </w:rPr>
        <w:t>年</w:t>
      </w:r>
      <w:r>
        <w:rPr>
          <w:rFonts w:ascii="宋体" w:hAnsi="宋体" w:cs="宋体" w:eastAsia="宋体" w:hint="default"/>
          <w:spacing w:val="-4"/>
        </w:rPr>
        <w:t>8</w:t>
      </w:r>
      <w:r>
        <w:rPr>
          <w:spacing w:val="-4"/>
        </w:rPr>
        <w:t>月至今任公司子公司华道征信总经理，</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月至今任公司子公司北京智帆金科信息服务有限公</w:t>
      </w:r>
      <w:r>
        <w:rPr>
          <w:spacing w:val="63"/>
        </w:rPr>
        <w:t> </w:t>
      </w:r>
      <w:r>
        <w:rPr>
          <w:spacing w:val="63"/>
        </w:rPr>
      </w:r>
      <w:r>
        <w:rPr>
          <w:spacing w:val="-3"/>
        </w:rPr>
        <w:t>司董事，</w:t>
      </w: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月至今任公司子公司百可录（北京）科技有限公司董事。</w:t>
      </w:r>
    </w:p>
    <w:p>
      <w:pPr>
        <w:pStyle w:val="BodyText"/>
        <w:spacing w:line="475" w:lineRule="auto" w:before="58"/>
        <w:ind w:left="513" w:right="5022"/>
        <w:jc w:val="left"/>
      </w:pPr>
      <w:r>
        <w:rPr>
          <w:rFonts w:ascii="宋体" w:hAnsi="宋体" w:cs="宋体" w:eastAsia="宋体" w:hint="default"/>
        </w:rPr>
        <w:t>2</w:t>
      </w:r>
      <w:r>
        <w:rPr/>
        <w:t>．监事</w:t>
      </w:r>
      <w:r>
        <w:rPr>
          <w:spacing w:val="-87"/>
        </w:rPr>
        <w:t> </w:t>
      </w:r>
      <w:r>
        <w:rPr>
          <w:spacing w:val="-87"/>
        </w:rPr>
      </w:r>
      <w:r>
        <w:rPr>
          <w:spacing w:val="-3"/>
        </w:rPr>
        <w:t>公司监事会由三名监事组成，其中职工监事一人，具体如下：</w:t>
      </w:r>
    </w:p>
    <w:p>
      <w:pPr>
        <w:pStyle w:val="BodyText"/>
        <w:spacing w:line="477" w:lineRule="auto" w:before="59"/>
        <w:ind w:right="1055" w:firstLine="360"/>
        <w:jc w:val="left"/>
      </w:pPr>
      <w:r>
        <w:rPr>
          <w:spacing w:val="-3"/>
        </w:rPr>
        <w:t>汪婉欣女士，公司监事会主席，中国籍，</w:t>
      </w:r>
      <w:r>
        <w:rPr>
          <w:rFonts w:ascii="宋体" w:hAnsi="宋体" w:cs="宋体" w:eastAsia="宋体" w:hint="default"/>
          <w:spacing w:val="-3"/>
        </w:rPr>
        <w:t>1975</w:t>
      </w:r>
      <w:r>
        <w:rPr>
          <w:spacing w:val="-3"/>
        </w:rPr>
        <w:t>年出生，研究生学历。</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月至今任本公司监事会主席。</w:t>
      </w:r>
      <w:r>
        <w:rPr>
          <w:rFonts w:ascii="宋体" w:hAnsi="宋体" w:cs="宋体" w:eastAsia="宋体" w:hint="default"/>
          <w:spacing w:val="-3"/>
        </w:rPr>
        <w:t>2012</w:t>
      </w:r>
      <w:r>
        <w:rPr>
          <w:spacing w:val="-3"/>
        </w:rPr>
        <w:t>年</w:t>
      </w:r>
      <w:r>
        <w:rPr>
          <w:rFonts w:ascii="宋体" w:hAnsi="宋体" w:cs="宋体" w:eastAsia="宋体" w:hint="default"/>
          <w:spacing w:val="-3"/>
        </w:rPr>
        <w:t>12</w:t>
      </w:r>
      <w:r>
        <w:rPr>
          <w:rFonts w:ascii="宋体" w:hAnsi="宋体" w:cs="宋体" w:eastAsia="宋体" w:hint="default"/>
          <w:w w:val="101"/>
        </w:rPr>
        <w:t> </w:t>
      </w:r>
      <w:r>
        <w:rPr>
          <w:spacing w:val="-4"/>
        </w:rPr>
        <w:t>月至</w:t>
      </w:r>
      <w:r>
        <w:rPr>
          <w:rFonts w:ascii="宋体" w:hAnsi="宋体" w:cs="宋体" w:eastAsia="宋体" w:hint="default"/>
          <w:spacing w:val="-4"/>
        </w:rPr>
        <w:t>2014</w:t>
      </w:r>
      <w:r>
        <w:rPr>
          <w:spacing w:val="-4"/>
        </w:rPr>
        <w:t>年</w:t>
      </w:r>
      <w:r>
        <w:rPr>
          <w:rFonts w:ascii="宋体" w:hAnsi="宋体" w:cs="宋体" w:eastAsia="宋体" w:hint="default"/>
          <w:spacing w:val="-4"/>
        </w:rPr>
        <w:t>3</w:t>
      </w:r>
      <w:r>
        <w:rPr>
          <w:spacing w:val="-4"/>
        </w:rPr>
        <w:t>月任辉瑞制药有限公司中国合规经理。</w:t>
      </w:r>
      <w:r>
        <w:rPr>
          <w:rFonts w:ascii="宋体" w:hAnsi="宋体" w:cs="宋体" w:eastAsia="宋体" w:hint="default"/>
          <w:spacing w:val="-4"/>
        </w:rPr>
        <w:t>2013</w:t>
      </w:r>
      <w:r>
        <w:rPr>
          <w:spacing w:val="-4"/>
        </w:rPr>
        <w:t>年</w:t>
      </w:r>
      <w:r>
        <w:rPr>
          <w:rFonts w:ascii="宋体" w:hAnsi="宋体" w:cs="宋体" w:eastAsia="宋体" w:hint="default"/>
          <w:spacing w:val="-4"/>
        </w:rPr>
        <w:t>10</w:t>
      </w:r>
      <w:r>
        <w:rPr>
          <w:spacing w:val="-4"/>
        </w:rPr>
        <w:t>月至</w:t>
      </w:r>
      <w:r>
        <w:rPr>
          <w:rFonts w:ascii="宋体" w:hAnsi="宋体" w:cs="宋体" w:eastAsia="宋体" w:hint="default"/>
          <w:spacing w:val="-4"/>
        </w:rPr>
        <w:t>2017</w:t>
      </w:r>
      <w:r>
        <w:rPr>
          <w:spacing w:val="-4"/>
        </w:rPr>
        <w:t>年</w:t>
      </w:r>
      <w:r>
        <w:rPr>
          <w:rFonts w:ascii="宋体" w:hAnsi="宋体" w:cs="宋体" w:eastAsia="宋体" w:hint="default"/>
          <w:spacing w:val="-4"/>
        </w:rPr>
        <w:t>11</w:t>
      </w:r>
      <w:r>
        <w:rPr>
          <w:spacing w:val="-4"/>
        </w:rPr>
        <w:t>月任公司子公司票联金服监事。</w:t>
      </w:r>
      <w:r>
        <w:rPr>
          <w:rFonts w:ascii="宋体" w:hAnsi="宋体" w:cs="宋体" w:eastAsia="宋体" w:hint="default"/>
          <w:spacing w:val="-4"/>
        </w:rPr>
        <w:t>2014</w:t>
      </w:r>
      <w:r>
        <w:rPr>
          <w:spacing w:val="-4"/>
        </w:rPr>
        <w:t>年</w:t>
      </w:r>
      <w:r>
        <w:rPr>
          <w:rFonts w:ascii="宋体" w:hAnsi="宋体" w:cs="宋体" w:eastAsia="宋体" w:hint="default"/>
          <w:spacing w:val="-4"/>
        </w:rPr>
        <w:t>4</w:t>
      </w:r>
      <w:r>
        <w:rPr>
          <w:spacing w:val="-4"/>
        </w:rPr>
        <w:t>月至</w:t>
      </w:r>
      <w:r>
        <w:rPr>
          <w:rFonts w:ascii="宋体" w:hAnsi="宋体" w:cs="宋体" w:eastAsia="宋体" w:hint="default"/>
          <w:spacing w:val="-4"/>
        </w:rPr>
        <w:t>2018</w:t>
      </w:r>
      <w:r>
        <w:rPr>
          <w:rFonts w:ascii="宋体" w:hAnsi="宋体" w:cs="宋体" w:eastAsia="宋体" w:hint="default"/>
          <w:spacing w:val="10"/>
        </w:rPr>
        <w:t> </w:t>
      </w:r>
      <w:r>
        <w:rPr>
          <w:rFonts w:ascii="宋体" w:hAnsi="宋体" w:cs="宋体" w:eastAsia="宋体" w:hint="default"/>
          <w:spacing w:val="10"/>
        </w:rPr>
      </w:r>
      <w:r>
        <w:rPr>
          <w:spacing w:val="-3"/>
        </w:rPr>
        <w:t>年</w:t>
      </w:r>
      <w:r>
        <w:rPr>
          <w:rFonts w:ascii="宋体" w:hAnsi="宋体" w:cs="宋体" w:eastAsia="宋体" w:hint="default"/>
          <w:spacing w:val="-3"/>
        </w:rPr>
        <w:t>10</w:t>
      </w:r>
      <w:r>
        <w:rPr>
          <w:spacing w:val="-3"/>
        </w:rPr>
        <w:t>月起任瓦里安医疗器械贸易（北京）有限公司亚太区区域合规经理。</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月至今任齐鲁制药有限公司合规总监。</w:t>
      </w:r>
    </w:p>
    <w:p>
      <w:pPr>
        <w:pStyle w:val="BodyText"/>
        <w:spacing w:line="480" w:lineRule="auto" w:before="52"/>
        <w:ind w:right="1132" w:firstLine="360"/>
        <w:jc w:val="both"/>
      </w:pPr>
      <w:r>
        <w:rPr>
          <w:spacing w:val="-3"/>
        </w:rPr>
        <w:t>李玟臻女士，公司监事，中国籍，</w:t>
      </w:r>
      <w:r>
        <w:rPr>
          <w:rFonts w:ascii="宋体" w:hAnsi="宋体" w:cs="宋体" w:eastAsia="宋体" w:hint="default"/>
          <w:spacing w:val="-3"/>
        </w:rPr>
        <w:t>1982</w:t>
      </w:r>
      <w:r>
        <w:rPr>
          <w:spacing w:val="-3"/>
        </w:rPr>
        <w:t>年出生，本科学历。</w:t>
      </w:r>
      <w:r>
        <w:rPr>
          <w:rFonts w:ascii="宋体" w:hAnsi="宋体" w:cs="宋体" w:eastAsia="宋体" w:hint="default"/>
          <w:spacing w:val="-3"/>
        </w:rPr>
        <w:t>2005</w:t>
      </w:r>
      <w:r>
        <w:rPr>
          <w:spacing w:val="-3"/>
        </w:rPr>
        <w:t>年</w:t>
      </w:r>
      <w:r>
        <w:rPr>
          <w:rFonts w:ascii="宋体" w:hAnsi="宋体" w:cs="宋体" w:eastAsia="宋体" w:hint="default"/>
          <w:spacing w:val="-3"/>
        </w:rPr>
        <w:t>4</w:t>
      </w:r>
      <w:r>
        <w:rPr>
          <w:spacing w:val="-3"/>
        </w:rPr>
        <w:t>月至今在本公司任职，历任市场企划专员、市场部</w:t>
      </w:r>
      <w:r>
        <w:rPr>
          <w:w w:val="101"/>
        </w:rPr>
        <w:t> </w:t>
      </w:r>
      <w:r>
        <w:rPr>
          <w:spacing w:val="-3"/>
        </w:rPr>
        <w:t>经理、总经理办公室经理。</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10</w:t>
      </w:r>
      <w:r>
        <w:rPr>
          <w:spacing w:val="-3"/>
        </w:rPr>
        <w:t>日起任公司监事，</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月起任公司子公司票联金服行政人事总监。</w:t>
      </w:r>
    </w:p>
    <w:p>
      <w:pPr>
        <w:pStyle w:val="BodyText"/>
        <w:spacing w:line="477" w:lineRule="auto" w:before="50"/>
        <w:ind w:right="1122" w:firstLine="360"/>
        <w:jc w:val="both"/>
      </w:pPr>
      <w:r>
        <w:rPr>
          <w:spacing w:val="-4"/>
        </w:rPr>
        <w:t>安丰森先生，公司职工代表监事，中国籍，</w:t>
      </w:r>
      <w:r>
        <w:rPr>
          <w:rFonts w:ascii="宋体" w:hAnsi="宋体" w:cs="宋体" w:eastAsia="宋体" w:hint="default"/>
          <w:spacing w:val="-4"/>
        </w:rPr>
        <w:t>1986</w:t>
      </w:r>
      <w:r>
        <w:rPr>
          <w:spacing w:val="-4"/>
        </w:rPr>
        <w:t>年出生，研究生学历。</w:t>
      </w:r>
      <w:r>
        <w:rPr>
          <w:rFonts w:ascii="宋体" w:hAnsi="宋体" w:cs="宋体" w:eastAsia="宋体" w:hint="default"/>
          <w:spacing w:val="-4"/>
        </w:rPr>
        <w:t>2009</w:t>
      </w:r>
      <w:r>
        <w:rPr>
          <w:spacing w:val="-4"/>
        </w:rPr>
        <w:t>年</w:t>
      </w:r>
      <w:r>
        <w:rPr>
          <w:rFonts w:ascii="宋体" w:hAnsi="宋体" w:cs="宋体" w:eastAsia="宋体" w:hint="default"/>
          <w:spacing w:val="-4"/>
        </w:rPr>
        <w:t>7</w:t>
      </w:r>
      <w:r>
        <w:rPr>
          <w:spacing w:val="-4"/>
        </w:rPr>
        <w:t>月至</w:t>
      </w: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月任北京外国语大学国际交</w:t>
      </w:r>
      <w:r>
        <w:rPr>
          <w:w w:val="101"/>
        </w:rPr>
        <w:t> </w:t>
      </w:r>
      <w:r>
        <w:rPr>
          <w:spacing w:val="-3"/>
        </w:rPr>
        <w:t>流与合作处亚非事务主管、港澳台事务专员。</w:t>
      </w:r>
      <w:r>
        <w:rPr>
          <w:rFonts w:ascii="宋体" w:hAnsi="宋体" w:cs="宋体" w:eastAsia="宋体" w:hint="default"/>
          <w:spacing w:val="-3"/>
        </w:rPr>
        <w:t>2015</w:t>
      </w:r>
      <w:r>
        <w:rPr>
          <w:spacing w:val="-3"/>
        </w:rPr>
        <w:t>年</w:t>
      </w:r>
      <w:r>
        <w:rPr>
          <w:rFonts w:ascii="宋体" w:hAnsi="宋体" w:cs="宋体" w:eastAsia="宋体" w:hint="default"/>
          <w:spacing w:val="-3"/>
        </w:rPr>
        <w:t>7</w:t>
      </w:r>
      <w:r>
        <w:rPr>
          <w:spacing w:val="-3"/>
        </w:rPr>
        <w:t>月至今在本公司工作，曾任公司市场部职员，现任总经理办公室负责</w:t>
      </w:r>
      <w:r>
        <w:rPr>
          <w:spacing w:val="76"/>
        </w:rPr>
        <w:t> </w:t>
      </w:r>
      <w:r>
        <w:rPr>
          <w:spacing w:val="76"/>
        </w:rPr>
      </w:r>
      <w:r>
        <w:rPr/>
        <w:t>人。</w:t>
      </w:r>
      <w:r>
        <w:rPr>
          <w:rFonts w:ascii="宋体" w:hAnsi="宋体" w:cs="宋体" w:eastAsia="宋体" w:hint="default"/>
        </w:rPr>
        <w:t>2017</w:t>
      </w:r>
      <w:r>
        <w:rPr/>
        <w:t>年</w:t>
      </w:r>
      <w:r>
        <w:rPr>
          <w:rFonts w:ascii="宋体" w:hAnsi="宋体" w:cs="宋体" w:eastAsia="宋体" w:hint="default"/>
        </w:rPr>
        <w:t>5</w:t>
      </w:r>
      <w:r>
        <w:rPr/>
        <w:t>月至今任公司监事。</w:t>
      </w:r>
    </w:p>
    <w:p>
      <w:pPr>
        <w:pStyle w:val="BodyText"/>
        <w:spacing w:line="475" w:lineRule="auto" w:before="56"/>
        <w:ind w:left="513" w:right="1055"/>
        <w:jc w:val="left"/>
      </w:pPr>
      <w:r>
        <w:rPr>
          <w:rFonts w:ascii="宋体" w:hAnsi="宋体" w:cs="宋体" w:eastAsia="宋体" w:hint="default"/>
        </w:rPr>
        <w:t>3</w:t>
      </w:r>
      <w:r>
        <w:rPr/>
        <w:t>．其他高级管理人员</w:t>
      </w:r>
      <w:r>
        <w:rPr>
          <w:spacing w:val="-88"/>
        </w:rPr>
        <w:t> </w:t>
      </w:r>
      <w:r>
        <w:rPr>
          <w:spacing w:val="-88"/>
        </w:rPr>
      </w:r>
      <w:r>
        <w:rPr>
          <w:spacing w:val="-3"/>
        </w:rPr>
        <w:t>许秋江先生，公司副总经理，中国籍，</w:t>
      </w:r>
      <w:r>
        <w:rPr>
          <w:rFonts w:ascii="宋体" w:hAnsi="宋体" w:cs="宋体" w:eastAsia="宋体" w:hint="default"/>
          <w:spacing w:val="-3"/>
        </w:rPr>
        <w:t>1973</w:t>
      </w:r>
      <w:r>
        <w:rPr>
          <w:spacing w:val="-3"/>
        </w:rPr>
        <w:t>年出生，大专学历。</w:t>
      </w:r>
      <w:r>
        <w:rPr>
          <w:rFonts w:ascii="宋体" w:hAnsi="宋体" w:cs="宋体" w:eastAsia="宋体" w:hint="default"/>
          <w:spacing w:val="-3"/>
        </w:rPr>
        <w:t>2002</w:t>
      </w:r>
      <w:r>
        <w:rPr>
          <w:spacing w:val="-3"/>
        </w:rPr>
        <w:t>年</w:t>
      </w:r>
      <w:r>
        <w:rPr>
          <w:rFonts w:ascii="宋体" w:hAnsi="宋体" w:cs="宋体" w:eastAsia="宋体" w:hint="default"/>
          <w:spacing w:val="-3"/>
        </w:rPr>
        <w:t>3</w:t>
      </w:r>
      <w:r>
        <w:rPr>
          <w:spacing w:val="-3"/>
        </w:rPr>
        <w:t>月至今在本公司工作，历任公司财务经理、财</w:t>
      </w:r>
    </w:p>
    <w:p>
      <w:pPr>
        <w:pStyle w:val="BodyText"/>
        <w:spacing w:line="436" w:lineRule="auto" w:before="58"/>
        <w:ind w:right="2850"/>
        <w:jc w:val="left"/>
      </w:pPr>
      <w:r>
        <w:rPr>
          <w:spacing w:val="-3"/>
        </w:rPr>
        <w:t>务总监。</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月至</w:t>
      </w:r>
      <w:r>
        <w:rPr>
          <w:rFonts w:ascii="宋体" w:hAnsi="宋体" w:cs="宋体" w:eastAsia="宋体" w:hint="default"/>
          <w:spacing w:val="-3"/>
        </w:rPr>
        <w:t>2016</w:t>
      </w:r>
      <w:r>
        <w:rPr>
          <w:spacing w:val="-3"/>
        </w:rPr>
        <w:t>年</w:t>
      </w:r>
      <w:r>
        <w:rPr>
          <w:rFonts w:ascii="宋体" w:hAnsi="宋体" w:cs="宋体" w:eastAsia="宋体" w:hint="default"/>
          <w:spacing w:val="-3"/>
        </w:rPr>
        <w:t>4</w:t>
      </w:r>
      <w:r>
        <w:rPr>
          <w:spacing w:val="-3"/>
        </w:rPr>
        <w:t>月任公司财务总监，</w:t>
      </w:r>
      <w:r>
        <w:rPr>
          <w:rFonts w:ascii="宋体" w:hAnsi="宋体" w:cs="宋体" w:eastAsia="宋体" w:hint="default"/>
          <w:spacing w:val="-3"/>
        </w:rPr>
        <w:t>2016</w:t>
      </w:r>
      <w:r>
        <w:rPr>
          <w:spacing w:val="-3"/>
        </w:rPr>
        <w:t>年</w:t>
      </w:r>
      <w:r>
        <w:rPr>
          <w:rFonts w:ascii="宋体" w:hAnsi="宋体" w:cs="宋体" w:eastAsia="宋体" w:hint="default"/>
          <w:spacing w:val="-3"/>
        </w:rPr>
        <w:t>4</w:t>
      </w:r>
      <w:r>
        <w:rPr>
          <w:spacing w:val="-3"/>
        </w:rPr>
        <w:t>月起任公司副总经理。</w:t>
      </w:r>
      <w:r>
        <w:rPr>
          <w:spacing w:val="38"/>
        </w:rPr>
        <w:t> </w:t>
      </w:r>
      <w:r>
        <w:rPr>
          <w:spacing w:val="38"/>
        </w:rPr>
      </w:r>
      <w:r>
        <w:rPr>
          <w:spacing w:val="-3"/>
        </w:rPr>
        <w:t>在股东单位任职情况</w:t>
      </w:r>
    </w:p>
    <w:p>
      <w:pPr>
        <w:pStyle w:val="BodyText"/>
        <w:spacing w:line="221" w:lineRule="exact"/>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055"/>
        <w:jc w:val="left"/>
      </w:pPr>
      <w:r>
        <w:rPr>
          <w:spacing w:val="-3"/>
        </w:rPr>
        <w:t>在其他单位任职情况</w:t>
      </w:r>
    </w:p>
    <w:p>
      <w:pPr>
        <w:pStyle w:val="BodyText"/>
        <w:spacing w:line="240" w:lineRule="auto" w:before="119"/>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054"/>
        <w:gridCol w:w="1417"/>
        <w:gridCol w:w="1191"/>
        <w:gridCol w:w="1114"/>
        <w:gridCol w:w="1594"/>
      </w:tblGrid>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36" w:right="65" w:hanging="360"/>
              <w:jc w:val="left"/>
              <w:rPr>
                <w:rFonts w:ascii="宋体" w:hAnsi="宋体" w:cs="宋体" w:eastAsia="宋体" w:hint="default"/>
                <w:sz w:val="18"/>
                <w:szCs w:val="18"/>
              </w:rPr>
            </w:pPr>
            <w:r>
              <w:rPr>
                <w:rFonts w:ascii="宋体" w:hAnsi="宋体" w:cs="宋体" w:eastAsia="宋体" w:hint="default"/>
                <w:spacing w:val="-3"/>
                <w:sz w:val="18"/>
                <w:szCs w:val="18"/>
              </w:rPr>
              <w:t>在其他单位担任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的职务</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65" w:right="94" w:hanging="360"/>
              <w:jc w:val="left"/>
              <w:rPr>
                <w:rFonts w:ascii="宋体" w:hAnsi="宋体" w:cs="宋体" w:eastAsia="宋体" w:hint="default"/>
                <w:sz w:val="18"/>
                <w:szCs w:val="18"/>
              </w:rPr>
            </w:pPr>
            <w:r>
              <w:rPr>
                <w:rFonts w:ascii="宋体" w:hAnsi="宋体" w:cs="宋体" w:eastAsia="宋体" w:hint="default"/>
                <w:spacing w:val="-2"/>
                <w:sz w:val="18"/>
                <w:szCs w:val="18"/>
              </w:rPr>
              <w:t>任期终止日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40" w:right="65" w:hanging="269"/>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深圳冰川网络股份有限公司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深圳市建筑科学研究院股份有限公司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国银金融租赁股份有限公司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1"/>
        <w:gridCol w:w="3054"/>
        <w:gridCol w:w="1417"/>
        <w:gridCol w:w="1191"/>
        <w:gridCol w:w="1114"/>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北京大成（深圳）律师事务所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律</w:t>
            </w:r>
            <w:r>
              <w:rPr>
                <w:rFonts w:ascii="宋体" w:hAnsi="宋体" w:cs="宋体" w:eastAsia="宋体" w:hint="default"/>
                <w:spacing w:val="-5"/>
                <w:w w:val="101"/>
                <w:sz w:val="18"/>
                <w:szCs w:val="18"/>
              </w:rPr>
              <w:t>师</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高</w:t>
            </w:r>
            <w:r>
              <w:rPr>
                <w:rFonts w:ascii="宋体" w:hAnsi="宋体" w:cs="宋体" w:eastAsia="宋体" w:hint="default"/>
                <w:w w:val="101"/>
                <w:sz w:val="18"/>
                <w:szCs w:val="18"/>
              </w:rPr>
              <w:t>级</w:t>
            </w:r>
            <w:r>
              <w:rPr>
                <w:rFonts w:ascii="宋体" w:hAnsi="宋体" w:cs="宋体" w:eastAsia="宋体" w:hint="default"/>
                <w:spacing w:val="-5"/>
                <w:w w:val="101"/>
                <w:sz w:val="18"/>
                <w:szCs w:val="18"/>
              </w:rPr>
              <w:t>合伙</w:t>
            </w:r>
            <w:r>
              <w:rPr>
                <w:rFonts w:ascii="宋体" w:hAnsi="宋体" w:cs="宋体" w:eastAsia="宋体" w:hint="default"/>
                <w:w w:val="101"/>
                <w:sz w:val="18"/>
                <w:szCs w:val="18"/>
              </w:rPr>
              <w:t>人</w:t>
            </w:r>
            <w:r>
              <w:rPr>
                <w:rFonts w:ascii="宋体" w:hAnsi="宋体" w:cs="宋体" w:eastAsia="宋体" w:hint="default"/>
                <w:sz w:val="18"/>
                <w:szCs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北京冏鹿网络科技有限公司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百行征信有限公司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福建片仔癀银之杰健康管理有限公司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执</w:t>
            </w:r>
            <w:r>
              <w:rPr>
                <w:rFonts w:ascii="宋体" w:hAnsi="宋体" w:cs="宋体" w:eastAsia="宋体" w:hint="default"/>
                <w:spacing w:val="-5"/>
                <w:w w:val="101"/>
                <w:sz w:val="18"/>
                <w:szCs w:val="18"/>
              </w:rPr>
              <w:t>行</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总经</w:t>
            </w:r>
            <w:r>
              <w:rPr>
                <w:rFonts w:ascii="宋体" w:hAnsi="宋体" w:cs="宋体" w:eastAsia="宋体" w:hint="default"/>
                <w:w w:val="101"/>
                <w:sz w:val="18"/>
                <w:szCs w:val="18"/>
              </w:rPr>
              <w:t>理</w:t>
            </w:r>
            <w:r>
              <w:rPr>
                <w:rFonts w:ascii="宋体" w:hAnsi="宋体" w:cs="宋体" w:eastAsia="宋体" w:hint="default"/>
                <w:sz w:val="18"/>
                <w:szCs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北京君言信息技术有限公司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北京微智全景信息技术有限公司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福建片仔癀银之杰健康管理有限公司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北京亿美汇金信息技术有限责任公司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1"/>
        <w:gridCol w:w="3054"/>
        <w:gridCol w:w="1417"/>
        <w:gridCol w:w="1191"/>
        <w:gridCol w:w="1114"/>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北京智帆金科信息服务有限公司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百可录（北京）科技有限公司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北京全景网联信息技术有限公司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北京海鲸科技有限公司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北京大画科技有限公司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瓦里安医疗器械贸易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3"/>
                <w:sz w:val="18"/>
                <w:szCs w:val="18"/>
              </w:rPr>
              <w:t>亚太区区域合规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经理</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齐鲁制药有限公司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合规总监</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行政人事总监</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1055"/>
        <w:jc w:val="left"/>
      </w:pPr>
      <w:r>
        <w:rPr>
          <w:spacing w:val="-3"/>
        </w:rPr>
        <w:t>公司现任及报告期内离任董事、监事和高级管理人员近三年证券监管机构处罚的情况</w:t>
      </w:r>
    </w:p>
    <w:p>
      <w:pPr>
        <w:pStyle w:val="BodyText"/>
        <w:spacing w:line="240" w:lineRule="auto" w:before="115"/>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055"/>
        <w:jc w:val="left"/>
        <w:rPr>
          <w:b w:val="0"/>
          <w:bCs w:val="0"/>
        </w:rPr>
      </w:pP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055"/>
        <w:jc w:val="left"/>
      </w:pPr>
      <w:r>
        <w:rPr>
          <w:spacing w:val="-3"/>
        </w:rPr>
        <w:t>董事、监事、高级管理人员报酬的决策程序、确定依据、实际支付情况</w:t>
      </w:r>
    </w:p>
    <w:p>
      <w:pPr>
        <w:spacing w:line="240" w:lineRule="auto" w:before="8"/>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832"/>
        <w:gridCol w:w="5738"/>
      </w:tblGrid>
      <w:tr>
        <w:trPr>
          <w:trHeight w:val="1282" w:hRule="exact"/>
        </w:trPr>
        <w:tc>
          <w:tcPr>
            <w:tcW w:w="3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w:t>
            </w:r>
          </w:p>
        </w:tc>
        <w:tc>
          <w:tcPr>
            <w:tcW w:w="57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2"/>
              <w:jc w:val="both"/>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公司董事、监事报酬由股东大会决定，高级管理人员报酬由董事会决定；</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在公司承担职务的董事、监事、高级管理人员报酬由公司支付，董事、监</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事不另外支付津贴。独立董事津贴依据股东大会决议支付，独立董事会务</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费据实报销。</w:t>
            </w:r>
          </w:p>
        </w:tc>
      </w:tr>
      <w:tr>
        <w:trPr>
          <w:trHeight w:val="350" w:hRule="exact"/>
        </w:trPr>
        <w:tc>
          <w:tcPr>
            <w:tcW w:w="3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董事、监事、高级管理人员报酬确定依据</w:t>
            </w:r>
          </w:p>
        </w:tc>
        <w:tc>
          <w:tcPr>
            <w:tcW w:w="5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w w:val="101"/>
                <w:sz w:val="18"/>
                <w:szCs w:val="18"/>
              </w:rPr>
              <w:t>依</w:t>
            </w:r>
            <w:r>
              <w:rPr>
                <w:rFonts w:ascii="宋体" w:hAnsi="宋体" w:cs="宋体" w:eastAsia="宋体" w:hint="default"/>
                <w:spacing w:val="-5"/>
                <w:w w:val="101"/>
                <w:sz w:val="18"/>
                <w:szCs w:val="18"/>
              </w:rPr>
              <w:t>据</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盈</w:t>
            </w:r>
            <w:r>
              <w:rPr>
                <w:rFonts w:ascii="宋体" w:hAnsi="宋体" w:cs="宋体" w:eastAsia="宋体" w:hint="default"/>
                <w:spacing w:val="-5"/>
                <w:w w:val="101"/>
                <w:sz w:val="18"/>
                <w:szCs w:val="18"/>
              </w:rPr>
              <w:t>利</w:t>
            </w:r>
            <w:r>
              <w:rPr>
                <w:rFonts w:ascii="宋体" w:hAnsi="宋体" w:cs="宋体" w:eastAsia="宋体" w:hint="default"/>
                <w:w w:val="101"/>
                <w:sz w:val="18"/>
                <w:szCs w:val="18"/>
              </w:rPr>
              <w:t>水</w:t>
            </w:r>
            <w:r>
              <w:rPr>
                <w:rFonts w:ascii="宋体" w:hAnsi="宋体" w:cs="宋体" w:eastAsia="宋体" w:hint="default"/>
                <w:spacing w:val="-5"/>
                <w:w w:val="101"/>
                <w:sz w:val="18"/>
                <w:szCs w:val="18"/>
              </w:rPr>
              <w:t>平</w:t>
            </w:r>
            <w:r>
              <w:rPr>
                <w:rFonts w:ascii="宋体" w:hAnsi="宋体" w:cs="宋体" w:eastAsia="宋体" w:hint="default"/>
                <w:w w:val="101"/>
                <w:sz w:val="18"/>
                <w:szCs w:val="18"/>
              </w:rPr>
              <w:t>及</w:t>
            </w:r>
            <w:r>
              <w:rPr>
                <w:rFonts w:ascii="宋体" w:hAnsi="宋体" w:cs="宋体" w:eastAsia="宋体" w:hint="default"/>
                <w:spacing w:val="-5"/>
                <w:w w:val="101"/>
                <w:sz w:val="18"/>
                <w:szCs w:val="18"/>
              </w:rPr>
              <w:t>各</w:t>
            </w:r>
            <w:r>
              <w:rPr>
                <w:rFonts w:ascii="宋体" w:hAnsi="宋体" w:cs="宋体" w:eastAsia="宋体" w:hint="default"/>
                <w:w w:val="101"/>
                <w:sz w:val="18"/>
                <w:szCs w:val="18"/>
              </w:rPr>
              <w:t>董事</w:t>
            </w:r>
            <w:r>
              <w:rPr>
                <w:rFonts w:ascii="宋体" w:hAnsi="宋体" w:cs="宋体" w:eastAsia="宋体" w:hint="default"/>
                <w:spacing w:val="-73"/>
                <w:w w:val="101"/>
                <w:sz w:val="18"/>
                <w:szCs w:val="18"/>
              </w:rPr>
              <w:t>、</w:t>
            </w:r>
            <w:r>
              <w:rPr>
                <w:rFonts w:ascii="宋体" w:hAnsi="宋体" w:cs="宋体" w:eastAsia="宋体" w:hint="default"/>
                <w:w w:val="101"/>
                <w:sz w:val="18"/>
                <w:szCs w:val="18"/>
              </w:rPr>
              <w:t>监事</w:t>
            </w:r>
            <w:r>
              <w:rPr>
                <w:rFonts w:ascii="宋体" w:hAnsi="宋体" w:cs="宋体" w:eastAsia="宋体" w:hint="default"/>
                <w:spacing w:val="-73"/>
                <w:w w:val="101"/>
                <w:sz w:val="18"/>
                <w:szCs w:val="18"/>
              </w:rPr>
              <w:t>、</w:t>
            </w:r>
            <w:r>
              <w:rPr>
                <w:rFonts w:ascii="宋体" w:hAnsi="宋体" w:cs="宋体" w:eastAsia="宋体" w:hint="default"/>
                <w:w w:val="101"/>
                <w:sz w:val="18"/>
                <w:szCs w:val="18"/>
              </w:rPr>
              <w:t>高</w:t>
            </w:r>
            <w:r>
              <w:rPr>
                <w:rFonts w:ascii="宋体" w:hAnsi="宋体" w:cs="宋体" w:eastAsia="宋体" w:hint="default"/>
                <w:spacing w:val="-5"/>
                <w:w w:val="101"/>
                <w:sz w:val="18"/>
                <w:szCs w:val="18"/>
              </w:rPr>
              <w:t>级</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人</w:t>
            </w:r>
            <w:r>
              <w:rPr>
                <w:rFonts w:ascii="宋体" w:hAnsi="宋体" w:cs="宋体" w:eastAsia="宋体" w:hint="default"/>
                <w:spacing w:val="-5"/>
                <w:w w:val="101"/>
                <w:sz w:val="18"/>
                <w:szCs w:val="18"/>
              </w:rPr>
              <w:t>员</w:t>
            </w:r>
            <w:r>
              <w:rPr>
                <w:rFonts w:ascii="宋体" w:hAnsi="宋体" w:cs="宋体" w:eastAsia="宋体" w:hint="default"/>
                <w:w w:val="101"/>
                <w:sz w:val="18"/>
                <w:szCs w:val="18"/>
              </w:rPr>
              <w:t>的</w:t>
            </w:r>
            <w:r>
              <w:rPr>
                <w:rFonts w:ascii="宋体" w:hAnsi="宋体" w:cs="宋体" w:eastAsia="宋体" w:hint="default"/>
                <w:spacing w:val="-5"/>
                <w:w w:val="101"/>
                <w:sz w:val="18"/>
                <w:szCs w:val="18"/>
              </w:rPr>
              <w:t>分</w:t>
            </w:r>
            <w:r>
              <w:rPr>
                <w:rFonts w:ascii="宋体" w:hAnsi="宋体" w:cs="宋体" w:eastAsia="宋体" w:hint="default"/>
                <w:w w:val="101"/>
                <w:sz w:val="18"/>
                <w:szCs w:val="18"/>
              </w:rPr>
              <w:t>工</w:t>
            </w:r>
            <w:r>
              <w:rPr>
                <w:rFonts w:ascii="宋体" w:hAnsi="宋体" w:cs="宋体" w:eastAsia="宋体" w:hint="default"/>
                <w:spacing w:val="-5"/>
                <w:w w:val="101"/>
                <w:sz w:val="18"/>
                <w:szCs w:val="18"/>
              </w:rPr>
              <w:t>及</w:t>
            </w:r>
            <w:r>
              <w:rPr>
                <w:rFonts w:ascii="宋体" w:hAnsi="宋体" w:cs="宋体" w:eastAsia="宋体" w:hint="default"/>
                <w:w w:val="101"/>
                <w:sz w:val="18"/>
                <w:szCs w:val="18"/>
              </w:rPr>
              <w:t>履</w:t>
            </w:r>
            <w:r>
              <w:rPr>
                <w:rFonts w:ascii="宋体" w:hAnsi="宋体" w:cs="宋体" w:eastAsia="宋体" w:hint="default"/>
                <w:spacing w:val="-5"/>
                <w:w w:val="101"/>
                <w:sz w:val="18"/>
                <w:szCs w:val="18"/>
              </w:rPr>
              <w:t>行</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确定</w:t>
            </w:r>
            <w:r>
              <w:rPr>
                <w:rFonts w:ascii="宋体" w:hAnsi="宋体" w:cs="宋体" w:eastAsia="宋体" w:hint="default"/>
                <w:sz w:val="18"/>
                <w:szCs w:val="18"/>
              </w:rPr>
            </w:r>
          </w:p>
        </w:tc>
      </w:tr>
      <w:tr>
        <w:trPr>
          <w:trHeight w:val="346" w:hRule="exact"/>
        </w:trPr>
        <w:tc>
          <w:tcPr>
            <w:tcW w:w="3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董事、监事和高级管理人员报酬的实际支付情况</w:t>
            </w:r>
          </w:p>
        </w:tc>
        <w:tc>
          <w:tcPr>
            <w:tcW w:w="5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公司现有董事、监事、高级管理人员共</w:t>
            </w:r>
            <w:r>
              <w:rPr>
                <w:rFonts w:ascii="Times New Roman" w:hAnsi="Times New Roman" w:cs="Times New Roman" w:eastAsia="Times New Roman" w:hint="default"/>
                <w:spacing w:val="-5"/>
                <w:sz w:val="18"/>
                <w:szCs w:val="18"/>
              </w:rPr>
              <w:t>13</w:t>
            </w:r>
            <w:r>
              <w:rPr>
                <w:rFonts w:ascii="宋体" w:hAnsi="宋体" w:cs="宋体" w:eastAsia="宋体" w:hint="default"/>
                <w:spacing w:val="-5"/>
                <w:sz w:val="18"/>
                <w:szCs w:val="18"/>
              </w:rPr>
              <w:t>人，</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年实际支付</w:t>
            </w:r>
            <w:r>
              <w:rPr>
                <w:rFonts w:ascii="Times New Roman" w:hAnsi="Times New Roman" w:cs="Times New Roman" w:eastAsia="Times New Roman" w:hint="default"/>
                <w:spacing w:val="-5"/>
                <w:sz w:val="18"/>
                <w:szCs w:val="18"/>
              </w:rPr>
              <w:t>123.60</w:t>
            </w:r>
            <w:r>
              <w:rPr>
                <w:rFonts w:ascii="宋体" w:hAnsi="宋体" w:cs="宋体" w:eastAsia="宋体" w:hint="default"/>
                <w:spacing w:val="-5"/>
                <w:sz w:val="18"/>
                <w:szCs w:val="18"/>
              </w:rPr>
              <w:t>万元</w:t>
            </w:r>
          </w:p>
        </w:tc>
      </w:tr>
    </w:tbl>
    <w:p>
      <w:pPr>
        <w:spacing w:line="240" w:lineRule="auto" w:before="5"/>
        <w:rPr>
          <w:rFonts w:ascii="宋体" w:hAnsi="宋体" w:cs="宋体" w:eastAsia="宋体" w:hint="default"/>
          <w:sz w:val="24"/>
          <w:szCs w:val="24"/>
        </w:rPr>
      </w:pPr>
    </w:p>
    <w:p>
      <w:pPr>
        <w:pStyle w:val="BodyText"/>
        <w:spacing w:line="240" w:lineRule="auto" w:before="46"/>
        <w:ind w:right="1055"/>
        <w:jc w:val="left"/>
      </w:pPr>
      <w:r>
        <w:rPr>
          <w:spacing w:val="-3"/>
        </w:rPr>
        <w:t>公司报告期内董事、监事和高级管理人员报酬情况</w:t>
      </w:r>
    </w:p>
    <w:p>
      <w:pPr>
        <w:pStyle w:val="BodyText"/>
        <w:spacing w:line="240" w:lineRule="auto" w:before="120"/>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9"/>
        <w:gridCol w:w="1364"/>
        <w:gridCol w:w="1368"/>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r>
        <w:rPr/>
        <w:pict>
          <v:shape style="position:absolute;margin-left:187.734329pt;margin-top:92.665985pt;width:74pt;height:50.7pt;mso-position-horizontal-relative:page;mso-position-vertical-relative:page;z-index:-82115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9"/>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both"/>
              <w:rPr>
                <w:rFonts w:ascii="宋体" w:hAnsi="宋体" w:cs="宋体" w:eastAsia="宋体" w:hint="default"/>
                <w:sz w:val="18"/>
                <w:szCs w:val="18"/>
              </w:rPr>
            </w:pPr>
            <w:r>
              <w:rPr>
                <w:rFonts w:ascii="宋体" w:hAnsi="宋体" w:cs="宋体" w:eastAsia="宋体" w:hint="default"/>
                <w:spacing w:val="-8"/>
                <w:sz w:val="18"/>
                <w:szCs w:val="18"/>
              </w:rPr>
              <w:t>董事、副总经理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董事会秘书、财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p>
            <w:pPr>
              <w:pStyle w:val="TableParagraph"/>
              <w:spacing w:line="1013" w:lineRule="exact"/>
              <w:ind w:right="-50"/>
              <w:jc w:val="left"/>
              <w:rPr>
                <w:rFonts w:ascii="宋体" w:hAnsi="宋体" w:cs="宋体" w:eastAsia="宋体" w:hint="default"/>
                <w:sz w:val="20"/>
                <w:szCs w:val="20"/>
              </w:rPr>
            </w:pPr>
            <w:r>
              <w:rPr>
                <w:rFonts w:ascii="宋体" w:hAnsi="宋体" w:cs="宋体" w:eastAsia="宋体" w:hint="default"/>
                <w:position w:val="-19"/>
                <w:sz w:val="20"/>
                <w:szCs w:val="20"/>
              </w:rPr>
              <w:pict>
                <v:group style="width:67.95pt;height:50.7pt;mso-position-horizontal-relative:char;mso-position-vertical-relative:line" coordorigin="0,0" coordsize="1359,1014">
                  <v:group style="position:absolute;left:0;top:0;width:1359;height:1014" coordorigin="0,0" coordsize="1359,1014">
                    <v:shape style="position:absolute;left:0;top:0;width:1359;height:1014" coordorigin="0,0" coordsize="1359,1014" path="m0,1013l1359,1013,1359,0,0,0,0,1013xe" filled="true" fillcolor="#ffffff" stroked="false">
                      <v:path arrowok="t"/>
                      <v:fill type="solid"/>
                    </v:shape>
                  </v:group>
                  <v:group style="position:absolute;left:24;top:312;width:1311;height:390" coordorigin="24,312" coordsize="1311,390">
                    <v:shape style="position:absolute;left:24;top:312;width:1311;height:390" coordorigin="24,312" coordsize="1311,390" path="m24,701l1335,701,1335,312,24,312,24,701xe" filled="true" fillcolor="#ffffff" stroked="false">
                      <v:path arrowok="t"/>
                      <v:fill type="solid"/>
                    </v:shape>
                  </v:group>
                </v:group>
              </w:pict>
            </w:r>
            <w:r>
              <w:rPr>
                <w:rFonts w:ascii="宋体" w:hAnsi="宋体" w:cs="宋体" w:eastAsia="宋体" w:hint="default"/>
                <w:position w:val="-19"/>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汪婉欣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安丰森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李玟臻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许秋江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123.60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6"/>
        <w:ind w:right="1055"/>
        <w:jc w:val="left"/>
      </w:pPr>
      <w:r>
        <w:rPr>
          <w:spacing w:val="-3"/>
        </w:rPr>
        <w:t>公司董事、高级管理人员报告期内被授予的股权激励情况</w:t>
      </w:r>
    </w:p>
    <w:p>
      <w:pPr>
        <w:pStyle w:val="BodyText"/>
        <w:spacing w:line="240" w:lineRule="auto" w:before="115"/>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055"/>
        <w:jc w:val="left"/>
        <w:rPr>
          <w:b w:val="0"/>
          <w:bCs w:val="0"/>
        </w:rPr>
      </w:pPr>
      <w:r>
        <w:rPr/>
        <w:t>五、公司员工情况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314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428</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742</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742</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369</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34</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64</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742</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366</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290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62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742</w:t>
            </w:r>
          </w:p>
        </w:tc>
      </w:tr>
    </w:tbl>
    <w:p>
      <w:pPr>
        <w:spacing w:line="240" w:lineRule="auto" w:before="3"/>
        <w:rPr>
          <w:rFonts w:ascii="宋体" w:hAnsi="宋体" w:cs="宋体" w:eastAsia="宋体" w:hint="default"/>
          <w:b/>
          <w:bCs/>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right="1055" w:firstLine="360"/>
        <w:jc w:val="left"/>
      </w:pPr>
      <w:r>
        <w:rPr>
          <w:spacing w:val="-3"/>
        </w:rPr>
        <w:t>公司在遵守国家相关法律法规的基础上，不断完善和健全薪酬体系。员工薪酬由“基本工资</w:t>
      </w:r>
      <w:r>
        <w:rPr>
          <w:rFonts w:ascii="宋体" w:hAnsi="宋体" w:cs="宋体" w:eastAsia="宋体" w:hint="default"/>
          <w:spacing w:val="-3"/>
        </w:rPr>
        <w:t>+</w:t>
      </w:r>
      <w:r>
        <w:rPr>
          <w:spacing w:val="-3"/>
        </w:rPr>
        <w:t>年终奖”两部分组成，基</w:t>
      </w:r>
      <w:r>
        <w:rPr>
          <w:w w:val="101"/>
        </w:rPr>
        <w:t> </w:t>
      </w:r>
      <w:r>
        <w:rPr>
          <w:spacing w:val="-4"/>
        </w:rPr>
        <w:t>本工资与员工岗位职级、出勤率、绩效考核等因素关联，年终奖的测算方式为基本工资</w:t>
      </w:r>
      <w:r>
        <w:rPr>
          <w:rFonts w:ascii="宋体" w:hAnsi="宋体" w:cs="宋体" w:eastAsia="宋体" w:hint="default"/>
          <w:spacing w:val="-4"/>
        </w:rPr>
        <w:t>*</w:t>
      </w:r>
      <w:r>
        <w:rPr>
          <w:spacing w:val="-4"/>
        </w:rPr>
        <w:t>个人年度绩效系数</w:t>
      </w:r>
      <w:r>
        <w:rPr>
          <w:rFonts w:ascii="宋体" w:hAnsi="宋体" w:cs="宋体" w:eastAsia="宋体" w:hint="default"/>
          <w:spacing w:val="-4"/>
        </w:rPr>
        <w:t>*</w:t>
      </w:r>
      <w:r>
        <w:rPr>
          <w:spacing w:val="-4"/>
        </w:rPr>
        <w:t>公司年度经营系</w:t>
      </w:r>
      <w:r>
        <w:rPr>
          <w:spacing w:val="43"/>
        </w:rPr>
        <w:t> </w:t>
      </w:r>
      <w:r>
        <w:rPr>
          <w:spacing w:val="43"/>
        </w:rPr>
      </w:r>
      <w:r>
        <w:rPr>
          <w:spacing w:val="-4"/>
        </w:rPr>
        <w:t>数。秉承“效率优先、兼顾公平、突出绩效”的薪酬分配原则的基础上，公司凸显人文关怀，为员工提供年度带薪假期、年</w:t>
      </w:r>
      <w:r>
        <w:rPr>
          <w:spacing w:val="40"/>
        </w:rPr>
        <w:t> </w:t>
      </w:r>
      <w:r>
        <w:rPr>
          <w:spacing w:val="40"/>
        </w:rPr>
      </w:r>
      <w:r>
        <w:rPr>
          <w:spacing w:val="-6"/>
        </w:rPr>
        <w:t>度健康体检、免费商业保险等福利政策，保障员工劳逸结合、身心健康；同时，公司还增设多元的福利活动，如结婚、生子、</w:t>
      </w:r>
      <w:r>
        <w:rPr>
          <w:spacing w:val="67"/>
        </w:rPr>
        <w:t> </w:t>
      </w:r>
      <w:r>
        <w:rPr>
          <w:spacing w:val="67"/>
        </w:rPr>
      </w:r>
      <w:r>
        <w:rPr>
          <w:spacing w:val="-3"/>
        </w:rPr>
        <w:t>生日、节日福利，部门活动经费，定期体育活动等，调动员工积极性，增强公司凝聚力，提升公司综合竞争力。</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2"/>
          <w:szCs w:val="32"/>
        </w:rPr>
      </w:pPr>
    </w:p>
    <w:p>
      <w:pPr>
        <w:pStyle w:val="BodyText"/>
        <w:spacing w:line="477" w:lineRule="auto"/>
        <w:ind w:right="1055" w:firstLine="360"/>
        <w:jc w:val="left"/>
      </w:pPr>
      <w:r>
        <w:rPr>
          <w:spacing w:val="-5"/>
        </w:rPr>
        <w:t>员工培训作为现代企业人力资源管理的重要内容备受公司关注，为加强人才队伍建设，提升公司核心竞争力，保证公司</w:t>
      </w:r>
      <w:r>
        <w:rPr>
          <w:w w:val="101"/>
        </w:rPr>
        <w:t> </w:t>
      </w:r>
      <w:r>
        <w:rPr>
          <w:spacing w:val="-4"/>
        </w:rPr>
        <w:t>可持续发展，公司结合发展战略布局、人才需求，制定了科学、系统、规范的培训计划。公司现有的培训体系包括，对新员</w:t>
      </w:r>
      <w:r>
        <w:rPr>
          <w:spacing w:val="40"/>
        </w:rPr>
        <w:t> </w:t>
      </w:r>
      <w:r>
        <w:rPr>
          <w:spacing w:val="40"/>
        </w:rPr>
      </w:r>
      <w:r>
        <w:rPr>
          <w:spacing w:val="-4"/>
        </w:rPr>
        <w:t>工进行的一年多期培训，以企业文化、运作流程、规章制度介绍为主，结合实地参观体验；对客服体系全方位培训，提升产</w:t>
      </w:r>
      <w:r>
        <w:rPr>
          <w:spacing w:val="40"/>
        </w:rPr>
        <w:t> </w:t>
      </w:r>
      <w:r>
        <w:rPr>
          <w:spacing w:val="40"/>
        </w:rPr>
      </w:r>
      <w:r>
        <w:rPr>
          <w:spacing w:val="-4"/>
        </w:rPr>
        <w:t>品技术认知，沟通交流技巧等；对技术体进行系统一宣导，与时俱进探讨新技术发展，进行重难点技术问题答疑及常见问题</w:t>
      </w:r>
      <w:r>
        <w:rPr>
          <w:spacing w:val="40"/>
        </w:rPr>
        <w:t> </w:t>
      </w:r>
      <w:r>
        <w:rPr>
          <w:spacing w:val="40"/>
        </w:rPr>
      </w:r>
      <w:r>
        <w:rPr>
          <w:spacing w:val="-3"/>
        </w:rPr>
        <w:t>排查，热点分析等。对不同阶段不同工作性质的员工进行多元化针对性的培训，有的放矢，提升员工企业认知，职业技能，</w:t>
      </w:r>
      <w:r>
        <w:rPr>
          <w:spacing w:val="67"/>
        </w:rPr>
        <w:t> </w:t>
      </w:r>
      <w:r>
        <w:rPr>
          <w:spacing w:val="67"/>
        </w:rPr>
      </w:r>
      <w:r>
        <w:rPr>
          <w:spacing w:val="-3"/>
        </w:rPr>
        <w:t>增强公司活力。</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470"/>
        <w:jc w:val="center"/>
        <w:rPr>
          <w:b w:val="0"/>
          <w:bCs w:val="0"/>
        </w:rPr>
      </w:pPr>
      <w:bookmarkStart w:name="_bookmark7" w:id="8"/>
      <w:bookmarkEnd w:id="8"/>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55"/>
        <w:jc w:val="left"/>
        <w:rPr>
          <w:b w:val="0"/>
          <w:bCs w:val="0"/>
        </w:rPr>
      </w:pPr>
      <w:r>
        <w:rPr/>
        <w:t>一、公司治理的基本状况</w:t>
      </w:r>
      <w:r>
        <w:rPr>
          <w:b w:val="0"/>
          <w:bCs w:val="0"/>
        </w:rPr>
      </w:r>
    </w:p>
    <w:p>
      <w:pPr>
        <w:spacing w:line="240" w:lineRule="auto" w:before="6"/>
        <w:rPr>
          <w:rFonts w:ascii="宋体" w:hAnsi="宋体" w:cs="宋体" w:eastAsia="宋体" w:hint="default"/>
          <w:b/>
          <w:bCs/>
          <w:sz w:val="33"/>
          <w:szCs w:val="33"/>
        </w:rPr>
      </w:pPr>
    </w:p>
    <w:p>
      <w:pPr>
        <w:pStyle w:val="BodyText"/>
        <w:spacing w:line="475" w:lineRule="auto"/>
        <w:ind w:left="513" w:right="1055"/>
        <w:jc w:val="left"/>
      </w:pPr>
      <w:r>
        <w:rPr>
          <w:rFonts w:ascii="宋体" w:hAnsi="宋体" w:cs="宋体" w:eastAsia="宋体" w:hint="default"/>
        </w:rPr>
        <w:t>1</w:t>
      </w:r>
      <w:r>
        <w:rPr/>
        <w:t>．关于股东与股东大会</w:t>
      </w:r>
      <w:r>
        <w:rPr>
          <w:spacing w:val="-85"/>
        </w:rPr>
        <w:t> </w:t>
      </w:r>
      <w:r>
        <w:rPr>
          <w:spacing w:val="-85"/>
        </w:rPr>
      </w:r>
      <w:r>
        <w:rPr>
          <w:spacing w:val="-3"/>
        </w:rPr>
        <w:t>公司严格按照《上市公司股东大会规则》、《公司章程》、《股东大会议事规则》等规定和要求召集、召开股东大会，</w:t>
      </w:r>
    </w:p>
    <w:p>
      <w:pPr>
        <w:pStyle w:val="BodyText"/>
        <w:spacing w:line="475" w:lineRule="auto" w:before="59"/>
        <w:ind w:left="513" w:right="2850" w:hanging="360"/>
        <w:jc w:val="left"/>
      </w:pPr>
      <w:r>
        <w:rPr>
          <w:spacing w:val="-3"/>
        </w:rPr>
        <w:t>平等对待所有股东，并尽可能为股东参加股东大会提供便利，使其充分行使股东权利。</w:t>
      </w:r>
      <w:r>
        <w:rPr>
          <w:spacing w:val="20"/>
        </w:rPr>
        <w:t> </w:t>
      </w:r>
      <w:r>
        <w:rPr>
          <w:spacing w:val="20"/>
        </w:rPr>
      </w:r>
      <w:r>
        <w:rPr>
          <w:rFonts w:ascii="宋体" w:hAnsi="宋体" w:cs="宋体" w:eastAsia="宋体" w:hint="default"/>
        </w:rPr>
        <w:t>2</w:t>
      </w:r>
      <w:r>
        <w:rPr/>
        <w:t>．关于公司与控股股东</w:t>
      </w:r>
    </w:p>
    <w:p>
      <w:pPr>
        <w:pStyle w:val="BodyText"/>
        <w:spacing w:line="475" w:lineRule="auto" w:before="58"/>
        <w:ind w:right="1055" w:firstLine="360"/>
        <w:jc w:val="left"/>
      </w:pPr>
      <w:r>
        <w:rPr>
          <w:spacing w:val="-4"/>
        </w:rPr>
        <w:t>公司控股股东严格规范自己的行为，没有超越股东大会直接或间接干预公司的决策和经营活动。公司拥有独立完整的业</w:t>
      </w:r>
      <w:r>
        <w:rPr>
          <w:w w:val="101"/>
        </w:rPr>
        <w:t> </w:t>
      </w:r>
      <w:r>
        <w:rPr>
          <w:spacing w:val="-3"/>
        </w:rPr>
        <w:t>务和自主经营能力，在业务、人员、资产、机构、财务上独立于控股股东，公司董事会、监事会和内部机构独立运作。</w:t>
      </w:r>
    </w:p>
    <w:p>
      <w:pPr>
        <w:pStyle w:val="BodyText"/>
        <w:spacing w:line="475" w:lineRule="auto" w:before="58"/>
        <w:ind w:left="513" w:right="1055"/>
        <w:jc w:val="left"/>
      </w:pPr>
      <w:r>
        <w:rPr>
          <w:rFonts w:ascii="宋体" w:hAnsi="宋体" w:cs="宋体" w:eastAsia="宋体" w:hint="default"/>
        </w:rPr>
        <w:t>3</w:t>
      </w:r>
      <w:r>
        <w:rPr/>
        <w:t>．关于董事和董事会</w:t>
      </w:r>
      <w:r>
        <w:rPr>
          <w:spacing w:val="-88"/>
        </w:rPr>
        <w:t> </w:t>
      </w:r>
      <w:r>
        <w:rPr>
          <w:spacing w:val="-88"/>
        </w:rPr>
      </w:r>
      <w:r>
        <w:rPr>
          <w:spacing w:val="-4"/>
        </w:rPr>
        <w:t>公司董事会设董事</w:t>
      </w:r>
      <w:r>
        <w:rPr>
          <w:rFonts w:ascii="宋体" w:hAnsi="宋体" w:cs="宋体" w:eastAsia="宋体" w:hint="default"/>
          <w:spacing w:val="-4"/>
        </w:rPr>
        <w:t>9</w:t>
      </w:r>
      <w:r>
        <w:rPr>
          <w:spacing w:val="-4"/>
        </w:rPr>
        <w:t>名，其中独立董事</w:t>
      </w:r>
      <w:r>
        <w:rPr>
          <w:rFonts w:ascii="宋体" w:hAnsi="宋体" w:cs="宋体" w:eastAsia="宋体" w:hint="default"/>
          <w:spacing w:val="-4"/>
        </w:rPr>
        <w:t>3</w:t>
      </w:r>
      <w:r>
        <w:rPr>
          <w:spacing w:val="-4"/>
        </w:rPr>
        <w:t>名，董事会的人数及人员构成符合法律、法规和《公司章程》的要求。公司董事</w:t>
      </w:r>
    </w:p>
    <w:p>
      <w:pPr>
        <w:pStyle w:val="BodyText"/>
        <w:spacing w:line="475" w:lineRule="auto" w:before="58"/>
        <w:ind w:right="1055"/>
        <w:jc w:val="left"/>
      </w:pPr>
      <w:r>
        <w:rPr>
          <w:spacing w:val="-4"/>
        </w:rPr>
        <w:t>能够依据《董事会议事规则》、《独立董事工作制度》、《深圳证券交易所创业板上市公司规范运作指引》等开展工作，出</w:t>
      </w:r>
      <w:r>
        <w:rPr>
          <w:spacing w:val="40"/>
        </w:rPr>
        <w:t> </w:t>
      </w:r>
      <w:r>
        <w:rPr>
          <w:spacing w:val="40"/>
        </w:rPr>
      </w:r>
      <w:r>
        <w:rPr>
          <w:spacing w:val="-3"/>
        </w:rPr>
        <w:t>席董事会和股东大会，勤勉尽责地履行职责和义务，同时积极参加相关培训，熟悉相关法律法规。</w:t>
      </w:r>
    </w:p>
    <w:p>
      <w:pPr>
        <w:pStyle w:val="BodyText"/>
        <w:spacing w:line="475" w:lineRule="auto" w:before="58"/>
        <w:ind w:left="513" w:right="1055"/>
        <w:jc w:val="left"/>
      </w:pPr>
      <w:r>
        <w:rPr>
          <w:rFonts w:ascii="宋体" w:hAnsi="宋体" w:cs="宋体" w:eastAsia="宋体" w:hint="default"/>
        </w:rPr>
        <w:t>4</w:t>
      </w:r>
      <w:r>
        <w:rPr/>
        <w:t>．关于监事和监事会</w:t>
      </w:r>
      <w:r>
        <w:rPr>
          <w:spacing w:val="-88"/>
        </w:rPr>
        <w:t> </w:t>
      </w:r>
      <w:r>
        <w:rPr>
          <w:spacing w:val="-88"/>
        </w:rPr>
      </w:r>
      <w:r>
        <w:rPr>
          <w:spacing w:val="-4"/>
        </w:rPr>
        <w:t>公司监事会设监事</w:t>
      </w:r>
      <w:r>
        <w:rPr>
          <w:rFonts w:ascii="宋体" w:hAnsi="宋体" w:cs="宋体" w:eastAsia="宋体" w:hint="default"/>
          <w:spacing w:val="-4"/>
        </w:rPr>
        <w:t>3</w:t>
      </w:r>
      <w:r>
        <w:rPr>
          <w:spacing w:val="-4"/>
        </w:rPr>
        <w:t>名，其中职工监事</w:t>
      </w:r>
      <w:r>
        <w:rPr>
          <w:rFonts w:ascii="宋体" w:hAnsi="宋体" w:cs="宋体" w:eastAsia="宋体" w:hint="default"/>
          <w:spacing w:val="-4"/>
        </w:rPr>
        <w:t>1</w:t>
      </w:r>
      <w:r>
        <w:rPr>
          <w:spacing w:val="-4"/>
        </w:rPr>
        <w:t>名，监事会的人数和构成符合法律、法规的要求。公司监事能够按照《监事会议</w:t>
      </w:r>
    </w:p>
    <w:p>
      <w:pPr>
        <w:pStyle w:val="BodyText"/>
        <w:spacing w:line="475" w:lineRule="auto" w:before="59"/>
        <w:ind w:right="1055"/>
        <w:jc w:val="left"/>
      </w:pPr>
      <w:r>
        <w:rPr>
          <w:spacing w:val="-4"/>
        </w:rPr>
        <w:t>事规则》的要求，认真履行自己的职责，对公司重大事项、关联交易、财务状况以及董事、高管人员履行职责的合法合规性</w:t>
      </w:r>
      <w:r>
        <w:rPr>
          <w:spacing w:val="40"/>
        </w:rPr>
        <w:t> </w:t>
      </w:r>
      <w:r>
        <w:rPr>
          <w:spacing w:val="40"/>
        </w:rPr>
      </w:r>
      <w:r>
        <w:rPr/>
        <w:t>进行监督。</w:t>
      </w:r>
    </w:p>
    <w:p>
      <w:pPr>
        <w:pStyle w:val="BodyText"/>
        <w:spacing w:line="475" w:lineRule="auto" w:before="58"/>
        <w:ind w:left="513" w:right="1055"/>
        <w:jc w:val="left"/>
      </w:pPr>
      <w:r>
        <w:rPr>
          <w:rFonts w:ascii="宋体" w:hAnsi="宋体" w:cs="宋体" w:eastAsia="宋体" w:hint="default"/>
        </w:rPr>
        <w:t>5</w:t>
      </w:r>
      <w:r>
        <w:rPr/>
        <w:t>．关于绩效评价与激励约束机制</w:t>
      </w:r>
      <w:r>
        <w:rPr>
          <w:spacing w:val="-86"/>
        </w:rPr>
        <w:t> </w:t>
      </w:r>
      <w:r>
        <w:rPr>
          <w:spacing w:val="-86"/>
        </w:rPr>
      </w:r>
      <w:r>
        <w:rPr>
          <w:spacing w:val="-6"/>
        </w:rPr>
        <w:t>公司正逐步建立和完善公正、透明的董事、监事和经理人员的绩效评价标准和激励约束机制，高层管理人员的聘任公开、</w:t>
      </w:r>
    </w:p>
    <w:p>
      <w:pPr>
        <w:pStyle w:val="BodyText"/>
        <w:spacing w:line="475" w:lineRule="auto" w:before="59"/>
        <w:ind w:left="513" w:right="6932" w:hanging="360"/>
        <w:jc w:val="left"/>
      </w:pPr>
      <w:r>
        <w:rPr>
          <w:spacing w:val="-3"/>
        </w:rPr>
        <w:t>透明，符合法律法规的规定。</w:t>
      </w:r>
      <w:r>
        <w:rPr>
          <w:spacing w:val="-50"/>
        </w:rPr>
        <w:t> </w:t>
      </w:r>
      <w:r>
        <w:rPr>
          <w:spacing w:val="-50"/>
        </w:rPr>
      </w:r>
      <w:r>
        <w:rPr>
          <w:rFonts w:ascii="宋体" w:hAnsi="宋体" w:cs="宋体" w:eastAsia="宋体" w:hint="default"/>
          <w:spacing w:val="-3"/>
        </w:rPr>
        <w:t>6</w:t>
      </w:r>
      <w:r>
        <w:rPr>
          <w:spacing w:val="-3"/>
        </w:rPr>
        <w:t>．关于信息披露与透明度</w:t>
      </w:r>
    </w:p>
    <w:p>
      <w:pPr>
        <w:pStyle w:val="BodyText"/>
        <w:spacing w:line="475" w:lineRule="auto" w:before="58"/>
        <w:ind w:right="1055" w:firstLine="360"/>
        <w:jc w:val="left"/>
      </w:pPr>
      <w:r>
        <w:rPr>
          <w:spacing w:val="-6"/>
        </w:rPr>
        <w:t>公司严格按照有关法律法规以及《信息披露管理制度》、《投资者关系管理制度》等的要求，真实、准确、及时、公平、</w:t>
      </w:r>
      <w:r>
        <w:rPr>
          <w:w w:val="101"/>
        </w:rPr>
        <w:t> </w:t>
      </w:r>
      <w:r>
        <w:rPr>
          <w:spacing w:val="-4"/>
        </w:rPr>
        <w:t>完整地披露有关信息；并指定公司董事会秘书负责信息披露工作，协调公司与投资者的关系，接待股东来访，回答投资者咨</w:t>
      </w:r>
      <w:r>
        <w:rPr>
          <w:spacing w:val="41"/>
        </w:rPr>
        <w:t> </w:t>
      </w:r>
      <w:r>
        <w:rPr>
          <w:spacing w:val="41"/>
        </w:rPr>
      </w:r>
      <w:r>
        <w:rPr>
          <w:spacing w:val="-3"/>
        </w:rPr>
        <w:t>询；并指定《证券时报》和巨潮资讯网（</w:t>
      </w:r>
      <w:hyperlink r:id="rId13">
        <w:r>
          <w:rPr>
            <w:rFonts w:ascii="宋体" w:hAnsi="宋体" w:cs="宋体" w:eastAsia="宋体" w:hint="default"/>
            <w:spacing w:val="-3"/>
          </w:rPr>
          <w:t>www.cninfo.com.cn</w:t>
        </w:r>
      </w:hyperlink>
      <w:r>
        <w:rPr>
          <w:spacing w:val="-3"/>
        </w:rPr>
        <w:t>）为公司信息披露的指定报纸和网站，确保公司所有股东能够</w:t>
      </w:r>
      <w:r>
        <w:rPr>
          <w:spacing w:val="8"/>
        </w:rPr>
        <w:t> </w:t>
      </w:r>
      <w:r>
        <w:rPr>
          <w:spacing w:val="8"/>
        </w:rPr>
      </w:r>
      <w:r>
        <w:rPr>
          <w:spacing w:val="-3"/>
        </w:rPr>
        <w:t>以平等的机会获得信息。</w:t>
      </w:r>
    </w:p>
    <w:p>
      <w:pPr>
        <w:pStyle w:val="BodyText"/>
        <w:spacing w:line="475" w:lineRule="auto" w:before="58"/>
        <w:ind w:left="513" w:right="1055"/>
        <w:jc w:val="left"/>
      </w:pPr>
      <w:r>
        <w:rPr>
          <w:rFonts w:ascii="宋体" w:hAnsi="宋体" w:cs="宋体" w:eastAsia="宋体" w:hint="default"/>
        </w:rPr>
        <w:t>7</w:t>
      </w:r>
      <w:r>
        <w:rPr/>
        <w:t>．关于相关利益者</w:t>
      </w:r>
      <w:r>
        <w:rPr>
          <w:spacing w:val="-85"/>
        </w:rPr>
        <w:t> </w:t>
      </w:r>
      <w:r>
        <w:rPr>
          <w:spacing w:val="-85"/>
        </w:rPr>
      </w:r>
      <w:r>
        <w:rPr>
          <w:spacing w:val="-5"/>
        </w:rPr>
        <w:t>公司充分尊重和维护相关利益者的合法权益，实现社会、股东、公司、员工等各方面利益的协调平衡，诚信对待供应商</w:t>
      </w:r>
    </w:p>
    <w:p>
      <w:pPr>
        <w:pStyle w:val="BodyText"/>
        <w:spacing w:line="240" w:lineRule="auto" w:before="58"/>
        <w:ind w:right="1055"/>
        <w:jc w:val="left"/>
      </w:pPr>
      <w:r>
        <w:rPr>
          <w:spacing w:val="-3"/>
        </w:rPr>
        <w:t>和客户，坚持与相关利益者互利共赢的原则，共同推动公司持续、稳健发展。</w:t>
      </w:r>
    </w:p>
    <w:p>
      <w:pPr>
        <w:spacing w:after="0" w:line="240" w:lineRule="auto"/>
        <w:jc w:val="left"/>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240" w:lineRule="auto" w:before="46"/>
        <w:ind w:left="513" w:right="1055"/>
        <w:jc w:val="left"/>
      </w:pPr>
      <w:r>
        <w:rPr>
          <w:spacing w:val="-3"/>
        </w:rPr>
        <w:t>公司治理的实际状况与中国证监会发布的有关上市公司治理的规范性文件是否存在重大差异</w:t>
      </w:r>
    </w:p>
    <w:p>
      <w:pPr>
        <w:spacing w:line="240" w:lineRule="auto" w:before="8"/>
        <w:rPr>
          <w:rFonts w:ascii="宋体" w:hAnsi="宋体" w:cs="宋体" w:eastAsia="宋体" w:hint="default"/>
          <w:sz w:val="17"/>
          <w:szCs w:val="17"/>
        </w:rPr>
      </w:pPr>
    </w:p>
    <w:p>
      <w:pPr>
        <w:pStyle w:val="BodyText"/>
        <w:spacing w:line="480" w:lineRule="auto"/>
        <w:ind w:left="513" w:right="2850"/>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公司治理的实际状况与中国证监会发布的有关上市公司治理的规范性文件不存在重大差异。</w:t>
      </w:r>
    </w:p>
    <w:p>
      <w:pPr>
        <w:spacing w:line="240" w:lineRule="auto" w:before="6"/>
        <w:rPr>
          <w:rFonts w:ascii="宋体" w:hAnsi="宋体" w:cs="宋体" w:eastAsia="宋体" w:hint="default"/>
          <w:sz w:val="16"/>
          <w:szCs w:val="16"/>
        </w:rPr>
      </w:pPr>
    </w:p>
    <w:p>
      <w:pPr>
        <w:pStyle w:val="Heading2"/>
        <w:spacing w:line="240" w:lineRule="auto"/>
        <w:ind w:right="1055"/>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3"/>
          <w:szCs w:val="33"/>
        </w:rPr>
      </w:pPr>
    </w:p>
    <w:p>
      <w:pPr>
        <w:pStyle w:val="BodyText"/>
        <w:spacing w:line="477" w:lineRule="auto"/>
        <w:ind w:right="1124" w:firstLine="360"/>
        <w:jc w:val="both"/>
      </w:pPr>
      <w:r>
        <w:rPr>
          <w:spacing w:val="-5"/>
        </w:rPr>
        <w:t>报告期内，公司严格按照《公司法》、《证券法》等有关法律、法规和《公司章程》的要求规范运作，建立、健全公司</w:t>
      </w:r>
      <w:r>
        <w:rPr>
          <w:w w:val="101"/>
        </w:rPr>
        <w:t> </w:t>
      </w:r>
      <w:r>
        <w:rPr>
          <w:spacing w:val="-4"/>
        </w:rPr>
        <w:t>法人治理结构。公司与控股股东、实际控制人在业务、人员、资产、机构、财务等方面完全分开，具有独立完整的业务及自</w:t>
      </w:r>
      <w:r>
        <w:rPr>
          <w:spacing w:val="40"/>
        </w:rPr>
        <w:t> </w:t>
      </w:r>
      <w:r>
        <w:rPr>
          <w:spacing w:val="40"/>
        </w:rPr>
      </w:r>
      <w:r>
        <w:rPr/>
        <w:t>主经营能力。</w:t>
      </w:r>
    </w:p>
    <w:p>
      <w:pPr>
        <w:pStyle w:val="BodyText"/>
        <w:spacing w:line="480" w:lineRule="auto" w:before="52"/>
        <w:ind w:left="513" w:right="1055"/>
        <w:jc w:val="left"/>
      </w:pPr>
      <w:r>
        <w:rPr>
          <w:rFonts w:ascii="宋体" w:hAnsi="宋体" w:cs="宋体" w:eastAsia="宋体" w:hint="default"/>
        </w:rPr>
        <w:t>1</w:t>
      </w:r>
      <w:r>
        <w:rPr/>
        <w:t>．业务独立</w:t>
      </w:r>
      <w:r>
        <w:rPr>
          <w:spacing w:val="-87"/>
        </w:rPr>
        <w:t> </w:t>
      </w:r>
      <w:r>
        <w:rPr>
          <w:spacing w:val="-87"/>
        </w:rPr>
      </w:r>
      <w:r>
        <w:rPr>
          <w:spacing w:val="-5"/>
        </w:rPr>
        <w:t>公司拥有完整独立的研发、运营、采购和销售系统，具有独立完整的业务体系及面向市场独立经营的能力，不依赖于股</w:t>
      </w:r>
    </w:p>
    <w:p>
      <w:pPr>
        <w:pStyle w:val="BodyText"/>
        <w:spacing w:line="480" w:lineRule="auto" w:before="50"/>
        <w:ind w:left="513" w:right="3960" w:hanging="360"/>
        <w:jc w:val="left"/>
      </w:pPr>
      <w:r>
        <w:rPr>
          <w:spacing w:val="-3"/>
        </w:rPr>
        <w:t>东或其它任何关联方，也不存在与控股股东、实际控制人之间的同业竞争。</w:t>
      </w:r>
      <w:r>
        <w:rPr>
          <w:spacing w:val="9"/>
        </w:rPr>
        <w:t> </w:t>
      </w:r>
      <w:r>
        <w:rPr>
          <w:spacing w:val="9"/>
        </w:rPr>
      </w:r>
      <w:r>
        <w:rPr>
          <w:rFonts w:ascii="宋体" w:hAnsi="宋体" w:cs="宋体" w:eastAsia="宋体" w:hint="default"/>
        </w:rPr>
        <w:t>2</w:t>
      </w:r>
      <w:r>
        <w:rPr/>
        <w:t>．人员独立</w:t>
      </w:r>
    </w:p>
    <w:p>
      <w:pPr>
        <w:pStyle w:val="BodyText"/>
        <w:spacing w:line="477" w:lineRule="auto" w:before="50"/>
        <w:ind w:right="1124" w:firstLine="360"/>
        <w:jc w:val="both"/>
      </w:pPr>
      <w:r>
        <w:rPr>
          <w:spacing w:val="-5"/>
        </w:rPr>
        <w:t>公司人员、劳动、人事及工资完全独立。公司的董事、监事、高级管理人员的任职，均按照《公司法》及其他法律、法</w:t>
      </w:r>
      <w:r>
        <w:rPr>
          <w:w w:val="101"/>
        </w:rPr>
        <w:t> </w:t>
      </w:r>
      <w:r>
        <w:rPr>
          <w:spacing w:val="-4"/>
        </w:rPr>
        <w:t>规、规范性文件、《公司章程》规定的程序进行。公司董事、监事及高级管理人员等均在公司工作并领取薪酬；公司财务人</w:t>
      </w:r>
      <w:r>
        <w:rPr>
          <w:spacing w:val="40"/>
        </w:rPr>
        <w:t> </w:t>
      </w:r>
      <w:r>
        <w:rPr>
          <w:spacing w:val="40"/>
        </w:rPr>
      </w:r>
      <w:r>
        <w:rPr>
          <w:spacing w:val="-3"/>
        </w:rPr>
        <w:t>员没有在控股股东、实际控制人及其控制的其他企业兼职。</w:t>
      </w:r>
    </w:p>
    <w:p>
      <w:pPr>
        <w:pStyle w:val="BodyText"/>
        <w:spacing w:line="475" w:lineRule="auto" w:before="56"/>
        <w:ind w:left="513" w:right="1055"/>
        <w:jc w:val="left"/>
      </w:pPr>
      <w:r>
        <w:rPr>
          <w:rFonts w:ascii="宋体" w:hAnsi="宋体" w:cs="宋体" w:eastAsia="宋体" w:hint="default"/>
        </w:rPr>
        <w:t>3</w:t>
      </w:r>
      <w:r>
        <w:rPr/>
        <w:t>．资产完整</w:t>
      </w:r>
      <w:r>
        <w:rPr>
          <w:spacing w:val="-87"/>
        </w:rPr>
        <w:t> </w:t>
      </w:r>
      <w:r>
        <w:rPr>
          <w:spacing w:val="-87"/>
        </w:rPr>
      </w:r>
      <w:r>
        <w:rPr>
          <w:spacing w:val="-5"/>
        </w:rPr>
        <w:t>公司资产完整，与控股股东产权关系界定清晰，拥有独立的经营系统和配套设施以及商标（商标申请权）、专利、专有</w:t>
      </w:r>
    </w:p>
    <w:p>
      <w:pPr>
        <w:pStyle w:val="BodyText"/>
        <w:spacing w:line="475" w:lineRule="auto" w:before="59"/>
        <w:ind w:right="1055"/>
        <w:jc w:val="left"/>
      </w:pPr>
      <w:r>
        <w:rPr>
          <w:spacing w:val="-4"/>
        </w:rPr>
        <w:t>技术、计算机软件著作权等资产。公司对全部资产拥有完整的控制支配权，不存在货币资金或其他资产被股东占用而损害公</w:t>
      </w:r>
      <w:r>
        <w:rPr>
          <w:spacing w:val="44"/>
        </w:rPr>
        <w:t> </w:t>
      </w:r>
      <w:r>
        <w:rPr>
          <w:spacing w:val="44"/>
        </w:rPr>
      </w:r>
      <w:r>
        <w:rPr>
          <w:spacing w:val="-3"/>
        </w:rPr>
        <w:t>司利益的情况，公司资产完整且独立。</w:t>
      </w:r>
    </w:p>
    <w:p>
      <w:pPr>
        <w:pStyle w:val="BodyText"/>
        <w:spacing w:line="475" w:lineRule="auto" w:before="58"/>
        <w:ind w:left="513" w:right="1055"/>
        <w:jc w:val="left"/>
      </w:pPr>
      <w:r>
        <w:rPr>
          <w:rFonts w:ascii="宋体" w:hAnsi="宋体" w:cs="宋体" w:eastAsia="宋体" w:hint="default"/>
        </w:rPr>
        <w:t>4</w:t>
      </w:r>
      <w:r>
        <w:rPr/>
        <w:t>．机构独立</w:t>
      </w:r>
      <w:r>
        <w:rPr>
          <w:spacing w:val="-87"/>
        </w:rPr>
        <w:t> </w:t>
      </w:r>
      <w:r>
        <w:rPr>
          <w:spacing w:val="-87"/>
        </w:rPr>
      </w:r>
      <w:r>
        <w:rPr>
          <w:spacing w:val="-4"/>
        </w:rPr>
        <w:t>本公司具有独立健全的法人治理结构，董事会、监事会等内部机构独立运作，不存在与控股股东及其职能部门之间的从</w:t>
      </w:r>
    </w:p>
    <w:p>
      <w:pPr>
        <w:pStyle w:val="BodyText"/>
        <w:spacing w:line="477" w:lineRule="auto" w:before="58"/>
        <w:ind w:left="513" w:right="1055" w:hanging="360"/>
        <w:jc w:val="left"/>
      </w:pPr>
      <w:r>
        <w:rPr>
          <w:spacing w:val="-6"/>
        </w:rPr>
        <w:t>属关系。各部门独立履行其职责，负责公司的生产经营活动，其履行职能不受控股股东、其他有关部门或单位、个人的干预。</w:t>
      </w:r>
      <w:r>
        <w:rPr>
          <w:spacing w:val="67"/>
        </w:rPr>
        <w:t> </w:t>
      </w:r>
      <w:r>
        <w:rPr>
          <w:spacing w:val="67"/>
        </w:rPr>
      </w:r>
      <w:r>
        <w:rPr>
          <w:rFonts w:ascii="宋体" w:hAnsi="宋体" w:cs="宋体" w:eastAsia="宋体" w:hint="default"/>
        </w:rPr>
        <w:t>5</w:t>
      </w:r>
      <w:r>
        <w:rPr/>
        <w:t>．财务独立</w:t>
      </w:r>
      <w:r>
        <w:rPr>
          <w:w w:val="101"/>
        </w:rPr>
        <w:t> </w:t>
      </w:r>
      <w:r>
        <w:rPr>
          <w:spacing w:val="-4"/>
        </w:rPr>
        <w:t>本公司设有独立的财务部门、财务负责人和财务会计工作人员，建立了独立的财务规章制度和财务核算体系，独立进行</w:t>
      </w:r>
    </w:p>
    <w:p>
      <w:pPr>
        <w:pStyle w:val="BodyText"/>
        <w:spacing w:line="480" w:lineRule="auto" w:before="52"/>
        <w:ind w:right="1055"/>
        <w:jc w:val="left"/>
      </w:pPr>
      <w:r>
        <w:rPr>
          <w:spacing w:val="-6"/>
        </w:rPr>
        <w:t>财务决策。公司开设了独立的银行账户，依法独立纳税，不存在与股东单位及其关联方共用银行账户的情况，也不存在资金、</w:t>
      </w:r>
      <w:r>
        <w:rPr>
          <w:spacing w:val="71"/>
        </w:rPr>
        <w:t> </w:t>
      </w:r>
      <w:r>
        <w:rPr>
          <w:spacing w:val="71"/>
        </w:rPr>
      </w:r>
      <w:r>
        <w:rPr>
          <w:spacing w:val="-3"/>
        </w:rPr>
        <w:t>资产被股东单位及其关联方非法占用的情况。</w:t>
      </w:r>
    </w:p>
    <w:p>
      <w:pPr>
        <w:spacing w:line="240" w:lineRule="auto" w:before="6"/>
        <w:rPr>
          <w:rFonts w:ascii="宋体" w:hAnsi="宋体" w:cs="宋体" w:eastAsia="宋体" w:hint="default"/>
          <w:sz w:val="16"/>
          <w:szCs w:val="16"/>
        </w:rPr>
      </w:pPr>
    </w:p>
    <w:p>
      <w:pPr>
        <w:pStyle w:val="Heading2"/>
        <w:spacing w:line="240" w:lineRule="auto"/>
        <w:ind w:right="1055"/>
        <w:jc w:val="left"/>
        <w:rPr>
          <w:b w:val="0"/>
          <w:bCs w:val="0"/>
        </w:rPr>
      </w:pPr>
      <w:r>
        <w:rPr/>
        <w:t>三、同业竞争情况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1055"/>
        <w:jc w:val="left"/>
        <w:rPr>
          <w:b w:val="0"/>
          <w:bCs w:val="0"/>
        </w:rPr>
      </w:pP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71"/>
        <w:gridCol w:w="1177"/>
        <w:gridCol w:w="1340"/>
        <w:gridCol w:w="1594"/>
        <w:gridCol w:w="1657"/>
        <w:gridCol w:w="1532"/>
      </w:tblGrid>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1"/>
              <w:jc w:val="righ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年第一次临时股东大会</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3"/>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年年度股东大会</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9"/>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年第二次临时股东大会</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0"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年第三次临时股东大会</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1"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16" w:lineRule="auto"/>
              <w:ind w:left="403" w:right="27"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郭斐</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何剑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434" w:lineRule="auto" w:before="53"/>
        <w:ind w:left="513" w:right="8069" w:hanging="360"/>
        <w:jc w:val="left"/>
      </w:pPr>
      <w:r>
        <w:rPr>
          <w:spacing w:val="-3"/>
        </w:rPr>
        <w:t>连续两次未亲自出席董事会的说明</w:t>
      </w:r>
      <w:r>
        <w:rPr>
          <w:spacing w:val="-44"/>
        </w:rPr>
        <w:t> </w:t>
      </w:r>
      <w:r>
        <w:rPr>
          <w:spacing w:val="-44"/>
        </w:rPr>
      </w:r>
      <w:r>
        <w:rPr/>
        <w:t>无</w:t>
      </w:r>
    </w:p>
    <w:p>
      <w:pPr>
        <w:spacing w:line="240" w:lineRule="auto" w:before="10"/>
        <w:rPr>
          <w:rFonts w:ascii="宋体" w:hAnsi="宋体" w:cs="宋体" w:eastAsia="宋体" w:hint="default"/>
          <w:sz w:val="21"/>
          <w:szCs w:val="21"/>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spacing w:val="-3"/>
        </w:rPr>
        <w:t>独立董事对公司有关事项是否提出异议</w:t>
      </w:r>
    </w:p>
    <w:p>
      <w:pPr>
        <w:pStyle w:val="BodyText"/>
        <w:spacing w:line="240" w:lineRule="auto" w:before="115"/>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13"/>
          <w:szCs w:val="13"/>
        </w:rPr>
      </w:pPr>
    </w:p>
    <w:p>
      <w:pPr>
        <w:pStyle w:val="BodyText"/>
        <w:spacing w:line="240" w:lineRule="auto"/>
        <w:ind w:left="513" w:right="1055"/>
        <w:jc w:val="left"/>
      </w:pPr>
      <w:r>
        <w:rPr>
          <w:spacing w:val="-3"/>
        </w:rPr>
        <w:t>报告期内独立董事对公司有关事项未提出异议。</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105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5"/>
        <w:jc w:val="left"/>
      </w:pPr>
      <w:r>
        <w:rPr>
          <w:spacing w:val="-3"/>
        </w:rPr>
        <w:t>独立董事对公司有关建议是否被采纳</w:t>
      </w:r>
    </w:p>
    <w:p>
      <w:pPr>
        <w:pStyle w:val="BodyText"/>
        <w:spacing w:line="338" w:lineRule="auto" w:before="115"/>
        <w:ind w:right="657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475" w:lineRule="auto" w:before="122"/>
        <w:ind w:right="1123" w:firstLine="360"/>
        <w:jc w:val="both"/>
      </w:pPr>
      <w:r>
        <w:rPr>
          <w:spacing w:val="-5"/>
        </w:rPr>
        <w:t>报告期内，独立董事认真履行职责，本着诚信勤勉义务，利用各自专业上的优势对公司重大资产重组、关联交易、对外</w:t>
      </w:r>
      <w:r>
        <w:rPr>
          <w:w w:val="101"/>
        </w:rPr>
        <w:t> </w:t>
      </w:r>
      <w:r>
        <w:rPr>
          <w:spacing w:val="-4"/>
        </w:rPr>
        <w:t>担保、募集资金存放与使用、利润分配、会计政策变更、高管薪酬等重要事项作出独立、客观、公正的判断，发表了独立意</w:t>
      </w:r>
      <w:r>
        <w:rPr>
          <w:spacing w:val="40"/>
        </w:rPr>
        <w:t> </w:t>
      </w:r>
      <w:r>
        <w:rPr>
          <w:spacing w:val="40"/>
        </w:rPr>
      </w:r>
      <w:r>
        <w:rPr>
          <w:spacing w:val="-4"/>
        </w:rPr>
        <w:t>见，并根据公司实际情况，科学审慎决策，给公司的经营管理、规范运作提出了合理的建议并均被得以采纳；为公司未来的</w:t>
      </w:r>
      <w:r>
        <w:rPr>
          <w:spacing w:val="40"/>
        </w:rPr>
        <w:t> </w:t>
      </w:r>
      <w:r>
        <w:rPr>
          <w:spacing w:val="40"/>
        </w:rPr>
      </w:r>
      <w:r>
        <w:rPr>
          <w:spacing w:val="-3"/>
        </w:rPr>
        <w:t>健康发展出谋划策，切实维护了公司和股东尤其是社会公众股东的利益。</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2"/>
        <w:spacing w:line="240" w:lineRule="auto"/>
        <w:ind w:right="1055"/>
        <w:jc w:val="left"/>
        <w:rPr>
          <w:b w:val="0"/>
          <w:bCs w:val="0"/>
        </w:rPr>
      </w:pPr>
      <w:r>
        <w:rPr/>
        <w:t>六、董事会下设专门委员会在报告期内履行职责情况</w:t>
      </w:r>
      <w:r>
        <w:rPr>
          <w:b w:val="0"/>
          <w:bCs w:val="0"/>
        </w:rPr>
      </w:r>
    </w:p>
    <w:p>
      <w:pPr>
        <w:spacing w:line="240" w:lineRule="auto" w:before="2"/>
        <w:rPr>
          <w:rFonts w:ascii="宋体" w:hAnsi="宋体" w:cs="宋体" w:eastAsia="宋体" w:hint="default"/>
          <w:b/>
          <w:bCs/>
          <w:sz w:val="33"/>
          <w:szCs w:val="33"/>
        </w:rPr>
      </w:pPr>
    </w:p>
    <w:p>
      <w:pPr>
        <w:pStyle w:val="BodyText"/>
        <w:spacing w:line="480" w:lineRule="auto"/>
        <w:ind w:right="1124" w:firstLine="360"/>
        <w:jc w:val="both"/>
      </w:pPr>
      <w:r>
        <w:rPr>
          <w:spacing w:val="-5"/>
        </w:rPr>
        <w:t>董事会下设审计委员会、薪酬与考核委员会。报告期内，各专业委员会在《公司章程》及工作条例范围内，充分发挥专</w:t>
      </w:r>
      <w:r>
        <w:rPr>
          <w:w w:val="101"/>
        </w:rPr>
        <w:t> </w:t>
      </w:r>
      <w:r>
        <w:rPr>
          <w:spacing w:val="-3"/>
        </w:rPr>
        <w:t>业性，科学决策，审慎监督，切实履行职责，为董事会决策提供专业支持。</w:t>
      </w:r>
    </w:p>
    <w:p>
      <w:pPr>
        <w:pStyle w:val="BodyText"/>
        <w:spacing w:line="480" w:lineRule="auto" w:before="50"/>
        <w:ind w:left="513" w:right="1055"/>
        <w:jc w:val="left"/>
      </w:pPr>
      <w:r>
        <w:rPr>
          <w:rFonts w:ascii="宋体" w:hAnsi="宋体" w:cs="宋体" w:eastAsia="宋体" w:hint="default"/>
        </w:rPr>
        <w:t>1.</w:t>
      </w:r>
      <w:r>
        <w:rPr/>
        <w:t>审计委员会</w:t>
      </w:r>
      <w:r>
        <w:rPr>
          <w:spacing w:val="-86"/>
        </w:rPr>
        <w:t> </w:t>
      </w:r>
      <w:r>
        <w:rPr>
          <w:spacing w:val="-86"/>
        </w:rPr>
      </w:r>
      <w:r>
        <w:rPr>
          <w:spacing w:val="-3"/>
        </w:rPr>
        <w:t>公司董事会审计委员会由</w:t>
      </w:r>
      <w:r>
        <w:rPr>
          <w:rFonts w:ascii="宋体" w:hAnsi="宋体" w:cs="宋体" w:eastAsia="宋体" w:hint="default"/>
          <w:spacing w:val="-3"/>
        </w:rPr>
        <w:t>3</w:t>
      </w:r>
      <w:r>
        <w:rPr>
          <w:spacing w:val="-3"/>
        </w:rPr>
        <w:t>名董事组成，分别为郑学定、郭斐、陈向军，其中郑学定、郭斐为独立董事，会计专业的独</w:t>
      </w:r>
    </w:p>
    <w:p>
      <w:pPr>
        <w:pStyle w:val="BodyText"/>
        <w:spacing w:line="477" w:lineRule="auto" w:before="50"/>
        <w:ind w:right="1055"/>
        <w:jc w:val="left"/>
      </w:pPr>
      <w:r>
        <w:rPr>
          <w:spacing w:val="-6"/>
        </w:rPr>
        <w:t>立董事郑学定担任主任。报告期内，审计委员会严格按照相关法律法规和《公司章程》的规定积极履行职责，定期召开会议，</w:t>
      </w:r>
      <w:r>
        <w:rPr>
          <w:spacing w:val="67"/>
        </w:rPr>
        <w:t> </w:t>
      </w:r>
      <w:r>
        <w:rPr>
          <w:spacing w:val="67"/>
        </w:rPr>
      </w:r>
      <w:r>
        <w:rPr>
          <w:spacing w:val="-4"/>
        </w:rPr>
        <w:t>就公司年度审计报告与会计师进行沟通，对公司的年度审计计划及内部控制制度提出建议，审核公司的财务信息，对重大关</w:t>
      </w:r>
      <w:r>
        <w:rPr>
          <w:spacing w:val="45"/>
        </w:rPr>
        <w:t> </w:t>
      </w:r>
      <w:r>
        <w:rPr>
          <w:spacing w:val="45"/>
        </w:rPr>
      </w:r>
      <w:r>
        <w:rPr>
          <w:spacing w:val="-3"/>
        </w:rPr>
        <w:t>联交易进行审计，监督募集资金的存放及使用情况，并对既往年度审计工作作出总结。</w:t>
      </w:r>
    </w:p>
    <w:p>
      <w:pPr>
        <w:pStyle w:val="BodyText"/>
        <w:spacing w:line="475" w:lineRule="auto" w:before="57"/>
        <w:ind w:left="513" w:right="2850"/>
        <w:jc w:val="left"/>
      </w:pPr>
      <w:r>
        <w:rPr>
          <w:spacing w:val="-3"/>
        </w:rPr>
        <w:t>（</w:t>
      </w:r>
      <w:r>
        <w:rPr>
          <w:rFonts w:ascii="宋体" w:hAnsi="宋体" w:cs="宋体" w:eastAsia="宋体" w:hint="default"/>
          <w:spacing w:val="-3"/>
        </w:rPr>
        <w:t>1</w:t>
      </w:r>
      <w:r>
        <w:rPr>
          <w:spacing w:val="-3"/>
        </w:rPr>
        <w:t>）本年度审计委员会会议召开情况</w:t>
      </w:r>
      <w:r>
        <w:rPr>
          <w:spacing w:val="-35"/>
        </w:rPr>
        <w:t> </w:t>
      </w:r>
      <w:r>
        <w:rPr>
          <w:spacing w:val="-35"/>
        </w:rPr>
      </w:r>
      <w:r>
        <w:rPr>
          <w:spacing w:val="-3"/>
        </w:rPr>
        <w:t>报告期内，审计委员会共召开了</w:t>
      </w:r>
      <w:r>
        <w:rPr>
          <w:rFonts w:ascii="宋体" w:hAnsi="宋体" w:cs="宋体" w:eastAsia="宋体" w:hint="default"/>
          <w:spacing w:val="-3"/>
        </w:rPr>
        <w:t>4</w:t>
      </w:r>
      <w:r>
        <w:rPr>
          <w:spacing w:val="-3"/>
        </w:rPr>
        <w:t>次审计委员会会议，具体情况如下：</w:t>
      </w:r>
    </w:p>
    <w:p>
      <w:pPr>
        <w:pStyle w:val="BodyText"/>
        <w:spacing w:line="475" w:lineRule="auto" w:before="58"/>
        <w:ind w:right="1031" w:firstLine="360"/>
        <w:jc w:val="both"/>
      </w:pPr>
      <w:r>
        <w:rPr>
          <w:rFonts w:ascii="宋体" w:hAnsi="宋体" w:cs="宋体" w:eastAsia="宋体" w:hint="default"/>
          <w:spacing w:val="-4"/>
        </w:rPr>
        <w:t>1</w:t>
      </w:r>
      <w:r>
        <w:rPr>
          <w:spacing w:val="-4"/>
        </w:rPr>
        <w:t>）</w:t>
      </w:r>
      <w:r>
        <w:rPr>
          <w:rFonts w:ascii="宋体" w:hAnsi="宋体" w:cs="宋体" w:eastAsia="宋体" w:hint="default"/>
          <w:spacing w:val="-4"/>
        </w:rPr>
        <w:t>2018</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23</w:t>
      </w:r>
      <w:r>
        <w:rPr>
          <w:spacing w:val="-4"/>
        </w:rPr>
        <w:t>日，召开第四届审计委员会第三次会议，审议通过了公司《</w:t>
      </w:r>
      <w:r>
        <w:rPr>
          <w:rFonts w:ascii="宋体" w:hAnsi="宋体" w:cs="宋体" w:eastAsia="宋体" w:hint="default"/>
          <w:spacing w:val="-4"/>
        </w:rPr>
        <w:t>2017</w:t>
      </w:r>
      <w:r>
        <w:rPr>
          <w:spacing w:val="-4"/>
        </w:rPr>
        <w:t>年度财务报表》、《关于</w:t>
      </w:r>
      <w:r>
        <w:rPr>
          <w:rFonts w:ascii="宋体" w:hAnsi="宋体" w:cs="宋体" w:eastAsia="宋体" w:hint="default"/>
          <w:spacing w:val="-4"/>
        </w:rPr>
        <w:t>2017</w:t>
      </w:r>
      <w:r>
        <w:rPr>
          <w:spacing w:val="-4"/>
        </w:rPr>
        <w:t>年募集资</w:t>
      </w:r>
      <w:r>
        <w:rPr>
          <w:w w:val="101"/>
        </w:rPr>
        <w:t> </w:t>
      </w:r>
      <w:r>
        <w:rPr>
          <w:spacing w:val="-4"/>
        </w:rPr>
        <w:t>金的存放与使用情况的专项报告》、《</w:t>
      </w:r>
      <w:r>
        <w:rPr>
          <w:rFonts w:ascii="宋体" w:hAnsi="宋体" w:cs="宋体" w:eastAsia="宋体" w:hint="default"/>
          <w:spacing w:val="-4"/>
        </w:rPr>
        <w:t>2017</w:t>
      </w:r>
      <w:r>
        <w:rPr>
          <w:spacing w:val="-4"/>
        </w:rPr>
        <w:t>年</w:t>
      </w:r>
      <w:r>
        <w:rPr>
          <w:rFonts w:ascii="宋体" w:hAnsi="宋体" w:cs="宋体" w:eastAsia="宋体" w:hint="default"/>
          <w:spacing w:val="-4"/>
        </w:rPr>
        <w:t>4</w:t>
      </w:r>
      <w:r>
        <w:rPr>
          <w:spacing w:val="-4"/>
        </w:rPr>
        <w:t>季度控股股东及其他关联方占用资金情况、公司对外担保事项的审计报告》、</w:t>
      </w:r>
    </w:p>
    <w:p>
      <w:pPr>
        <w:pStyle w:val="BodyText"/>
        <w:spacing w:line="475" w:lineRule="auto" w:before="58"/>
        <w:ind w:right="1121"/>
        <w:jc w:val="both"/>
      </w:pP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季度货币资金的专项检查报告》、《</w:t>
      </w:r>
      <w:r>
        <w:rPr>
          <w:rFonts w:ascii="宋体" w:hAnsi="宋体" w:cs="宋体" w:eastAsia="宋体" w:hint="default"/>
          <w:spacing w:val="-3"/>
        </w:rPr>
        <w:t>2017</w:t>
      </w:r>
      <w:r>
        <w:rPr>
          <w:spacing w:val="-3"/>
        </w:rPr>
        <w:t>年度内部控制自我评价报告》、《关于会计政策变更的议案》、《关于</w:t>
      </w:r>
      <w:r>
        <w:rPr>
          <w:spacing w:val="82"/>
        </w:rPr>
        <w:t> </w:t>
      </w:r>
      <w:r>
        <w:rPr>
          <w:spacing w:val="82"/>
        </w:rPr>
      </w:r>
      <w:r>
        <w:rPr>
          <w:spacing w:val="-8"/>
          <w:w w:val="101"/>
        </w:rPr>
        <w:t>使用首次公开发行股票募集资金节余资金归还银行贷款的议案》、《关于使用闲置募集资金暂时补充流动资金的议案》、《关</w:t>
      </w:r>
      <w:r>
        <w:rPr>
          <w:spacing w:val="-53"/>
          <w:w w:val="101"/>
        </w:rPr>
        <w:t> </w:t>
      </w:r>
      <w:r>
        <w:rPr>
          <w:spacing w:val="-53"/>
          <w:w w:val="101"/>
        </w:rPr>
      </w:r>
      <w:r>
        <w:rPr>
          <w:spacing w:val="-4"/>
        </w:rPr>
        <w:t>于续聘瑞华会计师事务所审核意见》、《</w:t>
      </w:r>
      <w:r>
        <w:rPr>
          <w:rFonts w:ascii="宋体" w:hAnsi="宋体" w:cs="宋体" w:eastAsia="宋体" w:hint="default"/>
          <w:spacing w:val="-4"/>
        </w:rPr>
        <w:t>2017</w:t>
      </w:r>
      <w:r>
        <w:rPr>
          <w:spacing w:val="-4"/>
        </w:rPr>
        <w:t>年度内部审计工作总结》及《</w:t>
      </w:r>
      <w:r>
        <w:rPr>
          <w:rFonts w:ascii="宋体" w:hAnsi="宋体" w:cs="宋体" w:eastAsia="宋体" w:hint="default"/>
          <w:spacing w:val="-4"/>
        </w:rPr>
        <w:t>2018</w:t>
      </w:r>
      <w:r>
        <w:rPr>
          <w:spacing w:val="-4"/>
        </w:rPr>
        <w:t>年度内审部审计工作计划》、《</w:t>
      </w:r>
      <w:r>
        <w:rPr>
          <w:rFonts w:ascii="宋体" w:hAnsi="宋体" w:cs="宋体" w:eastAsia="宋体" w:hint="default"/>
          <w:spacing w:val="-4"/>
        </w:rPr>
        <w:t>2018</w:t>
      </w:r>
      <w:r>
        <w:rPr>
          <w:spacing w:val="-4"/>
        </w:rPr>
        <w:t>年度内</w:t>
      </w:r>
      <w:r>
        <w:rPr>
          <w:spacing w:val="64"/>
        </w:rPr>
        <w:t> </w:t>
      </w:r>
      <w:r>
        <w:rPr>
          <w:spacing w:val="64"/>
        </w:rPr>
      </w:r>
      <w:r>
        <w:rPr/>
        <w:t>审部审计工作计划》；</w:t>
      </w:r>
    </w:p>
    <w:p>
      <w:pPr>
        <w:pStyle w:val="BodyText"/>
        <w:spacing w:line="475" w:lineRule="auto" w:before="58"/>
        <w:ind w:right="1030" w:firstLine="360"/>
        <w:jc w:val="both"/>
      </w:pPr>
      <w:r>
        <w:rPr>
          <w:rFonts w:ascii="宋体" w:hAnsi="宋体" w:cs="宋体" w:eastAsia="宋体" w:hint="default"/>
          <w:spacing w:val="-4"/>
        </w:rPr>
        <w:t>2</w:t>
      </w:r>
      <w:r>
        <w:rPr>
          <w:spacing w:val="-4"/>
        </w:rPr>
        <w:t>）</w:t>
      </w:r>
      <w:r>
        <w:rPr>
          <w:rFonts w:ascii="宋体" w:hAnsi="宋体" w:cs="宋体" w:eastAsia="宋体" w:hint="default"/>
          <w:spacing w:val="-4"/>
        </w:rPr>
        <w:t>2018</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26</w:t>
      </w:r>
      <w:r>
        <w:rPr>
          <w:spacing w:val="-4"/>
        </w:rPr>
        <w:t>日，召开第四届审计委员会第四次会议，审议通过了公司《</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季度财务报表》、《</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季度募</w:t>
      </w:r>
      <w:r>
        <w:rPr>
          <w:w w:val="101"/>
        </w:rPr>
        <w:t> </w:t>
      </w:r>
      <w:r>
        <w:rPr>
          <w:spacing w:val="-4"/>
        </w:rPr>
        <w:t>集资金存放与使用情况专项报告》、《</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季度控股股东及其他关联方占用资金情况、公司对外担保事项的审计报告》、</w:t>
      </w:r>
    </w:p>
    <w:p>
      <w:pPr>
        <w:pStyle w:val="BodyText"/>
        <w:spacing w:line="475" w:lineRule="auto" w:before="59"/>
        <w:ind w:left="513" w:right="1055" w:hanging="360"/>
        <w:jc w:val="left"/>
        <w:rPr>
          <w:rFonts w:ascii="宋体" w:hAnsi="宋体" w:cs="宋体" w:eastAsia="宋体" w:hint="default"/>
        </w:rPr>
      </w:pPr>
      <w:r>
        <w:rPr/>
        <w:t>《</w:t>
      </w:r>
      <w:r>
        <w:rPr>
          <w:rFonts w:ascii="宋体" w:hAnsi="宋体" w:cs="宋体" w:eastAsia="宋体" w:hint="default"/>
        </w:rPr>
        <w:t>2018</w:t>
      </w:r>
      <w:r>
        <w:rPr/>
        <w:t>年</w:t>
      </w:r>
      <w:r>
        <w:rPr>
          <w:rFonts w:ascii="宋体" w:hAnsi="宋体" w:cs="宋体" w:eastAsia="宋体" w:hint="default"/>
        </w:rPr>
        <w:t>1</w:t>
      </w:r>
      <w:r>
        <w:rPr/>
        <w:t>季度内部审计工作总结》；</w:t>
      </w:r>
      <w:r>
        <w:rPr>
          <w:spacing w:val="-87"/>
        </w:rPr>
        <w:t> </w:t>
      </w:r>
      <w:r>
        <w:rPr>
          <w:spacing w:val="-87"/>
        </w:rPr>
      </w:r>
      <w:r>
        <w:rPr>
          <w:rFonts w:ascii="宋体" w:hAnsi="宋体" w:cs="宋体" w:eastAsia="宋体" w:hint="default"/>
          <w:spacing w:val="-3"/>
        </w:rPr>
        <w:t>3</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20</w:t>
      </w:r>
      <w:r>
        <w:rPr>
          <w:spacing w:val="-3"/>
        </w:rPr>
        <w:t>日，召开第四届审计委员会第五次会议，审议通过了公司《</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季度财务报表》、《关于</w:t>
      </w:r>
      <w:r>
        <w:rPr>
          <w:rFonts w:ascii="宋体" w:hAnsi="宋体" w:cs="宋体" w:eastAsia="宋体" w:hint="default"/>
          <w:spacing w:val="-3"/>
        </w:rPr>
        <w:t>2018</w:t>
      </w:r>
      <w:r>
        <w:rPr>
          <w:spacing w:val="-3"/>
        </w:rPr>
        <w:t>年</w:t>
      </w:r>
      <w:r>
        <w:rPr>
          <w:rFonts w:ascii="宋体" w:hAnsi="宋体" w:cs="宋体" w:eastAsia="宋体" w:hint="default"/>
          <w:spacing w:val="-3"/>
        </w:rPr>
        <w:t>2</w:t>
      </w:r>
    </w:p>
    <w:p>
      <w:pPr>
        <w:spacing w:after="0" w:line="475" w:lineRule="auto"/>
        <w:jc w:val="left"/>
        <w:rPr>
          <w:rFonts w:ascii="宋体" w:hAnsi="宋体" w:cs="宋体" w:eastAsia="宋体" w:hint="default"/>
        </w:rPr>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5" w:lineRule="auto" w:before="46"/>
        <w:ind w:right="1132"/>
        <w:jc w:val="both"/>
      </w:pPr>
      <w:r>
        <w:rPr>
          <w:spacing w:val="-3"/>
        </w:rPr>
        <w:t>季度募集资金的存放与使用情况的专项报告》、《</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季度控股股东及其他关联方占用资金情况、公司对外担保事项的</w:t>
      </w:r>
      <w:r>
        <w:rPr>
          <w:spacing w:val="76"/>
        </w:rPr>
        <w:t> </w:t>
      </w:r>
      <w:r>
        <w:rPr>
          <w:spacing w:val="76"/>
        </w:rPr>
      </w:r>
      <w:r>
        <w:rPr>
          <w:spacing w:val="-3"/>
        </w:rPr>
        <w:t>审计报告》、《</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季度货币资金的专项检查报告》、《</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季度内部审计工作总结》；</w:t>
      </w:r>
    </w:p>
    <w:p>
      <w:pPr>
        <w:pStyle w:val="BodyText"/>
        <w:spacing w:line="475" w:lineRule="auto" w:before="59"/>
        <w:ind w:right="1123" w:firstLine="360"/>
        <w:jc w:val="both"/>
      </w:pPr>
      <w:r>
        <w:rPr>
          <w:rFonts w:ascii="宋体" w:hAnsi="宋体" w:cs="宋体" w:eastAsia="宋体" w:hint="default"/>
          <w:spacing w:val="-3"/>
        </w:rPr>
        <w:t>4</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29</w:t>
      </w:r>
      <w:r>
        <w:rPr>
          <w:spacing w:val="-3"/>
        </w:rPr>
        <w:t>日，召开第四届审计委员会第六次会议，审议通过了公司《</w:t>
      </w:r>
      <w:r>
        <w:rPr>
          <w:rFonts w:ascii="宋体" w:hAnsi="宋体" w:cs="宋体" w:eastAsia="宋体" w:hint="default"/>
          <w:spacing w:val="-3"/>
        </w:rPr>
        <w:t>2018</w:t>
      </w:r>
      <w:r>
        <w:rPr>
          <w:spacing w:val="-3"/>
        </w:rPr>
        <w:t>年</w:t>
      </w:r>
      <w:r>
        <w:rPr>
          <w:rFonts w:ascii="宋体" w:hAnsi="宋体" w:cs="宋体" w:eastAsia="宋体" w:hint="default"/>
          <w:spacing w:val="-3"/>
        </w:rPr>
        <w:t>3</w:t>
      </w:r>
      <w:r>
        <w:rPr>
          <w:spacing w:val="-3"/>
        </w:rPr>
        <w:t>季度财务报表》、《关于</w:t>
      </w:r>
      <w:r>
        <w:rPr>
          <w:rFonts w:ascii="宋体" w:hAnsi="宋体" w:cs="宋体" w:eastAsia="宋体" w:hint="default"/>
          <w:spacing w:val="-3"/>
        </w:rPr>
        <w:t>2018</w:t>
      </w:r>
      <w:r>
        <w:rPr>
          <w:spacing w:val="-3"/>
        </w:rPr>
        <w:t>年</w:t>
      </w:r>
      <w:r>
        <w:rPr>
          <w:rFonts w:ascii="宋体" w:hAnsi="宋体" w:cs="宋体" w:eastAsia="宋体" w:hint="default"/>
          <w:spacing w:val="-3"/>
        </w:rPr>
        <w:t>3</w:t>
      </w:r>
      <w:r>
        <w:rPr>
          <w:rFonts w:ascii="宋体" w:hAnsi="宋体" w:cs="宋体" w:eastAsia="宋体" w:hint="default"/>
          <w:w w:val="101"/>
        </w:rPr>
        <w:t> </w:t>
      </w:r>
      <w:r>
        <w:rPr>
          <w:spacing w:val="-3"/>
        </w:rPr>
        <w:t>季度募集资金的存放与使用情况的专项报告》、《</w:t>
      </w:r>
      <w:r>
        <w:rPr>
          <w:rFonts w:ascii="宋体" w:hAnsi="宋体" w:cs="宋体" w:eastAsia="宋体" w:hint="default"/>
          <w:spacing w:val="-3"/>
        </w:rPr>
        <w:t>2018</w:t>
      </w:r>
      <w:r>
        <w:rPr>
          <w:spacing w:val="-3"/>
        </w:rPr>
        <w:t>年</w:t>
      </w:r>
      <w:r>
        <w:rPr>
          <w:rFonts w:ascii="宋体" w:hAnsi="宋体" w:cs="宋体" w:eastAsia="宋体" w:hint="default"/>
          <w:spacing w:val="-3"/>
        </w:rPr>
        <w:t>3</w:t>
      </w:r>
      <w:r>
        <w:rPr>
          <w:spacing w:val="-3"/>
        </w:rPr>
        <w:t>季度控股股东及其他关联方占用资金情况、公司对外担保事项的</w:t>
      </w:r>
      <w:r>
        <w:rPr>
          <w:spacing w:val="76"/>
        </w:rPr>
        <w:t> </w:t>
      </w:r>
      <w:r>
        <w:rPr>
          <w:spacing w:val="76"/>
        </w:rPr>
      </w:r>
      <w:r>
        <w:rPr>
          <w:spacing w:val="-4"/>
        </w:rPr>
        <w:t>审计报告》、《</w:t>
      </w:r>
      <w:r>
        <w:rPr>
          <w:rFonts w:ascii="宋体" w:hAnsi="宋体" w:cs="宋体" w:eastAsia="宋体" w:hint="default"/>
          <w:spacing w:val="-4"/>
        </w:rPr>
        <w:t>2018</w:t>
      </w:r>
      <w:r>
        <w:rPr>
          <w:spacing w:val="-4"/>
        </w:rPr>
        <w:t>年</w:t>
      </w:r>
      <w:r>
        <w:rPr>
          <w:rFonts w:ascii="宋体" w:hAnsi="宋体" w:cs="宋体" w:eastAsia="宋体" w:hint="default"/>
          <w:spacing w:val="-4"/>
        </w:rPr>
        <w:t>3</w:t>
      </w:r>
      <w:r>
        <w:rPr>
          <w:spacing w:val="-4"/>
        </w:rPr>
        <w:t>季度货币资金的专项检查报告》、《</w:t>
      </w:r>
      <w:r>
        <w:rPr>
          <w:rFonts w:ascii="宋体" w:hAnsi="宋体" w:cs="宋体" w:eastAsia="宋体" w:hint="default"/>
          <w:spacing w:val="-4"/>
        </w:rPr>
        <w:t>2018</w:t>
      </w:r>
      <w:r>
        <w:rPr>
          <w:spacing w:val="-4"/>
        </w:rPr>
        <w:t>年</w:t>
      </w:r>
      <w:r>
        <w:rPr>
          <w:rFonts w:ascii="宋体" w:hAnsi="宋体" w:cs="宋体" w:eastAsia="宋体" w:hint="default"/>
          <w:spacing w:val="-4"/>
        </w:rPr>
        <w:t>3</w:t>
      </w:r>
      <w:r>
        <w:rPr>
          <w:spacing w:val="-4"/>
        </w:rPr>
        <w:t>季度内部审计工作总结》、《聘任肖悦女士为公司内部</w:t>
      </w:r>
      <w:r>
        <w:rPr>
          <w:spacing w:val="59"/>
        </w:rPr>
        <w:t> </w:t>
      </w:r>
      <w:r>
        <w:rPr>
          <w:spacing w:val="59"/>
        </w:rPr>
      </w:r>
      <w:r>
        <w:rPr>
          <w:spacing w:val="-3"/>
        </w:rPr>
        <w:t>审计部负责人的议案》。</w:t>
      </w:r>
    </w:p>
    <w:p>
      <w:pPr>
        <w:pStyle w:val="BodyText"/>
        <w:spacing w:line="475" w:lineRule="auto" w:before="59"/>
        <w:ind w:left="513" w:right="5823"/>
        <w:jc w:val="left"/>
      </w:pPr>
      <w:r>
        <w:rPr>
          <w:spacing w:val="-2"/>
        </w:rPr>
        <w:t>（</w:t>
      </w:r>
      <w:r>
        <w:rPr>
          <w:rFonts w:ascii="宋体" w:hAnsi="宋体" w:cs="宋体" w:eastAsia="宋体" w:hint="default"/>
          <w:spacing w:val="-2"/>
        </w:rPr>
        <w:t>2</w:t>
      </w:r>
      <w:r>
        <w:rPr>
          <w:spacing w:val="-2"/>
        </w:rPr>
        <w:t>）对公司</w:t>
      </w:r>
      <w:r>
        <w:rPr>
          <w:rFonts w:ascii="宋体" w:hAnsi="宋体" w:cs="宋体" w:eastAsia="宋体" w:hint="default"/>
          <w:spacing w:val="-2"/>
        </w:rPr>
        <w:t>2018</w:t>
      </w:r>
      <w:r>
        <w:rPr>
          <w:spacing w:val="-2"/>
        </w:rPr>
        <w:t>年度财务报告审计的工作情况</w:t>
      </w:r>
      <w:r>
        <w:rPr>
          <w:spacing w:val="-41"/>
        </w:rPr>
        <w:t> </w:t>
      </w:r>
      <w:r>
        <w:rPr>
          <w:spacing w:val="-41"/>
        </w:rPr>
      </w:r>
      <w:r>
        <w:rPr>
          <w:rFonts w:ascii="宋体" w:hAnsi="宋体" w:cs="宋体" w:eastAsia="宋体" w:hint="default"/>
        </w:rPr>
        <w:t>1</w:t>
      </w:r>
      <w:r>
        <w:rPr/>
        <w:t>）确定总体审计计划</w:t>
      </w:r>
    </w:p>
    <w:p>
      <w:pPr>
        <w:pStyle w:val="BodyText"/>
        <w:spacing w:line="477" w:lineRule="auto" w:before="58"/>
        <w:ind w:right="1123" w:firstLine="360"/>
        <w:jc w:val="both"/>
      </w:pP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24</w:t>
      </w:r>
      <w:r>
        <w:rPr>
          <w:spacing w:val="-3"/>
        </w:rPr>
        <w:t>日，审计委员会组织公司内部审计部门与瑞华会计师事务所（特殊普通合伙），对</w:t>
      </w:r>
      <w:r>
        <w:rPr>
          <w:rFonts w:ascii="宋体" w:hAnsi="宋体" w:cs="宋体" w:eastAsia="宋体" w:hint="default"/>
          <w:spacing w:val="-3"/>
        </w:rPr>
        <w:t>2018</w:t>
      </w:r>
      <w:r>
        <w:rPr>
          <w:spacing w:val="-3"/>
        </w:rPr>
        <w:t>年年度报告中财务</w:t>
      </w:r>
      <w:r>
        <w:rPr>
          <w:w w:val="101"/>
        </w:rPr>
        <w:t> </w:t>
      </w:r>
      <w:r>
        <w:rPr>
          <w:spacing w:val="-4"/>
        </w:rPr>
        <w:t>报告及相关专项报告进行沟通交流，瑞华会计师事务所的会计师介绍了公司年度审计工作安排，确定了与治理层、管理层的</w:t>
      </w:r>
      <w:r>
        <w:rPr>
          <w:spacing w:val="45"/>
        </w:rPr>
        <w:t> </w:t>
      </w:r>
      <w:r>
        <w:rPr>
          <w:spacing w:val="45"/>
        </w:rPr>
      </w:r>
      <w:r>
        <w:rPr>
          <w:spacing w:val="-4"/>
        </w:rPr>
        <w:t>沟通时间安排，本次审计范围及时间安排，对公司及子公司的财务规范运作提出了相应的建议。审计委员会与瑞华会计师事</w:t>
      </w:r>
      <w:r>
        <w:rPr>
          <w:spacing w:val="43"/>
        </w:rPr>
        <w:t> </w:t>
      </w:r>
      <w:r>
        <w:rPr>
          <w:spacing w:val="43"/>
        </w:rPr>
      </w:r>
      <w:r>
        <w:rPr>
          <w:spacing w:val="-4"/>
        </w:rPr>
        <w:t>务所会计师就预审事项进行了沟通，确定了本次审计工作的重点，对审计报告的具体内容提出建议，并初步沟通了关键审计</w:t>
      </w:r>
      <w:r>
        <w:rPr>
          <w:spacing w:val="43"/>
        </w:rPr>
        <w:t> </w:t>
      </w:r>
      <w:r>
        <w:rPr>
          <w:spacing w:val="43"/>
        </w:rPr>
      </w:r>
      <w:r>
        <w:rPr/>
        <w:t>事项。</w:t>
      </w:r>
    </w:p>
    <w:p>
      <w:pPr>
        <w:pStyle w:val="BodyText"/>
        <w:spacing w:line="480" w:lineRule="auto" w:before="52"/>
        <w:ind w:left="513" w:right="1055"/>
        <w:jc w:val="left"/>
        <w:rPr>
          <w:rFonts w:ascii="宋体" w:hAnsi="宋体" w:cs="宋体" w:eastAsia="宋体" w:hint="default"/>
        </w:rPr>
      </w:pPr>
      <w:r>
        <w:rPr>
          <w:rFonts w:ascii="宋体" w:hAnsi="宋体" w:cs="宋体" w:eastAsia="宋体" w:hint="default"/>
        </w:rPr>
        <w:t>2</w:t>
      </w:r>
      <w:r>
        <w:rPr/>
        <w:t>）审核公司财务信息</w:t>
      </w:r>
      <w:r>
        <w:rPr>
          <w:spacing w:val="-88"/>
        </w:rPr>
        <w:t> </w:t>
      </w:r>
      <w:r>
        <w:rPr>
          <w:spacing w:val="-88"/>
        </w:rPr>
      </w:r>
      <w:r>
        <w:rPr>
          <w:spacing w:val="-4"/>
        </w:rPr>
        <w:t>报告期内，审计委员会召开的</w:t>
      </w:r>
      <w:r>
        <w:rPr>
          <w:rFonts w:ascii="宋体" w:hAnsi="宋体" w:cs="宋体" w:eastAsia="宋体" w:hint="default"/>
          <w:spacing w:val="-4"/>
        </w:rPr>
        <w:t>4</w:t>
      </w:r>
      <w:r>
        <w:rPr>
          <w:spacing w:val="-4"/>
        </w:rPr>
        <w:t>次会议分别审议通过了公司《</w:t>
      </w:r>
      <w:r>
        <w:rPr>
          <w:rFonts w:ascii="宋体" w:hAnsi="宋体" w:cs="宋体" w:eastAsia="宋体" w:hint="default"/>
          <w:spacing w:val="-4"/>
        </w:rPr>
        <w:t>2017</w:t>
      </w:r>
      <w:r>
        <w:rPr>
          <w:spacing w:val="-4"/>
        </w:rPr>
        <w:t>年度财务报表》、《</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季度财务报表》、《</w:t>
      </w:r>
      <w:r>
        <w:rPr>
          <w:rFonts w:ascii="宋体" w:hAnsi="宋体" w:cs="宋体" w:eastAsia="宋体" w:hint="default"/>
          <w:spacing w:val="-4"/>
        </w:rPr>
        <w:t>2018</w:t>
      </w:r>
    </w:p>
    <w:p>
      <w:pPr>
        <w:pStyle w:val="BodyText"/>
        <w:spacing w:line="477" w:lineRule="auto" w:before="50"/>
        <w:ind w:right="1123"/>
        <w:jc w:val="both"/>
      </w:pPr>
      <w:r>
        <w:rPr>
          <w:spacing w:val="-3"/>
        </w:rPr>
        <w:t>年半年度财务报表》、《</w:t>
      </w:r>
      <w:r>
        <w:rPr>
          <w:rFonts w:ascii="宋体" w:hAnsi="宋体" w:cs="宋体" w:eastAsia="宋体" w:hint="default"/>
          <w:spacing w:val="-3"/>
        </w:rPr>
        <w:t>2018</w:t>
      </w:r>
      <w:r>
        <w:rPr>
          <w:spacing w:val="-3"/>
        </w:rPr>
        <w:t>年</w:t>
      </w:r>
      <w:r>
        <w:rPr>
          <w:rFonts w:ascii="宋体" w:hAnsi="宋体" w:cs="宋体" w:eastAsia="宋体" w:hint="default"/>
          <w:spacing w:val="-3"/>
        </w:rPr>
        <w:t>3</w:t>
      </w:r>
      <w:r>
        <w:rPr>
          <w:spacing w:val="-3"/>
        </w:rPr>
        <w:t>季度财务报表》及募集资金存放及使用情况、控股股东及其他关联方占用资金情况、公司</w:t>
      </w:r>
      <w:r>
        <w:rPr>
          <w:spacing w:val="75"/>
        </w:rPr>
        <w:t> </w:t>
      </w:r>
      <w:r>
        <w:rPr>
          <w:spacing w:val="75"/>
        </w:rPr>
      </w:r>
      <w:r>
        <w:rPr>
          <w:spacing w:val="-4"/>
        </w:rPr>
        <w:t>对外担保事项等的专项报告，认为：公司财务报表依照公司会计政策编制、会计政策运用恰当，会计估计合理，符合新企业</w:t>
      </w:r>
      <w:r>
        <w:rPr>
          <w:spacing w:val="40"/>
        </w:rPr>
        <w:t> </w:t>
      </w:r>
      <w:r>
        <w:rPr>
          <w:spacing w:val="40"/>
        </w:rPr>
      </w:r>
      <w:r>
        <w:rPr>
          <w:spacing w:val="-3"/>
        </w:rPr>
        <w:t>会计准则及财政部发布的有关规定要求。</w:t>
      </w:r>
    </w:p>
    <w:p>
      <w:pPr>
        <w:pStyle w:val="BodyText"/>
        <w:spacing w:line="475" w:lineRule="auto" w:before="56"/>
        <w:ind w:left="513" w:right="1055"/>
        <w:jc w:val="left"/>
      </w:pPr>
      <w:r>
        <w:rPr>
          <w:rFonts w:ascii="宋体" w:hAnsi="宋体" w:cs="宋体" w:eastAsia="宋体" w:hint="default"/>
          <w:spacing w:val="-3"/>
        </w:rPr>
        <w:t>3</w:t>
      </w:r>
      <w:r>
        <w:rPr>
          <w:spacing w:val="-3"/>
        </w:rPr>
        <w:t>）监督公司的内部审计制度及其实施</w:t>
      </w:r>
      <w:r>
        <w:rPr>
          <w:spacing w:val="-35"/>
        </w:rPr>
        <w:t> </w:t>
      </w:r>
      <w:r>
        <w:rPr>
          <w:spacing w:val="-35"/>
        </w:rPr>
      </w:r>
      <w:r>
        <w:rPr>
          <w:spacing w:val="-5"/>
        </w:rPr>
        <w:t>报告期内，董事会审计委员会对公司内部控制制度进行检查和评估后，认为：公司现有的内部控制制度较为完善、合理</w:t>
      </w:r>
    </w:p>
    <w:p>
      <w:pPr>
        <w:pStyle w:val="BodyText"/>
        <w:spacing w:line="477" w:lineRule="auto" w:before="59"/>
        <w:ind w:right="1124"/>
        <w:jc w:val="both"/>
      </w:pPr>
      <w:r>
        <w:rPr>
          <w:spacing w:val="-4"/>
        </w:rPr>
        <w:t>及有效，基本符合我国有关法规和证券监管部门的要求和公司内部控制的设定与执行，符合目前公司经营实际情况需要，在</w:t>
      </w:r>
      <w:r>
        <w:rPr>
          <w:spacing w:val="43"/>
        </w:rPr>
        <w:t> </w:t>
      </w:r>
      <w:r>
        <w:rPr>
          <w:spacing w:val="43"/>
        </w:rPr>
      </w:r>
      <w:r>
        <w:rPr>
          <w:spacing w:val="-4"/>
        </w:rPr>
        <w:t>企业管理的关键环节发挥了较好的控制与防范作用。公司的内部控制在整体上是有效的，为公司防范风险、规范运作提供了</w:t>
      </w:r>
      <w:r>
        <w:rPr>
          <w:spacing w:val="43"/>
        </w:rPr>
        <w:t> </w:t>
      </w:r>
      <w:r>
        <w:rPr>
          <w:spacing w:val="43"/>
        </w:rPr>
      </w:r>
      <w:r>
        <w:rPr>
          <w:spacing w:val="-3"/>
        </w:rPr>
        <w:t>强有力的保障，推动公司稳健发展。</w:t>
      </w:r>
    </w:p>
    <w:p>
      <w:pPr>
        <w:pStyle w:val="BodyText"/>
        <w:spacing w:line="480" w:lineRule="auto" w:before="52"/>
        <w:ind w:left="513" w:right="1055"/>
        <w:jc w:val="left"/>
      </w:pPr>
      <w:r>
        <w:rPr>
          <w:rFonts w:ascii="宋体" w:hAnsi="宋体" w:cs="宋体" w:eastAsia="宋体" w:hint="default"/>
          <w:spacing w:val="-3"/>
        </w:rPr>
        <w:t>4</w:t>
      </w:r>
      <w:r>
        <w:rPr>
          <w:spacing w:val="-3"/>
        </w:rPr>
        <w:t>）对外部审计机构的工作进行评价</w:t>
      </w:r>
      <w:r>
        <w:rPr>
          <w:spacing w:val="-40"/>
        </w:rPr>
        <w:t> </w:t>
      </w:r>
      <w:r>
        <w:rPr>
          <w:spacing w:val="-40"/>
        </w:rPr>
      </w:r>
      <w:r>
        <w:rPr>
          <w:spacing w:val="-4"/>
        </w:rPr>
        <w:t>对瑞华会计师事务所（特殊普通合伙）在</w:t>
      </w:r>
      <w:r>
        <w:rPr>
          <w:rFonts w:ascii="宋体" w:hAnsi="宋体" w:cs="宋体" w:eastAsia="宋体" w:hint="default"/>
          <w:spacing w:val="-4"/>
        </w:rPr>
        <w:t>2018</w:t>
      </w:r>
      <w:r>
        <w:rPr>
          <w:spacing w:val="-4"/>
        </w:rPr>
        <w:t>年度对公司提供的审计服务进行评估，认为：瑞华会计师事务所（特殊普</w:t>
      </w:r>
    </w:p>
    <w:p>
      <w:pPr>
        <w:pStyle w:val="BodyText"/>
        <w:spacing w:line="480" w:lineRule="auto" w:before="50"/>
        <w:ind w:right="1126"/>
        <w:jc w:val="both"/>
      </w:pPr>
      <w:r>
        <w:rPr>
          <w:spacing w:val="-4"/>
        </w:rPr>
        <w:t>通合伙）在对公司</w:t>
      </w:r>
      <w:r>
        <w:rPr>
          <w:rFonts w:ascii="宋体" w:hAnsi="宋体" w:cs="宋体" w:eastAsia="宋体" w:hint="default"/>
          <w:spacing w:val="-4"/>
        </w:rPr>
        <w:t>2018</w:t>
      </w:r>
      <w:r>
        <w:rPr>
          <w:spacing w:val="-4"/>
        </w:rPr>
        <w:t>年度会计报表审计过程中尽职、尽责，按照中国注册会计师审计准则要求，按时完成了公司</w:t>
      </w:r>
      <w:r>
        <w:rPr>
          <w:rFonts w:ascii="宋体" w:hAnsi="宋体" w:cs="宋体" w:eastAsia="宋体" w:hint="default"/>
          <w:spacing w:val="-4"/>
        </w:rPr>
        <w:t>2018</w:t>
      </w:r>
      <w:r>
        <w:rPr>
          <w:spacing w:val="-4"/>
        </w:rPr>
        <w:t>年年</w:t>
      </w:r>
      <w:r>
        <w:rPr>
          <w:spacing w:val="52"/>
        </w:rPr>
        <w:t> </w:t>
      </w:r>
      <w:r>
        <w:rPr>
          <w:spacing w:val="-3"/>
        </w:rPr>
        <w:t>报审计工作，表现了良好的职业规范和精神，客观、公正的对公司会计报表发表了意见。</w:t>
      </w:r>
    </w:p>
    <w:p>
      <w:pPr>
        <w:pStyle w:val="BodyText"/>
        <w:spacing w:line="480" w:lineRule="auto" w:before="50"/>
        <w:ind w:left="513" w:right="1055"/>
        <w:jc w:val="left"/>
      </w:pPr>
      <w:r>
        <w:rPr>
          <w:rFonts w:ascii="宋体" w:hAnsi="宋体" w:cs="宋体" w:eastAsia="宋体" w:hint="default"/>
        </w:rPr>
        <w:t>2.</w:t>
      </w:r>
      <w:r>
        <w:rPr/>
        <w:t>薪酬与考核委员会</w:t>
      </w:r>
      <w:r>
        <w:rPr>
          <w:w w:val="101"/>
        </w:rPr>
        <w:t> </w:t>
      </w:r>
      <w:r>
        <w:rPr>
          <w:spacing w:val="-3"/>
        </w:rPr>
        <w:t>公司董事会薪酬与考核委员会由</w:t>
      </w:r>
      <w:r>
        <w:rPr>
          <w:rFonts w:ascii="宋体" w:hAnsi="宋体" w:cs="宋体" w:eastAsia="宋体" w:hint="default"/>
          <w:spacing w:val="-3"/>
        </w:rPr>
        <w:t>3</w:t>
      </w:r>
      <w:r>
        <w:rPr>
          <w:spacing w:val="-3"/>
        </w:rPr>
        <w:t>名董事组成，分别为郭斐、何剑、张学君，其中郭斐、何剑为独立董事，法律专业的</w:t>
      </w:r>
    </w:p>
    <w:p>
      <w:pPr>
        <w:pStyle w:val="BodyText"/>
        <w:spacing w:line="240" w:lineRule="auto" w:before="50"/>
        <w:ind w:right="0"/>
        <w:jc w:val="both"/>
      </w:pPr>
      <w:r>
        <w:rPr>
          <w:spacing w:val="-3"/>
        </w:rPr>
        <w:t>独立董事郭斐担任主任。</w:t>
      </w:r>
    </w:p>
    <w:p>
      <w:pPr>
        <w:spacing w:after="0" w:line="240" w:lineRule="auto"/>
        <w:jc w:val="both"/>
        <w:sectPr>
          <w:pgSz w:w="11910" w:h="16840"/>
          <w:pgMar w:header="871" w:footer="1186" w:top="1100" w:bottom="1380" w:left="980" w:right="0"/>
        </w:sectPr>
      </w:pPr>
    </w:p>
    <w:p>
      <w:pPr>
        <w:spacing w:line="240" w:lineRule="auto" w:before="1"/>
        <w:rPr>
          <w:rFonts w:ascii="宋体" w:hAnsi="宋体" w:cs="宋体" w:eastAsia="宋体" w:hint="default"/>
          <w:sz w:val="28"/>
          <w:szCs w:val="28"/>
        </w:rPr>
      </w:pPr>
    </w:p>
    <w:p>
      <w:pPr>
        <w:pStyle w:val="BodyText"/>
        <w:spacing w:line="477" w:lineRule="auto" w:before="46"/>
        <w:ind w:right="1124" w:firstLine="360"/>
        <w:jc w:val="both"/>
      </w:pPr>
      <w:r>
        <w:rPr>
          <w:spacing w:val="-5"/>
        </w:rPr>
        <w:t>薪酬与考核委员会严格遵照根据中国证监会、深圳证券交易所的有关规定及公司《薪酬与考核委员会工作细则》，切实</w:t>
      </w:r>
      <w:r>
        <w:rPr>
          <w:w w:val="101"/>
        </w:rPr>
        <w:t> </w:t>
      </w:r>
      <w:r>
        <w:rPr>
          <w:spacing w:val="-4"/>
        </w:rPr>
        <w:t>履行职责，主要负责制定公司董事及高级管理人员的考核标准并进行考核，制定、审查公司董事及高级管理人员的薪酬政策</w:t>
      </w:r>
      <w:r>
        <w:rPr>
          <w:spacing w:val="43"/>
        </w:rPr>
        <w:t> </w:t>
      </w:r>
      <w:r>
        <w:rPr>
          <w:spacing w:val="43"/>
        </w:rPr>
      </w:r>
      <w:r>
        <w:rPr>
          <w:spacing w:val="-3"/>
        </w:rPr>
        <w:t>与方案，并指导董事会完善公司薪酬体系。</w:t>
      </w:r>
    </w:p>
    <w:p>
      <w:pPr>
        <w:pStyle w:val="BodyText"/>
        <w:spacing w:line="480" w:lineRule="auto" w:before="52"/>
        <w:ind w:left="513" w:right="1055"/>
        <w:jc w:val="left"/>
      </w:pPr>
      <w:r>
        <w:rPr>
          <w:spacing w:val="-3"/>
        </w:rPr>
        <w:t>报告期内，薪酬与考核委员会共召开了</w:t>
      </w:r>
      <w:r>
        <w:rPr>
          <w:rFonts w:ascii="宋体" w:hAnsi="宋体" w:cs="宋体" w:eastAsia="宋体" w:hint="default"/>
          <w:spacing w:val="-3"/>
        </w:rPr>
        <w:t>1</w:t>
      </w:r>
      <w:r>
        <w:rPr>
          <w:spacing w:val="-3"/>
        </w:rPr>
        <w:t>次薪酬与考核委员会会议，具体情况如下：</w:t>
      </w:r>
      <w:r>
        <w:rPr>
          <w:spacing w:val="24"/>
        </w:rPr>
        <w:t> </w:t>
      </w:r>
      <w:r>
        <w:rPr>
          <w:spacing w:val="24"/>
        </w:rPr>
      </w:r>
      <w:r>
        <w:rPr>
          <w:rFonts w:ascii="宋体" w:hAnsi="宋体" w:cs="宋体" w:eastAsia="宋体" w:hint="default"/>
          <w:spacing w:val="-3"/>
        </w:rPr>
        <w:t>1.2018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23</w:t>
      </w:r>
      <w:r>
        <w:rPr>
          <w:spacing w:val="-3"/>
        </w:rPr>
        <w:t>日，在第四届董事会薪酬与考核委员会第二次会议上，审议通过了《关于公司高级管理人员</w:t>
      </w:r>
      <w:r>
        <w:rPr>
          <w:rFonts w:ascii="宋体" w:hAnsi="宋体" w:cs="宋体" w:eastAsia="宋体" w:hint="default"/>
          <w:spacing w:val="-3"/>
        </w:rPr>
        <w:t>2018</w:t>
      </w:r>
      <w:r>
        <w:rPr>
          <w:spacing w:val="-3"/>
        </w:rPr>
        <w:t>年度薪</w:t>
      </w:r>
    </w:p>
    <w:p>
      <w:pPr>
        <w:pStyle w:val="BodyText"/>
        <w:spacing w:line="240" w:lineRule="auto" w:before="50"/>
        <w:ind w:right="1055"/>
        <w:jc w:val="left"/>
      </w:pPr>
      <w:r>
        <w:rPr/>
        <w:t>酬的议案》。</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1055"/>
        <w:jc w:val="left"/>
        <w:rPr>
          <w:b w:val="0"/>
          <w:bCs w:val="0"/>
        </w:rPr>
      </w:pP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055"/>
        <w:jc w:val="left"/>
      </w:pPr>
      <w:r>
        <w:rPr>
          <w:spacing w:val="-3"/>
        </w:rPr>
        <w:t>监事会在报告期内的监督活动中发现公司是否存在风险</w:t>
      </w:r>
    </w:p>
    <w:p>
      <w:pPr>
        <w:pStyle w:val="BodyText"/>
        <w:spacing w:line="240" w:lineRule="auto" w:before="119"/>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13"/>
          <w:szCs w:val="13"/>
        </w:rPr>
      </w:pPr>
    </w:p>
    <w:p>
      <w:pPr>
        <w:pStyle w:val="BodyText"/>
        <w:spacing w:line="240" w:lineRule="auto"/>
        <w:ind w:left="513" w:right="1055"/>
        <w:jc w:val="left"/>
      </w:pPr>
      <w:r>
        <w:rPr>
          <w:spacing w:val="-3"/>
        </w:rPr>
        <w:t>公司监事会对报告期内的监督事项无异议。</w:t>
      </w:r>
    </w:p>
    <w:p>
      <w:pPr>
        <w:spacing w:line="240" w:lineRule="auto" w:before="0"/>
        <w:rPr>
          <w:rFonts w:ascii="宋体" w:hAnsi="宋体" w:cs="宋体" w:eastAsia="宋体" w:hint="default"/>
          <w:sz w:val="18"/>
          <w:szCs w:val="18"/>
        </w:rPr>
      </w:pPr>
    </w:p>
    <w:p>
      <w:pPr>
        <w:pStyle w:val="Heading2"/>
        <w:spacing w:line="240" w:lineRule="auto" w:before="159"/>
        <w:ind w:right="1055"/>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33"/>
          <w:szCs w:val="33"/>
        </w:rPr>
      </w:pPr>
    </w:p>
    <w:p>
      <w:pPr>
        <w:pStyle w:val="BodyText"/>
        <w:spacing w:line="477" w:lineRule="auto"/>
        <w:ind w:right="1121" w:firstLine="360"/>
        <w:jc w:val="both"/>
      </w:pPr>
      <w:r>
        <w:rPr>
          <w:spacing w:val="-5"/>
        </w:rPr>
        <w:t>根据《公司法》、公司《董事、监事和高级管理人员薪酬管理制度》的有关规定，结合公司实际经营情况及同行业整体</w:t>
      </w:r>
      <w:r>
        <w:rPr>
          <w:w w:val="101"/>
        </w:rPr>
        <w:t> </w:t>
      </w:r>
      <w:r>
        <w:rPr>
          <w:spacing w:val="-3"/>
        </w:rPr>
        <w:t>薪酬水平，经公司董事会薪酬与考核委员会提议，</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23</w:t>
      </w:r>
      <w:r>
        <w:rPr>
          <w:spacing w:val="-3"/>
        </w:rPr>
        <w:t>日第四届董事会第十次会议审议通过了《关于公司高级管理</w:t>
      </w:r>
      <w:r>
        <w:rPr>
          <w:spacing w:val="79"/>
        </w:rPr>
        <w:t> </w:t>
      </w:r>
      <w:r>
        <w:rPr>
          <w:spacing w:val="79"/>
        </w:rPr>
      </w:r>
      <w:r>
        <w:rPr>
          <w:spacing w:val="-4"/>
        </w:rPr>
        <w:t>人员</w:t>
      </w:r>
      <w:r>
        <w:rPr>
          <w:rFonts w:ascii="宋体" w:hAnsi="宋体" w:cs="宋体" w:eastAsia="宋体" w:hint="default"/>
          <w:spacing w:val="-4"/>
        </w:rPr>
        <w:t>2018</w:t>
      </w:r>
      <w:r>
        <w:rPr>
          <w:spacing w:val="-4"/>
        </w:rPr>
        <w:t>年度薪酬的议案》。公司高级管理人员的年薪分为基本年薪和绩效奖金两部分，基本年薪按照月度发放，绩效奖金</w:t>
      </w:r>
      <w:r>
        <w:rPr>
          <w:spacing w:val="48"/>
        </w:rPr>
        <w:t> </w:t>
      </w:r>
      <w:r>
        <w:rPr>
          <w:spacing w:val="48"/>
        </w:rPr>
      </w:r>
      <w:r>
        <w:rPr>
          <w:spacing w:val="-4"/>
        </w:rPr>
        <w:t>在次年发放。薪酬与考核委员会负责监督薪酬制度的执行情况，并审查高级管理人员的年度履职情况。公司建立了与现代企</w:t>
      </w:r>
      <w:r>
        <w:rPr>
          <w:spacing w:val="45"/>
        </w:rPr>
        <w:t> </w:t>
      </w:r>
      <w:r>
        <w:rPr>
          <w:spacing w:val="45"/>
        </w:rPr>
      </w:r>
      <w:r>
        <w:rPr>
          <w:spacing w:val="-4"/>
        </w:rPr>
        <w:t>业制度相适应的激励约束机制，积极调动高级管理人员的积极性、主动性和创造性。报告期内，公司高级管理人员积极落实</w:t>
      </w:r>
      <w:r>
        <w:rPr>
          <w:spacing w:val="40"/>
        </w:rPr>
        <w:t> </w:t>
      </w:r>
      <w:r>
        <w:rPr>
          <w:spacing w:val="40"/>
        </w:rPr>
      </w:r>
      <w:r>
        <w:rPr>
          <w:spacing w:val="-3"/>
        </w:rPr>
        <w:t>公司股东大会和董事会相关决议，认真履行职责。</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Heading2"/>
        <w:spacing w:line="240" w:lineRule="auto"/>
        <w:ind w:right="1055"/>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4"/>
        <w:gridCol w:w="6377"/>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95"/>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pStyle w:val="BodyText"/>
        <w:spacing w:line="240" w:lineRule="auto" w:before="46"/>
        <w:ind w:left="0" w:right="1151"/>
        <w:jc w:val="right"/>
      </w:pPr>
      <w:r>
        <w:rPr/>
        <w:pict>
          <v:shape style="position:absolute;margin-left:376.940002pt;margin-top:43.051716pt;width:158.25pt;height:206.95pt;mso-position-horizontal-relative:page;mso-position-vertical-relative:paragraph;z-index:-821104" type="#_x0000_t202" filled="false" stroked="false">
            <v:textbox inset="0,0,0,0">
              <w:txbxContent>
                <w:p>
                  <w:pPr>
                    <w:spacing w:line="240" w:lineRule="auto" w:before="3"/>
                    <w:rPr>
                      <w:rFonts w:ascii="宋体" w:hAnsi="宋体" w:cs="宋体" w:eastAsia="宋体" w:hint="default"/>
                      <w:sz w:val="16"/>
                      <w:szCs w:val="16"/>
                    </w:rPr>
                  </w:pPr>
                </w:p>
                <w:p>
                  <w:pPr>
                    <w:pStyle w:val="BodyText"/>
                    <w:spacing w:line="240" w:lineRule="auto"/>
                    <w:ind w:left="0" w:right="0"/>
                    <w:jc w:val="left"/>
                  </w:pPr>
                  <w:r>
                    <w:rPr>
                      <w:w w:val="101"/>
                    </w:rPr>
                    <w:t>；</w:t>
                  </w:r>
                  <w:r>
                    <w:rPr/>
                  </w:r>
                </w:p>
              </w:txbxContent>
            </v:textbox>
            <w10:wrap type="none"/>
          </v:shape>
        </w:pict>
      </w:r>
      <w:r>
        <w:rPr/>
        <w:pict>
          <v:shape style="position:absolute;margin-left:56.424pt;margin-top:-251.748291pt;width:480pt;height:582.6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7"/>
                    <w:gridCol w:w="3050"/>
                  </w:tblGrid>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8"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一、重大缺陷</w:t>
                        </w:r>
                        <w:r>
                          <w:rPr>
                            <w:rFonts w:ascii="宋体" w:hAnsi="宋体" w:cs="宋体" w:eastAsia="宋体" w:hint="default"/>
                            <w:spacing w:val="28"/>
                            <w:sz w:val="18"/>
                            <w:szCs w:val="18"/>
                          </w:rPr>
                          <w:t> </w:t>
                        </w:r>
                        <w:r>
                          <w:rPr>
                            <w:rFonts w:ascii="宋体" w:hAnsi="宋体" w:cs="宋体" w:eastAsia="宋体" w:hint="default"/>
                            <w:spacing w:val="-3"/>
                            <w:sz w:val="18"/>
                            <w:szCs w:val="18"/>
                          </w:rPr>
                          <w:t>董事、监事和高级管理人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员舞弊；对已经公告的财务报告出现的重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大差错进行错报更正；监管部门责令公司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对以前年度财务报告存在的差错进行改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正；</w:t>
                        </w:r>
                        <w:r>
                          <w:rPr>
                            <w:rFonts w:ascii="宋体" w:hAnsi="宋体" w:cs="宋体" w:eastAsia="宋体" w:hint="default"/>
                            <w:spacing w:val="-31"/>
                            <w:sz w:val="18"/>
                            <w:szCs w:val="18"/>
                          </w:rPr>
                          <w:t> </w:t>
                        </w:r>
                        <w:r>
                          <w:rPr>
                            <w:rFonts w:ascii="宋体" w:hAnsi="宋体" w:cs="宋体" w:eastAsia="宋体" w:hint="default"/>
                            <w:spacing w:val="-3"/>
                            <w:sz w:val="18"/>
                            <w:szCs w:val="18"/>
                          </w:rPr>
                          <w:t>注册会计师发现财务报告存在重大错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报，而内部控制在运行过程中未能发现该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错报；审计委员会以及内部审计部门对财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务报告内部控制监督无效。 </w:t>
                        </w:r>
                        <w:r>
                          <w:rPr>
                            <w:rFonts w:ascii="宋体" w:hAnsi="宋体" w:cs="宋体" w:eastAsia="宋体" w:hint="default"/>
                            <w:spacing w:val="-8"/>
                            <w:sz w:val="18"/>
                            <w:szCs w:val="18"/>
                          </w:rPr>
                          <w:t>二、重要缺陷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未依照公认会计准则选择和应用会计政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策；对于非常规或特殊交易的账务处理没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有建立相应的控制机制或没有实施且没有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相应的补偿性控制；对于期末财务报告过</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程的控制存在一项或多项缺陷且不能合理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保证编制的财务报表达到真实、准确的目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标。</w:t>
                        </w:r>
                        <w:r>
                          <w:rPr>
                            <w:rFonts w:ascii="宋体" w:hAnsi="宋体" w:cs="宋体" w:eastAsia="宋体" w:hint="default"/>
                            <w:spacing w:val="11"/>
                            <w:sz w:val="18"/>
                            <w:szCs w:val="18"/>
                          </w:rPr>
                          <w:t> </w:t>
                        </w:r>
                        <w:r>
                          <w:rPr>
                            <w:rFonts w:ascii="宋体" w:hAnsi="宋体" w:cs="宋体" w:eastAsia="宋体" w:hint="default"/>
                            <w:sz w:val="18"/>
                            <w:szCs w:val="18"/>
                          </w:rPr>
                          <w:t>三、一般缺陷</w:t>
                        </w:r>
                        <w:r>
                          <w:rPr>
                            <w:rFonts w:ascii="宋体" w:hAnsi="宋体" w:cs="宋体" w:eastAsia="宋体" w:hint="default"/>
                            <w:spacing w:val="11"/>
                            <w:sz w:val="18"/>
                            <w:szCs w:val="18"/>
                          </w:rPr>
                          <w:t> </w:t>
                        </w:r>
                        <w:r>
                          <w:rPr>
                            <w:rFonts w:ascii="宋体" w:hAnsi="宋体" w:cs="宋体" w:eastAsia="宋体" w:hint="default"/>
                            <w:spacing w:val="-3"/>
                            <w:sz w:val="18"/>
                            <w:szCs w:val="18"/>
                          </w:rPr>
                          <w:t>除上述重大缺陷、重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要缺陷之外的其他控制缺陷。</w:t>
                        </w:r>
                      </w:p>
                    </w:tc>
                    <w:tc>
                      <w:tcPr>
                        <w:tcW w:w="3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3"/>
                            <w:sz w:val="18"/>
                            <w:szCs w:val="18"/>
                          </w:rPr>
                          <w:t>非财务报告缺陷认定主要以缺陷对业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务流程有效性的影响程度、发生的可能</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性作判断：</w:t>
                        </w:r>
                        <w:r>
                          <w:rPr>
                            <w:rFonts w:ascii="宋体" w:hAnsi="宋体" w:cs="宋体" w:eastAsia="宋体" w:hint="default"/>
                            <w:spacing w:val="-28"/>
                            <w:sz w:val="18"/>
                            <w:szCs w:val="18"/>
                          </w:rPr>
                          <w:t> </w:t>
                        </w:r>
                        <w:r>
                          <w:rPr>
                            <w:rFonts w:ascii="宋体" w:hAnsi="宋体" w:cs="宋体" w:eastAsia="宋体" w:hint="default"/>
                            <w:spacing w:val="-8"/>
                            <w:sz w:val="18"/>
                            <w:szCs w:val="18"/>
                          </w:rPr>
                          <w:t>一、重大缺陷</w:t>
                        </w:r>
                        <w:r>
                          <w:rPr>
                            <w:rFonts w:ascii="宋体" w:hAnsi="宋体" w:cs="宋体" w:eastAsia="宋体" w:hint="default"/>
                            <w:spacing w:val="11"/>
                            <w:sz w:val="18"/>
                            <w:szCs w:val="18"/>
                          </w:rPr>
                          <w:t> </w:t>
                        </w:r>
                        <w:r>
                          <w:rPr>
                            <w:rFonts w:ascii="宋体" w:hAnsi="宋体" w:cs="宋体" w:eastAsia="宋体" w:hint="default"/>
                            <w:sz w:val="18"/>
                            <w:szCs w:val="18"/>
                          </w:rPr>
                          <w:t>如果缺陷发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w w:val="101"/>
                            <w:sz w:val="18"/>
                            <w:szCs w:val="18"/>
                          </w:rPr>
                          <w:t>生的可能性高，会严重降低工作效率或</w:t>
                        </w:r>
                        <w:r>
                          <w:rPr>
                            <w:rFonts w:ascii="宋体" w:hAnsi="宋体" w:cs="宋体" w:eastAsia="宋体" w:hint="default"/>
                            <w:w w:val="101"/>
                            <w:sz w:val="18"/>
                            <w:szCs w:val="18"/>
                          </w:rPr>
                          <w:t> </w:t>
                        </w:r>
                        <w:r>
                          <w:rPr>
                            <w:rFonts w:ascii="宋体" w:hAnsi="宋体" w:cs="宋体" w:eastAsia="宋体" w:hint="default"/>
                            <w:spacing w:val="-7"/>
                            <w:sz w:val="18"/>
                            <w:szCs w:val="18"/>
                          </w:rPr>
                          <w:t>效果、或严重加大效果的不确定性、或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使之严重偏离预期目标为重大缺陷。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二、重要缺陷如果缺陷发生的可能性较</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高，会显著降低工作效率或效果、或显</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著加大效果的不确定性、或使之显著偏</w:t>
                        </w:r>
                        <w:r>
                          <w:rPr>
                            <w:rFonts w:ascii="宋体" w:hAnsi="宋体" w:cs="宋体" w:eastAsia="宋体" w:hint="default"/>
                            <w:w w:val="101"/>
                            <w:sz w:val="18"/>
                            <w:szCs w:val="18"/>
                          </w:rPr>
                          <w:t> </w:t>
                        </w:r>
                        <w:r>
                          <w:rPr>
                            <w:rFonts w:ascii="宋体" w:hAnsi="宋体" w:cs="宋体" w:eastAsia="宋体" w:hint="default"/>
                            <w:spacing w:val="-7"/>
                            <w:sz w:val="18"/>
                            <w:szCs w:val="18"/>
                          </w:rPr>
                          <w:t>离预期目标为重要缺陷。三、一般缺陷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如果缺陷发生的可能性较小，会降低工</w:t>
                        </w:r>
                        <w:r>
                          <w:rPr>
                            <w:rFonts w:ascii="宋体" w:hAnsi="宋体" w:cs="宋体" w:eastAsia="宋体" w:hint="default"/>
                            <w:w w:val="101"/>
                            <w:sz w:val="18"/>
                            <w:szCs w:val="18"/>
                          </w:rPr>
                          <w:t> </w:t>
                        </w:r>
                        <w:r>
                          <w:rPr>
                            <w:rFonts w:ascii="宋体" w:hAnsi="宋体" w:cs="宋体" w:eastAsia="宋体" w:hint="default"/>
                            <w:spacing w:val="-3"/>
                            <w:sz w:val="18"/>
                            <w:szCs w:val="18"/>
                          </w:rPr>
                          <w:t>作效率或效果、或加大效果的不确定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性、或使之偏离预期目标为一般缺陷</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2343"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1877"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4" w:right="14"/>
                          <w:jc w:val="both"/>
                          <w:rPr>
                            <w:rFonts w:ascii="宋体" w:hAnsi="宋体" w:cs="宋体" w:eastAsia="宋体" w:hint="default"/>
                            <w:sz w:val="18"/>
                            <w:szCs w:val="18"/>
                          </w:rPr>
                        </w:pPr>
                        <w:r>
                          <w:rPr>
                            <w:rFonts w:ascii="宋体" w:hAnsi="宋体" w:cs="宋体" w:eastAsia="宋体" w:hint="default"/>
                            <w:sz w:val="18"/>
                            <w:szCs w:val="18"/>
                          </w:rPr>
                          <w:t>一、重大缺陷 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收入总额的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利</w:t>
                        </w:r>
                        <w:r>
                          <w:rPr>
                            <w:rFonts w:ascii="宋体" w:hAnsi="宋体" w:cs="宋体" w:eastAsia="宋体" w:hint="default"/>
                            <w:spacing w:val="-71"/>
                            <w:sz w:val="18"/>
                            <w:szCs w:val="18"/>
                          </w:rPr>
                          <w:t> </w:t>
                        </w:r>
                        <w:r>
                          <w:rPr>
                            <w:rFonts w:ascii="宋体" w:hAnsi="宋体" w:cs="宋体" w:eastAsia="宋体" w:hint="default"/>
                            <w:sz w:val="18"/>
                            <w:szCs w:val="18"/>
                          </w:rPr>
                          <w:t>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二、重要缺陷  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p>
                      <w:p>
                        <w:pPr>
                          <w:pStyle w:val="TableParagraph"/>
                          <w:spacing w:line="302" w:lineRule="auto" w:before="13"/>
                          <w:ind w:left="2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；收入总额的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收入总额的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；利润总额的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宋体" w:hAnsi="宋体" w:cs="宋体" w:eastAsia="宋体" w:hint="default"/>
                            <w:spacing w:val="-85"/>
                            <w:sz w:val="18"/>
                            <w:szCs w:val="18"/>
                          </w:rPr>
                          <w:t> </w:t>
                        </w:r>
                        <w:r>
                          <w:rPr>
                            <w:rFonts w:ascii="宋体" w:hAnsi="宋体" w:cs="宋体" w:eastAsia="宋体" w:hint="default"/>
                            <w:spacing w:val="-2"/>
                            <w:w w:val="101"/>
                            <w:sz w:val="18"/>
                            <w:szCs w:val="18"/>
                          </w:rPr>
                          <w:t>金额</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利润总额的</w:t>
                        </w:r>
                        <w:r>
                          <w:rPr>
                            <w:rFonts w:ascii="宋体" w:hAnsi="宋体" w:cs="宋体" w:eastAsia="宋体" w:hint="default"/>
                            <w:spacing w:val="-66"/>
                            <w:w w:val="101"/>
                            <w:sz w:val="18"/>
                            <w:szCs w:val="18"/>
                          </w:rPr>
                          <w:t> </w:t>
                        </w:r>
                        <w:r>
                          <w:rPr>
                            <w:rFonts w:ascii="Times New Roman" w:hAnsi="Times New Roman" w:cs="Times New Roman" w:eastAsia="Times New Roman" w:hint="default"/>
                            <w:spacing w:val="-12"/>
                            <w:w w:val="101"/>
                            <w:sz w:val="18"/>
                            <w:szCs w:val="18"/>
                          </w:rPr>
                          <w:t>5%</w:t>
                        </w:r>
                        <w:r>
                          <w:rPr>
                            <w:rFonts w:ascii="宋体" w:hAnsi="宋体" w:cs="宋体" w:eastAsia="宋体" w:hint="default"/>
                            <w:spacing w:val="-12"/>
                            <w:w w:val="101"/>
                            <w:sz w:val="18"/>
                            <w:szCs w:val="18"/>
                          </w:rPr>
                          <w:t>，且绝对金额超过</w:t>
                        </w:r>
                        <w:r>
                          <w:rPr>
                            <w:rFonts w:ascii="宋体" w:hAnsi="宋体" w:cs="宋体" w:eastAsia="宋体" w:hint="default"/>
                            <w:spacing w:val="-66"/>
                            <w:w w:val="101"/>
                            <w:sz w:val="18"/>
                            <w:szCs w:val="18"/>
                          </w:rPr>
                          <w:t> </w:t>
                        </w:r>
                        <w:r>
                          <w:rPr>
                            <w:rFonts w:ascii="Times New Roman" w:hAnsi="Times New Roman" w:cs="Times New Roman" w:eastAsia="Times New Roman" w:hint="default"/>
                            <w:w w:val="101"/>
                            <w:sz w:val="18"/>
                            <w:szCs w:val="18"/>
                          </w:rPr>
                          <w:t>300 </w:t>
                        </w:r>
                        <w:r>
                          <w:rPr>
                            <w:rFonts w:ascii="宋体" w:hAnsi="宋体" w:cs="宋体" w:eastAsia="宋体" w:hint="default"/>
                            <w:sz w:val="18"/>
                            <w:szCs w:val="18"/>
                          </w:rPr>
                          <w:t>万元。 三、一般缺陷 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2%&lt;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；收入总额的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，且绝对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3050" w:type="dxa"/>
                        <w:vMerge w:val="restart"/>
                        <w:tcBorders>
                          <w:top w:val="single" w:sz="4" w:space="0" w:color="000000"/>
                          <w:left w:val="single" w:sz="10" w:space="0" w:color="FFFFFF"/>
                          <w:right w:val="single" w:sz="10" w:space="0" w:color="FFFFFF"/>
                        </w:tcBorders>
                      </w:tcPr>
                      <w:p>
                        <w:pPr>
                          <w:pStyle w:val="TableParagraph"/>
                          <w:spacing w:line="312" w:lineRule="exact" w:before="14"/>
                          <w:ind w:left="16" w:right="34"/>
                          <w:jc w:val="left"/>
                          <w:rPr>
                            <w:rFonts w:ascii="宋体" w:hAnsi="宋体" w:cs="宋体" w:eastAsia="宋体" w:hint="default"/>
                            <w:sz w:val="18"/>
                            <w:szCs w:val="18"/>
                          </w:rPr>
                        </w:pPr>
                        <w:r>
                          <w:rPr>
                            <w:rFonts w:ascii="宋体" w:hAnsi="宋体" w:cs="宋体" w:eastAsia="宋体" w:hint="default"/>
                            <w:sz w:val="18"/>
                            <w:szCs w:val="18"/>
                          </w:rPr>
                          <w:t>一、重大缺陷 </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资产总额的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收入总额的</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利润总额的</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，且绝对金额超</w:t>
                        </w:r>
                      </w:p>
                      <w:p>
                        <w:pPr>
                          <w:pStyle w:val="TableParagraph"/>
                          <w:spacing w:line="78" w:lineRule="exact"/>
                          <w:ind w:left="-14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11" w:lineRule="exact"/>
                          <w:ind w:left="16" w:right="0"/>
                          <w:jc w:val="left"/>
                          <w:rPr>
                            <w:rFonts w:ascii="宋体" w:hAnsi="宋体" w:cs="宋体" w:eastAsia="宋体" w:hint="default"/>
                            <w:sz w:val="18"/>
                            <w:szCs w:val="18"/>
                          </w:rPr>
                        </w:pPr>
                        <w:r>
                          <w:rPr>
                            <w:rFonts w:ascii="宋体" w:hAnsi="宋体" w:cs="宋体" w:eastAsia="宋体" w:hint="default"/>
                            <w:sz w:val="18"/>
                            <w:szCs w:val="18"/>
                          </w:rPr>
                          <w:t>过 </w:t>
                        </w:r>
                        <w:r>
                          <w:rPr>
                            <w:rFonts w:ascii="Times New Roman" w:hAnsi="Times New Roman" w:cs="Times New Roman" w:eastAsia="Times New Roman" w:hint="default"/>
                            <w:sz w:val="18"/>
                            <w:szCs w:val="18"/>
                          </w:rPr>
                          <w:t>500 </w:t>
                        </w:r>
                        <w:r>
                          <w:rPr>
                            <w:rFonts w:ascii="宋体" w:hAnsi="宋体" w:cs="宋体" w:eastAsia="宋体" w:hint="default"/>
                            <w:spacing w:val="-10"/>
                            <w:sz w:val="18"/>
                            <w:szCs w:val="18"/>
                          </w:rPr>
                          <w:t>万元。二、重要缺陷 </w:t>
                        </w:r>
                        <w:r>
                          <w:rPr>
                            <w:rFonts w:ascii="宋体" w:hAnsi="宋体" w:cs="宋体" w:eastAsia="宋体" w:hint="default"/>
                            <w:spacing w:val="-8"/>
                            <w:sz w:val="18"/>
                            <w:szCs w:val="18"/>
                          </w:rPr>
                          <w:t> </w:t>
                        </w:r>
                        <w:r>
                          <w:rPr>
                            <w:rFonts w:ascii="宋体" w:hAnsi="宋体" w:cs="宋体" w:eastAsia="宋体" w:hint="default"/>
                            <w:sz w:val="18"/>
                            <w:szCs w:val="18"/>
                          </w:rPr>
                          <w:t>资产总额</w:t>
                        </w:r>
                      </w:p>
                      <w:p>
                        <w:pPr>
                          <w:pStyle w:val="TableParagraph"/>
                          <w:spacing w:line="302" w:lineRule="auto" w:before="63"/>
                          <w:ind w:left="16" w:right="5"/>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；收</w:t>
                        </w:r>
                        <w:r>
                          <w:rPr>
                            <w:rFonts w:ascii="宋体" w:hAnsi="宋体" w:cs="宋体" w:eastAsia="宋体" w:hint="default"/>
                            <w:spacing w:val="-87"/>
                            <w:sz w:val="18"/>
                            <w:szCs w:val="18"/>
                          </w:rPr>
                          <w:t> </w:t>
                        </w:r>
                        <w:r>
                          <w:rPr>
                            <w:rFonts w:ascii="宋体" w:hAnsi="宋体" w:cs="宋体" w:eastAsia="宋体" w:hint="default"/>
                            <w:sz w:val="18"/>
                            <w:szCs w:val="18"/>
                          </w:rPr>
                          <w:t>入总额的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收入总额的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；利润总额的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三、一般缺陷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；利润总额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，且</w:t>
                        </w:r>
                        <w:r>
                          <w:rPr>
                            <w:rFonts w:ascii="宋体" w:hAnsi="宋体" w:cs="宋体" w:eastAsia="宋体" w:hint="default"/>
                            <w:spacing w:val="-87"/>
                            <w:sz w:val="18"/>
                            <w:szCs w:val="18"/>
                          </w:rPr>
                          <w:t> </w:t>
                        </w:r>
                        <w:r>
                          <w:rPr>
                            <w:rFonts w:ascii="宋体" w:hAnsi="宋体" w:cs="宋体" w:eastAsia="宋体" w:hint="default"/>
                            <w:sz w:val="18"/>
                            <w:szCs w:val="18"/>
                          </w:rPr>
                          <w:t>绝对金额超过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10" w:space="0" w:color="FFFFFF"/>
                        </w:tcBorders>
                      </w:tcPr>
                      <w:p>
                        <w:pPr/>
                      </w:p>
                    </w:tc>
                    <w:tc>
                      <w:tcPr>
                        <w:tcW w:w="3050" w:type="dxa"/>
                        <w:vMerge/>
                        <w:tcBorders>
                          <w:left w:val="single" w:sz="10" w:space="0" w:color="FFFFFF"/>
                          <w:right w:val="single" w:sz="10" w:space="0" w:color="FFFFFF"/>
                        </w:tcBorders>
                      </w:tcPr>
                      <w:p>
                        <w:pPr/>
                      </w:p>
                    </w:tc>
                  </w:tr>
                  <w:tr>
                    <w:trPr>
                      <w:trHeight w:val="1877"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0" w:type="dxa"/>
                        <w:vMerge/>
                        <w:tcBorders>
                          <w:left w:val="single" w:sz="10" w:space="0" w:color="FFFFFF"/>
                          <w:bottom w:val="single" w:sz="4" w:space="0" w:color="000000"/>
                          <w:right w:val="single" w:sz="10" w:space="0" w:color="FFFFFF"/>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624" w:lineRule="exact"/>
        <w:ind w:left="670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5pt;height:31.2pt;mso-position-horizontal-relative:char;mso-position-vertical-relative:line" coordorigin="0,0" coordsize="2997,624">
            <v:group style="position:absolute;left:0;top:0;width:2997;height:312" coordorigin="0,0" coordsize="2997,312">
              <v:shape style="position:absolute;left:0;top:0;width:2997;height:312" coordorigin="0,0" coordsize="2997,312" path="m0,312l2997,312,2997,0,0,0,0,312xe" filled="true" fillcolor="#ffffff" stroked="false">
                <v:path arrowok="t"/>
                <v:fill type="solid"/>
              </v:shape>
            </v:group>
            <v:group style="position:absolute;left:0;top:312;width:2997;height:312" coordorigin="0,312" coordsize="2997,312">
              <v:shape style="position:absolute;left:0;top:312;width:2997;height:312" coordorigin="0,312" coordsize="2997,312" path="m0,624l2997,624,2997,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2"/>
        <w:spacing w:line="240" w:lineRule="auto" w:before="26"/>
        <w:ind w:right="1055"/>
        <w:jc w:val="left"/>
        <w:rPr>
          <w:b w:val="0"/>
          <w:bCs w:val="0"/>
        </w:rPr>
      </w:pPr>
      <w:r>
        <w:rPr/>
        <w:t>十、内部控制审计报告或鉴证报告</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left="513" w:right="1055"/>
        <w:jc w:val="left"/>
      </w:pPr>
      <w:r>
        <w:rPr/>
        <w:t>不适用</w:t>
      </w:r>
    </w:p>
    <w:p>
      <w:pPr>
        <w:spacing w:after="0" w:line="240"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125" w:right="1055"/>
        <w:jc w:val="left"/>
        <w:rPr>
          <w:b w:val="0"/>
          <w:bCs w:val="0"/>
        </w:rPr>
      </w:pPr>
      <w:bookmarkStart w:name="_bookmark8" w:id="9"/>
      <w:bookmarkEnd w:id="9"/>
      <w:r>
        <w:rPr>
          <w:b w:val="0"/>
          <w:bCs w:val="0"/>
        </w:rPr>
      </w:r>
      <w:r>
        <w:rPr/>
        <w:t>第十节 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434" w:lineRule="auto"/>
        <w:ind w:left="513" w:right="2115" w:hanging="360"/>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434" w:lineRule="auto"/>
        <w:jc w:val="left"/>
        <w:sectPr>
          <w:pgSz w:w="11910" w:h="16840"/>
          <w:pgMar w:header="871" w:footer="1186" w:top="1100" w:bottom="138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606" w:right="1055"/>
        <w:jc w:val="left"/>
        <w:rPr>
          <w:b w:val="0"/>
          <w:bCs w:val="0"/>
        </w:rPr>
      </w:pPr>
      <w:bookmarkStart w:name="_bookmark9" w:id="10"/>
      <w:bookmarkEnd w:id="10"/>
      <w:r>
        <w:rPr>
          <w:b w:val="0"/>
          <w:bCs w:val="0"/>
        </w:rPr>
      </w:r>
      <w:r>
        <w:rPr/>
        <w:t>第十一节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2"/>
        <w:spacing w:line="240" w:lineRule="auto" w:before="26"/>
        <w:ind w:right="1055"/>
        <w:jc w:val="left"/>
        <w:rPr>
          <w:b w:val="0"/>
          <w:bCs w:val="0"/>
        </w:rPr>
      </w:pP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48140022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张翎、昝丽涛</w:t>
            </w:r>
          </w:p>
        </w:tc>
      </w:tr>
    </w:tbl>
    <w:p>
      <w:pPr>
        <w:spacing w:line="240" w:lineRule="auto" w:before="13"/>
        <w:rPr>
          <w:rFonts w:ascii="宋体" w:hAnsi="宋体" w:cs="宋体" w:eastAsia="宋体" w:hint="default"/>
          <w:b/>
          <w:bCs/>
          <w:sz w:val="15"/>
          <w:szCs w:val="15"/>
        </w:rPr>
      </w:pPr>
    </w:p>
    <w:p>
      <w:pPr>
        <w:pStyle w:val="BodyText"/>
        <w:spacing w:line="240" w:lineRule="auto" w:before="46"/>
        <w:ind w:left="497" w:right="1470"/>
        <w:jc w:val="center"/>
      </w:pPr>
      <w:r>
        <w:rPr/>
        <w:t>审计报告正文</w:t>
      </w:r>
    </w:p>
    <w:p>
      <w:pPr>
        <w:pStyle w:val="BodyText"/>
        <w:spacing w:line="240" w:lineRule="auto" w:before="38"/>
        <w:ind w:left="513" w:right="1055"/>
        <w:jc w:val="left"/>
      </w:pPr>
      <w:r>
        <w:rPr>
          <w:spacing w:val="-3"/>
        </w:rPr>
        <w:t>深圳市银之杰科技股份有限公司全体股东：</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357" w:lineRule="auto"/>
        <w:ind w:left="513" w:right="1055"/>
        <w:jc w:val="left"/>
      </w:pPr>
      <w:r>
        <w:rPr/>
        <w:t>一、审计意见</w:t>
      </w:r>
      <w:r>
        <w:rPr>
          <w:spacing w:val="-86"/>
        </w:rPr>
        <w:t> </w:t>
      </w:r>
      <w:r>
        <w:rPr>
          <w:spacing w:val="-86"/>
        </w:rPr>
      </w:r>
      <w:r>
        <w:rPr>
          <w:spacing w:val="-4"/>
        </w:rPr>
        <w:t>我们审计了深圳市银之杰科技股份有限公司（以下简称“银之杰公司”）财务报表，包括</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日的合并及公司</w:t>
      </w:r>
    </w:p>
    <w:p>
      <w:pPr>
        <w:pStyle w:val="BodyText"/>
        <w:spacing w:line="357" w:lineRule="auto" w:before="26"/>
        <w:ind w:left="513" w:right="1055" w:hanging="360"/>
        <w:jc w:val="left"/>
      </w:pPr>
      <w:r>
        <w:rPr>
          <w:spacing w:val="-3"/>
        </w:rPr>
        <w:t>资产负债表，</w:t>
      </w:r>
      <w:r>
        <w:rPr>
          <w:rFonts w:ascii="宋体" w:hAnsi="宋体" w:cs="宋体" w:eastAsia="宋体" w:hint="default"/>
          <w:spacing w:val="-3"/>
        </w:rPr>
        <w:t>2018</w:t>
      </w:r>
      <w:r>
        <w:rPr>
          <w:spacing w:val="-3"/>
        </w:rPr>
        <w:t>年度的合并及公司利润表、合并及公司现金流量表、合并及公司股东权益变动表以及相关财务报表附注。</w:t>
      </w:r>
      <w:r>
        <w:rPr>
          <w:spacing w:val="72"/>
        </w:rPr>
        <w:t> </w:t>
      </w:r>
      <w:r>
        <w:rPr>
          <w:spacing w:val="72"/>
        </w:rPr>
      </w:r>
      <w:r>
        <w:rPr>
          <w:spacing w:val="-4"/>
        </w:rPr>
        <w:t>我们认为，后附的财务报表在所有重大方面按照企业会计准则的规定编制，公允反映了银之杰公司</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日合并</w:t>
      </w:r>
    </w:p>
    <w:p>
      <w:pPr>
        <w:pStyle w:val="BodyText"/>
        <w:spacing w:line="352" w:lineRule="auto" w:before="26"/>
        <w:ind w:left="513" w:right="3882" w:hanging="360"/>
        <w:jc w:val="left"/>
      </w:pPr>
      <w:r>
        <w:rPr>
          <w:spacing w:val="-3"/>
        </w:rPr>
        <w:t>及公司的财务状况以及</w:t>
      </w:r>
      <w:r>
        <w:rPr>
          <w:rFonts w:ascii="宋体" w:hAnsi="宋体" w:cs="宋体" w:eastAsia="宋体" w:hint="default"/>
          <w:spacing w:val="-3"/>
        </w:rPr>
        <w:t>2018</w:t>
      </w:r>
      <w:r>
        <w:rPr>
          <w:spacing w:val="-3"/>
        </w:rPr>
        <w:t>年度合并及公司的经营成果和现金流量。</w:t>
      </w:r>
      <w:r>
        <w:rPr>
          <w:spacing w:val="3"/>
        </w:rPr>
        <w:t> </w:t>
      </w:r>
      <w:r>
        <w:rPr>
          <w:spacing w:val="3"/>
        </w:rPr>
      </w:r>
      <w:r>
        <w:rPr>
          <w:spacing w:val="-3"/>
        </w:rPr>
        <w:t>二、形成审计意见的基础</w:t>
      </w:r>
    </w:p>
    <w:p>
      <w:pPr>
        <w:pStyle w:val="BodyText"/>
        <w:spacing w:line="357" w:lineRule="auto" w:before="30"/>
        <w:ind w:right="1124" w:firstLine="360"/>
        <w:jc w:val="both"/>
      </w:pPr>
      <w:r>
        <w:rPr>
          <w:spacing w:val="-4"/>
        </w:rPr>
        <w:t>我们按照中国注册会计师审计准则的规定执行了审计工作。审计报告的“注册会计师对财务报表审计的责任”部分进一</w:t>
      </w:r>
      <w:r>
        <w:rPr>
          <w:w w:val="101"/>
        </w:rPr>
        <w:t> </w:t>
      </w:r>
      <w:r>
        <w:rPr>
          <w:spacing w:val="-4"/>
        </w:rPr>
        <w:t>步阐述了我们在这些准则下的责任。按照中国注册会计师职业道德守则，我们独立于银之杰公司，并履行了职业道德方面的</w:t>
      </w:r>
      <w:r>
        <w:rPr>
          <w:spacing w:val="43"/>
        </w:rPr>
        <w:t> </w:t>
      </w:r>
      <w:r>
        <w:rPr>
          <w:spacing w:val="43"/>
        </w:rPr>
      </w:r>
      <w:r>
        <w:rPr>
          <w:spacing w:val="-3"/>
        </w:rPr>
        <w:t>其他责任。我们相信，我们获取的审计证据是充分、适当的，为发表审计意见提供了基础。</w:t>
      </w:r>
    </w:p>
    <w:p>
      <w:pPr>
        <w:pStyle w:val="BodyText"/>
        <w:spacing w:line="357" w:lineRule="auto" w:before="26"/>
        <w:ind w:left="513" w:right="1055"/>
        <w:jc w:val="left"/>
      </w:pPr>
      <w:r>
        <w:rPr/>
        <w:t>三、关键审计事项</w:t>
      </w:r>
      <w:r>
        <w:rPr>
          <w:spacing w:val="-86"/>
        </w:rPr>
        <w:t> </w:t>
      </w:r>
      <w:r>
        <w:rPr>
          <w:spacing w:val="-86"/>
        </w:rPr>
      </w:r>
      <w:r>
        <w:rPr>
          <w:spacing w:val="-4"/>
        </w:rPr>
        <w:t>关键审计事项是我们根据职业判断，认为对本期财务报表审计最为重要的事项。这些事项的应对以对财务报表整体进行</w:t>
      </w:r>
    </w:p>
    <w:p>
      <w:pPr>
        <w:pStyle w:val="BodyText"/>
        <w:spacing w:line="240" w:lineRule="auto" w:before="26"/>
        <w:ind w:right="0"/>
        <w:jc w:val="left"/>
      </w:pPr>
      <w:r>
        <w:rPr>
          <w:w w:val="101"/>
        </w:rPr>
        <w:t>审</w:t>
      </w:r>
      <w:r>
        <w:rPr>
          <w:spacing w:val="-5"/>
          <w:w w:val="101"/>
        </w:rPr>
        <w:t>计</w:t>
      </w:r>
      <w:r>
        <w:rPr>
          <w:w w:val="101"/>
        </w:rPr>
        <w:t>并</w:t>
      </w:r>
      <w:r>
        <w:rPr>
          <w:spacing w:val="-5"/>
          <w:w w:val="101"/>
        </w:rPr>
        <w:t>形</w:t>
      </w:r>
      <w:r>
        <w:rPr>
          <w:w w:val="101"/>
        </w:rPr>
        <w:t>成</w:t>
      </w:r>
      <w:r>
        <w:rPr>
          <w:spacing w:val="-5"/>
          <w:w w:val="101"/>
        </w:rPr>
        <w:t>审</w:t>
      </w:r>
      <w:r>
        <w:rPr>
          <w:w w:val="101"/>
        </w:rPr>
        <w:t>计</w:t>
      </w:r>
      <w:r>
        <w:rPr>
          <w:spacing w:val="-5"/>
          <w:w w:val="101"/>
        </w:rPr>
        <w:t>意</w:t>
      </w:r>
      <w:r>
        <w:rPr>
          <w:w w:val="101"/>
        </w:rPr>
        <w:t>见</w:t>
      </w:r>
      <w:r>
        <w:rPr>
          <w:spacing w:val="-5"/>
          <w:w w:val="101"/>
        </w:rPr>
        <w:t>为</w:t>
      </w:r>
      <w:r>
        <w:rPr>
          <w:w w:val="101"/>
        </w:rPr>
        <w:t>背景</w:t>
      </w:r>
      <w:r>
        <w:rPr>
          <w:spacing w:val="-92"/>
          <w:w w:val="101"/>
        </w:rPr>
        <w:t>，</w:t>
      </w:r>
      <w:r>
        <w:rPr>
          <w:spacing w:val="-5"/>
          <w:w w:val="101"/>
        </w:rPr>
        <w:t>我</w:t>
      </w:r>
      <w:r>
        <w:rPr>
          <w:w w:val="101"/>
        </w:rPr>
        <w:t>们</w:t>
      </w:r>
      <w:r>
        <w:rPr>
          <w:spacing w:val="-5"/>
          <w:w w:val="101"/>
        </w:rPr>
        <w:t>不</w:t>
      </w:r>
      <w:r>
        <w:rPr>
          <w:w w:val="101"/>
        </w:rPr>
        <w:t>对</w:t>
      </w:r>
      <w:r>
        <w:rPr>
          <w:spacing w:val="-5"/>
          <w:w w:val="101"/>
        </w:rPr>
        <w:t>这</w:t>
      </w:r>
      <w:r>
        <w:rPr>
          <w:w w:val="101"/>
        </w:rPr>
        <w:t>些</w:t>
      </w:r>
      <w:r>
        <w:rPr>
          <w:spacing w:val="-5"/>
          <w:w w:val="101"/>
        </w:rPr>
        <w:t>事</w:t>
      </w:r>
      <w:r>
        <w:rPr>
          <w:spacing w:val="1"/>
          <w:w w:val="101"/>
        </w:rPr>
        <w:t>项</w:t>
      </w:r>
      <w:r>
        <w:rPr>
          <w:spacing w:val="-5"/>
          <w:w w:val="101"/>
        </w:rPr>
        <w:t>单</w:t>
      </w:r>
      <w:r>
        <w:rPr>
          <w:w w:val="101"/>
        </w:rPr>
        <w:t>独</w:t>
      </w:r>
      <w:r>
        <w:rPr>
          <w:spacing w:val="-5"/>
          <w:w w:val="101"/>
        </w:rPr>
        <w:t>发</w:t>
      </w:r>
      <w:r>
        <w:rPr>
          <w:w w:val="101"/>
        </w:rPr>
        <w:t>表</w:t>
      </w:r>
      <w:r>
        <w:rPr>
          <w:spacing w:val="-5"/>
          <w:w w:val="101"/>
        </w:rPr>
        <w:t>意</w:t>
      </w:r>
      <w:r>
        <w:rPr>
          <w:w w:val="101"/>
        </w:rPr>
        <w:t>见</w:t>
      </w:r>
      <w:r>
        <w:rPr>
          <w:spacing w:val="-92"/>
          <w:w w:val="101"/>
        </w:rPr>
        <w:t>。</w:t>
      </w:r>
      <w:r>
        <w:rPr>
          <w:w w:val="101"/>
        </w:rPr>
        <w:t>我</w:t>
      </w:r>
      <w:r>
        <w:rPr>
          <w:spacing w:val="-5"/>
          <w:w w:val="101"/>
        </w:rPr>
        <w:t>们</w:t>
      </w:r>
      <w:r>
        <w:rPr>
          <w:w w:val="101"/>
        </w:rPr>
        <w:t>确</w:t>
      </w:r>
      <w:r>
        <w:rPr>
          <w:spacing w:val="-5"/>
          <w:w w:val="101"/>
        </w:rPr>
        <w:t>定</w:t>
      </w:r>
      <w:r>
        <w:rPr>
          <w:w w:val="101"/>
        </w:rPr>
        <w:t>下</w:t>
      </w:r>
      <w:r>
        <w:rPr>
          <w:spacing w:val="-5"/>
          <w:w w:val="101"/>
        </w:rPr>
        <w:t>列</w:t>
      </w:r>
      <w:r>
        <w:rPr>
          <w:w w:val="101"/>
        </w:rPr>
        <w:t>事</w:t>
      </w:r>
      <w:r>
        <w:rPr>
          <w:spacing w:val="-5"/>
          <w:w w:val="101"/>
        </w:rPr>
        <w:t>项</w:t>
      </w:r>
      <w:r>
        <w:rPr>
          <w:w w:val="101"/>
        </w:rPr>
        <w:t>是</w:t>
      </w:r>
      <w:r>
        <w:rPr>
          <w:spacing w:val="-5"/>
          <w:w w:val="101"/>
        </w:rPr>
        <w:t>需</w:t>
      </w:r>
      <w:r>
        <w:rPr>
          <w:w w:val="101"/>
        </w:rPr>
        <w:t>要</w:t>
      </w:r>
      <w:r>
        <w:rPr>
          <w:spacing w:val="-5"/>
          <w:w w:val="101"/>
        </w:rPr>
        <w:t>在</w:t>
      </w:r>
      <w:r>
        <w:rPr>
          <w:w w:val="101"/>
        </w:rPr>
        <w:t>审</w:t>
      </w:r>
      <w:r>
        <w:rPr>
          <w:spacing w:val="-5"/>
          <w:w w:val="101"/>
        </w:rPr>
        <w:t>计</w:t>
      </w:r>
      <w:r>
        <w:rPr>
          <w:w w:val="101"/>
        </w:rPr>
        <w:t>报</w:t>
      </w:r>
      <w:r>
        <w:rPr>
          <w:spacing w:val="-5"/>
          <w:w w:val="101"/>
        </w:rPr>
        <w:t>告</w:t>
      </w:r>
      <w:r>
        <w:rPr>
          <w:w w:val="101"/>
        </w:rPr>
        <w:t>中</w:t>
      </w:r>
      <w:r>
        <w:rPr>
          <w:spacing w:val="-5"/>
          <w:w w:val="101"/>
        </w:rPr>
        <w:t>沟</w:t>
      </w:r>
      <w:r>
        <w:rPr>
          <w:w w:val="101"/>
        </w:rPr>
        <w:t>通</w:t>
      </w:r>
      <w:r>
        <w:rPr>
          <w:spacing w:val="-5"/>
          <w:w w:val="101"/>
        </w:rPr>
        <w:t>的</w:t>
      </w:r>
      <w:r>
        <w:rPr>
          <w:w w:val="101"/>
        </w:rPr>
        <w:t>关</w:t>
      </w:r>
      <w:r>
        <w:rPr>
          <w:spacing w:val="-5"/>
          <w:w w:val="101"/>
        </w:rPr>
        <w:t>键</w:t>
      </w:r>
      <w:r>
        <w:rPr>
          <w:w w:val="101"/>
        </w:rPr>
        <w:t>审</w:t>
      </w:r>
      <w:r>
        <w:rPr>
          <w:spacing w:val="-5"/>
          <w:w w:val="101"/>
        </w:rPr>
        <w:t>计</w:t>
      </w:r>
      <w:r>
        <w:rPr>
          <w:w w:val="101"/>
        </w:rPr>
        <w:t>事项。</w:t>
      </w:r>
      <w:r>
        <w:rPr/>
      </w:r>
    </w:p>
    <w:p>
      <w:pPr>
        <w:pStyle w:val="BodyText"/>
        <w:spacing w:line="357" w:lineRule="auto" w:before="115"/>
        <w:ind w:left="513" w:right="8420"/>
        <w:jc w:val="left"/>
      </w:pPr>
      <w:r>
        <w:rPr>
          <w:spacing w:val="-3"/>
        </w:rPr>
        <w:t>（一）收入确认</w:t>
      </w:r>
      <w:r>
        <w:rPr>
          <w:spacing w:val="-68"/>
        </w:rPr>
        <w:t> </w:t>
      </w:r>
      <w:r>
        <w:rPr>
          <w:spacing w:val="-68"/>
        </w:rPr>
      </w:r>
      <w:r>
        <w:rPr>
          <w:rFonts w:ascii="宋体" w:hAnsi="宋体" w:cs="宋体" w:eastAsia="宋体" w:hint="default"/>
        </w:rPr>
        <w:t>1</w:t>
      </w:r>
      <w:r>
        <w:rPr/>
        <w:t>、事项描述</w:t>
      </w:r>
    </w:p>
    <w:p>
      <w:pPr>
        <w:pStyle w:val="BodyText"/>
        <w:spacing w:line="357" w:lineRule="auto" w:before="26"/>
        <w:ind w:right="1055" w:firstLine="360"/>
        <w:jc w:val="left"/>
      </w:pPr>
      <w:r>
        <w:rPr>
          <w:spacing w:val="-3"/>
        </w:rPr>
        <w:t>银之杰公司主要从事包括金融信息化服务、移动信息服务、电子商务三大业务。如财务报告附注四、</w:t>
      </w:r>
      <w:r>
        <w:rPr>
          <w:rFonts w:ascii="宋体" w:hAnsi="宋体" w:cs="宋体" w:eastAsia="宋体" w:hint="default"/>
          <w:spacing w:val="-3"/>
        </w:rPr>
        <w:t>24</w:t>
      </w:r>
      <w:r>
        <w:rPr>
          <w:spacing w:val="-3"/>
        </w:rPr>
        <w:t>，附注六、</w:t>
      </w:r>
      <w:r>
        <w:rPr>
          <w:rFonts w:ascii="宋体" w:hAnsi="宋体" w:cs="宋体" w:eastAsia="宋体" w:hint="default"/>
          <w:spacing w:val="-3"/>
        </w:rPr>
        <w:t>30</w:t>
      </w:r>
      <w:r>
        <w:rPr>
          <w:rFonts w:ascii="宋体" w:hAnsi="宋体" w:cs="宋体" w:eastAsia="宋体" w:hint="default"/>
          <w:w w:val="101"/>
        </w:rPr>
        <w:t> </w:t>
      </w:r>
      <w:r>
        <w:rPr>
          <w:spacing w:val="-5"/>
        </w:rPr>
        <w:t>所述，</w:t>
      </w:r>
      <w:r>
        <w:rPr>
          <w:rFonts w:ascii="宋体" w:hAnsi="宋体" w:cs="宋体" w:eastAsia="宋体" w:hint="default"/>
          <w:spacing w:val="-5"/>
        </w:rPr>
        <w:t>2018</w:t>
      </w:r>
      <w:r>
        <w:rPr>
          <w:spacing w:val="-5"/>
        </w:rPr>
        <w:t>年度银之杰公司营业收入</w:t>
      </w:r>
      <w:r>
        <w:rPr>
          <w:rFonts w:ascii="宋体" w:hAnsi="宋体" w:cs="宋体" w:eastAsia="宋体" w:hint="default"/>
          <w:spacing w:val="-5"/>
        </w:rPr>
        <w:t>1,299,251,173.43</w:t>
      </w:r>
      <w:r>
        <w:rPr>
          <w:spacing w:val="-5"/>
        </w:rPr>
        <w:t>元，其中移动信息服务收入</w:t>
      </w:r>
      <w:r>
        <w:rPr>
          <w:rFonts w:ascii="宋体" w:hAnsi="宋体" w:cs="宋体" w:eastAsia="宋体" w:hint="default"/>
          <w:spacing w:val="-5"/>
        </w:rPr>
        <w:t>612,725,456.25</w:t>
      </w:r>
      <w:r>
        <w:rPr>
          <w:spacing w:val="-5"/>
        </w:rPr>
        <w:t>元，占营业收入的</w:t>
      </w:r>
      <w:r>
        <w:rPr>
          <w:rFonts w:ascii="宋体" w:hAnsi="宋体" w:cs="宋体" w:eastAsia="宋体" w:hint="default"/>
          <w:spacing w:val="-5"/>
        </w:rPr>
        <w:t>47.16%</w:t>
      </w:r>
      <w:r>
        <w:rPr>
          <w:spacing w:val="-5"/>
        </w:rPr>
        <w:t>，</w:t>
      </w:r>
      <w:r>
        <w:rPr>
          <w:spacing w:val="23"/>
        </w:rPr>
        <w:t> </w:t>
      </w:r>
      <w:r>
        <w:rPr/>
        <w:t>电子商务收入</w:t>
      </w:r>
      <w:r>
        <w:rPr>
          <w:rFonts w:ascii="宋体" w:hAnsi="宋体" w:cs="宋体" w:eastAsia="宋体" w:hint="default"/>
        </w:rPr>
        <w:t>376,172,257.34</w:t>
      </w:r>
      <w:r>
        <w:rPr/>
        <w:t>元，占营业收入的</w:t>
      </w:r>
      <w:r>
        <w:rPr>
          <w:rFonts w:ascii="宋体" w:hAnsi="宋体" w:cs="宋体" w:eastAsia="宋体" w:hint="default"/>
        </w:rPr>
        <w:t>28.95%</w:t>
      </w:r>
      <w:r>
        <w:rPr/>
        <w:t>， </w:t>
      </w:r>
      <w:r>
        <w:rPr>
          <w:spacing w:val="-3"/>
        </w:rPr>
        <w:t>两者合计占收入</w:t>
      </w:r>
      <w:r>
        <w:rPr>
          <w:rFonts w:ascii="宋体" w:hAnsi="宋体" w:cs="宋体" w:eastAsia="宋体" w:hint="default"/>
          <w:spacing w:val="-3"/>
        </w:rPr>
        <w:t>76.11%</w:t>
      </w:r>
      <w:r>
        <w:rPr>
          <w:spacing w:val="-3"/>
        </w:rPr>
        <w:t>。移动信息服务收入确认原则为公司向客</w:t>
      </w:r>
      <w:r>
        <w:rPr/>
        <w:t> </w:t>
      </w:r>
      <w:r>
        <w:rPr/>
      </w:r>
      <w:r>
        <w:rPr>
          <w:spacing w:val="-4"/>
        </w:rPr>
        <w:t>户提供相关服务后，按月统计提供的服务量计算应收取的服务费，与客户核对后确认收入；电子商务收入确认原则为公司在</w:t>
      </w:r>
      <w:r>
        <w:rPr>
          <w:spacing w:val="43"/>
        </w:rPr>
        <w:t> </w:t>
      </w:r>
      <w:r>
        <w:rPr>
          <w:spacing w:val="43"/>
        </w:rPr>
      </w:r>
      <w:r>
        <w:rPr>
          <w:spacing w:val="-4"/>
        </w:rPr>
        <w:t>将商品发出并交付予物流公司时确认收入。不同业务模式收入确认具体方式不同，鉴于对财务报表的重要性，我们将移动信</w:t>
      </w:r>
      <w:r>
        <w:rPr>
          <w:spacing w:val="43"/>
        </w:rPr>
        <w:t> </w:t>
      </w:r>
      <w:r>
        <w:rPr>
          <w:spacing w:val="43"/>
        </w:rPr>
      </w:r>
      <w:r>
        <w:rPr>
          <w:spacing w:val="-3"/>
        </w:rPr>
        <w:t>息服务收入和电子商务收入确认识别为关键审计事项。</w:t>
      </w:r>
    </w:p>
    <w:p>
      <w:pPr>
        <w:pStyle w:val="BodyText"/>
        <w:spacing w:line="240" w:lineRule="auto" w:before="26"/>
        <w:ind w:left="513" w:right="1055"/>
        <w:jc w:val="left"/>
      </w:pPr>
      <w:r>
        <w:rPr>
          <w:rFonts w:ascii="宋体" w:hAnsi="宋体" w:cs="宋体" w:eastAsia="宋体" w:hint="default"/>
        </w:rPr>
        <w:t>2</w:t>
      </w:r>
      <w:r>
        <w:rPr/>
        <w:t>、审计应对</w:t>
      </w:r>
    </w:p>
    <w:p>
      <w:pPr>
        <w:pStyle w:val="BodyText"/>
        <w:spacing w:line="357" w:lineRule="auto" w:before="115"/>
        <w:ind w:right="1055" w:firstLine="360"/>
        <w:jc w:val="left"/>
      </w:pPr>
      <w:r>
        <w:rPr>
          <w:spacing w:val="-3"/>
        </w:rPr>
        <w:t>（</w:t>
      </w:r>
      <w:r>
        <w:rPr>
          <w:rFonts w:ascii="宋体" w:hAnsi="宋体" w:cs="宋体" w:eastAsia="宋体" w:hint="default"/>
          <w:spacing w:val="-3"/>
        </w:rPr>
        <w:t>1</w:t>
      </w:r>
      <w:r>
        <w:rPr>
          <w:spacing w:val="-3"/>
        </w:rPr>
        <w:t>）了解并评价与公司收入确认相关的内部控制制度的设计是否健全，测试与收入确认相关的内部控制制度的执行是</w:t>
      </w:r>
      <w:r>
        <w:rPr>
          <w:w w:val="101"/>
        </w:rPr>
        <w:t> </w:t>
      </w:r>
      <w:r>
        <w:rPr/>
        <w:t>否有效；</w:t>
      </w:r>
    </w:p>
    <w:p>
      <w:pPr>
        <w:pStyle w:val="BodyText"/>
        <w:spacing w:line="240" w:lineRule="auto" w:before="26"/>
        <w:ind w:left="513" w:right="1055"/>
        <w:jc w:val="left"/>
      </w:pPr>
      <w:r>
        <w:rPr>
          <w:spacing w:val="-3"/>
        </w:rPr>
        <w:t>（</w:t>
      </w:r>
      <w:r>
        <w:rPr>
          <w:rFonts w:ascii="宋体" w:hAnsi="宋体" w:cs="宋体" w:eastAsia="宋体" w:hint="default"/>
          <w:spacing w:val="-3"/>
        </w:rPr>
        <w:t>2</w:t>
      </w:r>
      <w:r>
        <w:rPr>
          <w:spacing w:val="-3"/>
        </w:rPr>
        <w:t>）了解并评价公司移动信息服务收入相关</w:t>
      </w:r>
      <w:r>
        <w:rPr>
          <w:rFonts w:ascii="宋体" w:hAnsi="宋体" w:cs="宋体" w:eastAsia="宋体" w:hint="default"/>
          <w:spacing w:val="-3"/>
        </w:rPr>
        <w:t>IT</w:t>
      </w:r>
      <w:r>
        <w:rPr>
          <w:spacing w:val="-3"/>
        </w:rPr>
        <w:t>系统的控制环境，并测试了</w:t>
      </w:r>
      <w:r>
        <w:rPr>
          <w:rFonts w:ascii="宋体" w:hAnsi="宋体" w:cs="宋体" w:eastAsia="宋体" w:hint="default"/>
          <w:spacing w:val="-3"/>
        </w:rPr>
        <w:t>IT</w:t>
      </w:r>
      <w:r>
        <w:rPr>
          <w:spacing w:val="-3"/>
        </w:rPr>
        <w:t>系统运行情况；</w:t>
      </w:r>
    </w:p>
    <w:p>
      <w:pPr>
        <w:pStyle w:val="BodyText"/>
        <w:spacing w:line="240" w:lineRule="auto" w:before="114"/>
        <w:ind w:left="513" w:right="1055"/>
        <w:jc w:val="left"/>
      </w:pPr>
      <w:r>
        <w:rPr>
          <w:spacing w:val="-3"/>
        </w:rPr>
        <w:t>（</w:t>
      </w:r>
      <w:r>
        <w:rPr>
          <w:rFonts w:ascii="宋体" w:hAnsi="宋体" w:cs="宋体" w:eastAsia="宋体" w:hint="default"/>
          <w:spacing w:val="-3"/>
        </w:rPr>
        <w:t>3</w:t>
      </w:r>
      <w:r>
        <w:rPr>
          <w:spacing w:val="-3"/>
        </w:rPr>
        <w:t>）了解营业收入确认的会计政策是否发生重大变化，检查营业收入确认是否符合相关会计政策；</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240" w:lineRule="auto" w:before="46"/>
        <w:ind w:left="513" w:right="1055"/>
        <w:jc w:val="left"/>
      </w:pPr>
      <w:r>
        <w:rPr>
          <w:spacing w:val="-3"/>
        </w:rPr>
        <w:t>（</w:t>
      </w:r>
      <w:r>
        <w:rPr>
          <w:rFonts w:ascii="宋体" w:hAnsi="宋体" w:cs="宋体" w:eastAsia="宋体" w:hint="default"/>
          <w:spacing w:val="-3"/>
        </w:rPr>
        <w:t>4</w:t>
      </w:r>
      <w:r>
        <w:rPr>
          <w:spacing w:val="-3"/>
        </w:rPr>
        <w:t>）执行分析性复核程序，判断营业收入和毛利变动的合理性；</w:t>
      </w:r>
    </w:p>
    <w:p>
      <w:pPr>
        <w:pStyle w:val="BodyText"/>
        <w:spacing w:line="357" w:lineRule="auto" w:before="115"/>
        <w:ind w:right="1055" w:firstLine="360"/>
        <w:jc w:val="left"/>
      </w:pPr>
      <w:r>
        <w:rPr>
          <w:spacing w:val="-3"/>
        </w:rPr>
        <w:t>（</w:t>
      </w:r>
      <w:r>
        <w:rPr>
          <w:rFonts w:ascii="宋体" w:hAnsi="宋体" w:cs="宋体" w:eastAsia="宋体" w:hint="default"/>
          <w:spacing w:val="-3"/>
        </w:rPr>
        <w:t>5</w:t>
      </w:r>
      <w:r>
        <w:rPr>
          <w:spacing w:val="-3"/>
        </w:rPr>
        <w:t>）对移动信息服务收入重要客户销售合同进行抽样检查，并将系统数据与客户确认对账单等进行核对；对电子商务</w:t>
      </w:r>
      <w:r>
        <w:rPr>
          <w:w w:val="101"/>
        </w:rPr>
        <w:t> </w:t>
      </w:r>
      <w:r>
        <w:rPr>
          <w:spacing w:val="-3"/>
        </w:rPr>
        <w:t>收入核对电商平台提供的销售订单，随机抽取销售订单样本与第三方发货记录、收款记录等进行核对；</w:t>
      </w:r>
    </w:p>
    <w:p>
      <w:pPr>
        <w:pStyle w:val="BodyText"/>
        <w:spacing w:line="240" w:lineRule="auto" w:before="27"/>
        <w:ind w:left="513" w:right="1055"/>
        <w:jc w:val="left"/>
      </w:pPr>
      <w:r>
        <w:rPr>
          <w:spacing w:val="-3"/>
        </w:rPr>
        <w:t>（</w:t>
      </w:r>
      <w:r>
        <w:rPr>
          <w:rFonts w:ascii="宋体" w:hAnsi="宋体" w:cs="宋体" w:eastAsia="宋体" w:hint="default"/>
          <w:spacing w:val="-3"/>
        </w:rPr>
        <w:t>6</w:t>
      </w:r>
      <w:r>
        <w:rPr>
          <w:spacing w:val="-3"/>
        </w:rPr>
        <w:t>）向重要客户实施函证程序，向客户函证期末余额及当期销售金额；</w:t>
      </w:r>
    </w:p>
    <w:p>
      <w:pPr>
        <w:pStyle w:val="BodyText"/>
        <w:spacing w:line="240" w:lineRule="auto" w:before="115"/>
        <w:ind w:left="513" w:right="1055"/>
        <w:jc w:val="left"/>
      </w:pPr>
      <w:r>
        <w:rPr>
          <w:spacing w:val="-3"/>
        </w:rPr>
        <w:t>（</w:t>
      </w:r>
      <w:r>
        <w:rPr>
          <w:rFonts w:ascii="宋体" w:hAnsi="宋体" w:cs="宋体" w:eastAsia="宋体" w:hint="default"/>
          <w:spacing w:val="-3"/>
        </w:rPr>
        <w:t>7</w:t>
      </w:r>
      <w:r>
        <w:rPr>
          <w:spacing w:val="-3"/>
        </w:rPr>
        <w:t>）检查重要客户期后收款情况；</w:t>
      </w:r>
    </w:p>
    <w:p>
      <w:pPr>
        <w:pStyle w:val="BodyText"/>
        <w:spacing w:line="240" w:lineRule="auto" w:before="115"/>
        <w:ind w:left="513" w:right="1055"/>
        <w:jc w:val="left"/>
      </w:pPr>
      <w:r>
        <w:rPr>
          <w:spacing w:val="-3"/>
        </w:rPr>
        <w:t>（</w:t>
      </w:r>
      <w:r>
        <w:rPr>
          <w:rFonts w:ascii="宋体" w:hAnsi="宋体" w:cs="宋体" w:eastAsia="宋体" w:hint="default"/>
          <w:spacing w:val="-3"/>
        </w:rPr>
        <w:t>8</w:t>
      </w:r>
      <w:r>
        <w:rPr>
          <w:spacing w:val="-3"/>
        </w:rPr>
        <w:t>）对营业收入执行截止测试，检查营业收入是否在恰当的期间确认。</w:t>
      </w:r>
    </w:p>
    <w:p>
      <w:pPr>
        <w:pStyle w:val="BodyText"/>
        <w:spacing w:line="357" w:lineRule="auto" w:before="115"/>
        <w:ind w:left="513" w:right="8420"/>
        <w:jc w:val="left"/>
      </w:pPr>
      <w:r>
        <w:rPr>
          <w:spacing w:val="-2"/>
        </w:rPr>
        <w:t>（二）商誉的减值</w:t>
      </w:r>
      <w:r>
        <w:rPr>
          <w:spacing w:val="-70"/>
        </w:rPr>
        <w:t> </w:t>
      </w:r>
      <w:r>
        <w:rPr>
          <w:spacing w:val="-70"/>
        </w:rPr>
      </w:r>
      <w:r>
        <w:rPr>
          <w:rFonts w:ascii="宋体" w:hAnsi="宋体" w:cs="宋体" w:eastAsia="宋体" w:hint="default"/>
        </w:rPr>
        <w:t>1</w:t>
      </w:r>
      <w:r>
        <w:rPr/>
        <w:t>、事项描述</w:t>
      </w:r>
    </w:p>
    <w:p>
      <w:pPr>
        <w:pStyle w:val="BodyText"/>
        <w:spacing w:line="357" w:lineRule="auto" w:before="27"/>
        <w:ind w:right="1055" w:firstLine="360"/>
        <w:jc w:val="left"/>
      </w:pPr>
      <w:r>
        <w:rPr>
          <w:spacing w:val="-3"/>
        </w:rPr>
        <w:t>如财务报告附注四、</w:t>
      </w:r>
      <w:r>
        <w:rPr>
          <w:rFonts w:ascii="宋体" w:hAnsi="宋体" w:cs="宋体" w:eastAsia="宋体" w:hint="default"/>
          <w:spacing w:val="-3"/>
        </w:rPr>
        <w:t>20</w:t>
      </w:r>
      <w:r>
        <w:rPr>
          <w:spacing w:val="-3"/>
        </w:rPr>
        <w:t>和附注六、</w:t>
      </w:r>
      <w:r>
        <w:rPr>
          <w:rFonts w:ascii="宋体" w:hAnsi="宋体" w:cs="宋体" w:eastAsia="宋体" w:hint="default"/>
          <w:spacing w:val="-3"/>
        </w:rPr>
        <w:t>13</w:t>
      </w:r>
      <w:r>
        <w:rPr>
          <w:spacing w:val="-3"/>
        </w:rPr>
        <w:t>所述，截至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日，银之杰公司商誉的账面价值合计</w:t>
      </w:r>
      <w:r>
        <w:rPr>
          <w:rFonts w:ascii="宋体" w:hAnsi="宋体" w:cs="宋体" w:eastAsia="宋体" w:hint="default"/>
          <w:spacing w:val="-3"/>
        </w:rPr>
        <w:t>155,617,924.66</w:t>
      </w:r>
      <w:r>
        <w:rPr>
          <w:spacing w:val="-3"/>
        </w:rPr>
        <w:t>元，</w:t>
      </w:r>
      <w:r>
        <w:rPr>
          <w:spacing w:val="-5"/>
          <w:w w:val="101"/>
        </w:rPr>
        <w:t> </w:t>
      </w:r>
      <w:r>
        <w:rPr>
          <w:spacing w:val="-3"/>
        </w:rPr>
        <w:t>相应的减值准备余额为零元。</w:t>
      </w:r>
    </w:p>
    <w:p>
      <w:pPr>
        <w:pStyle w:val="BodyText"/>
        <w:spacing w:line="357" w:lineRule="auto" w:before="22"/>
        <w:ind w:right="1124" w:firstLine="360"/>
        <w:jc w:val="both"/>
      </w:pPr>
      <w:r>
        <w:rPr>
          <w:spacing w:val="-4"/>
        </w:rPr>
        <w:t>管理层在每年年度终了对商誉进行减值测试，并依据减值测试的结果调整商誉的账面价值。由于商誉减值测试的结果很</w:t>
      </w:r>
      <w:r>
        <w:rPr>
          <w:w w:val="101"/>
        </w:rPr>
        <w:t> </w:t>
      </w:r>
      <w:r>
        <w:rPr>
          <w:spacing w:val="-4"/>
        </w:rPr>
        <w:t>大程度上依赖于管理层所做的估计和采用的假设，特别是在预测相关资产组的未来收入增长率、毛利率、经营费用、折现率</w:t>
      </w:r>
      <w:r>
        <w:rPr>
          <w:spacing w:val="40"/>
        </w:rPr>
        <w:t> </w:t>
      </w:r>
      <w:r>
        <w:rPr>
          <w:spacing w:val="40"/>
        </w:rPr>
      </w:r>
      <w:r>
        <w:rPr>
          <w:spacing w:val="-4"/>
        </w:rPr>
        <w:t>等涉及管理层的重大判断。该等估计均存在重大不确定性，受管理层对未来市场以及对经济环境判断的影响，采用不同的估</w:t>
      </w:r>
      <w:r>
        <w:rPr>
          <w:spacing w:val="43"/>
        </w:rPr>
        <w:t> </w:t>
      </w:r>
      <w:r>
        <w:rPr>
          <w:spacing w:val="43"/>
        </w:rPr>
      </w:r>
      <w:r>
        <w:rPr>
          <w:spacing w:val="-3"/>
        </w:rPr>
        <w:t>计和假设会对评估的商誉可收回价值有很大的影响。</w:t>
      </w:r>
    </w:p>
    <w:p>
      <w:pPr>
        <w:pStyle w:val="BodyText"/>
        <w:spacing w:line="357" w:lineRule="auto" w:before="26"/>
        <w:ind w:left="513" w:right="1641"/>
        <w:jc w:val="left"/>
      </w:pPr>
      <w:r>
        <w:rPr>
          <w:spacing w:val="-3"/>
        </w:rPr>
        <w:t>由于相关减值评估与测试需要管理层作出重大判断，因此我们将该类资产的减值评估识别为关键审计事项。</w:t>
      </w:r>
      <w:r>
        <w:rPr>
          <w:spacing w:val="48"/>
        </w:rPr>
        <w:t> </w:t>
      </w:r>
      <w:r>
        <w:rPr>
          <w:spacing w:val="48"/>
        </w:rPr>
      </w:r>
      <w:r>
        <w:rPr>
          <w:rFonts w:ascii="宋体" w:hAnsi="宋体" w:cs="宋体" w:eastAsia="宋体" w:hint="default"/>
        </w:rPr>
        <w:t>2</w:t>
      </w:r>
      <w:r>
        <w:rPr/>
        <w:t>、审计应对</w:t>
      </w:r>
    </w:p>
    <w:p>
      <w:pPr>
        <w:pStyle w:val="BodyText"/>
        <w:spacing w:line="240" w:lineRule="auto" w:before="26"/>
        <w:ind w:left="513" w:right="1055"/>
        <w:jc w:val="left"/>
      </w:pPr>
      <w:r>
        <w:rPr>
          <w:spacing w:val="-3"/>
        </w:rPr>
        <w:t>（</w:t>
      </w:r>
      <w:r>
        <w:rPr>
          <w:rFonts w:ascii="宋体" w:hAnsi="宋体" w:cs="宋体" w:eastAsia="宋体" w:hint="default"/>
          <w:spacing w:val="-3"/>
        </w:rPr>
        <w:t>1</w:t>
      </w:r>
      <w:r>
        <w:rPr>
          <w:spacing w:val="-3"/>
        </w:rPr>
        <w:t>）了解并评价与商誉减值相关的关键内部控制；</w:t>
      </w:r>
    </w:p>
    <w:p>
      <w:pPr>
        <w:pStyle w:val="BodyText"/>
        <w:spacing w:line="240" w:lineRule="auto" w:before="115"/>
        <w:ind w:left="513" w:right="1055"/>
        <w:jc w:val="left"/>
      </w:pPr>
      <w:r>
        <w:rPr/>
        <w:t>（</w:t>
      </w:r>
      <w:r>
        <w:rPr>
          <w:rFonts w:ascii="宋体" w:hAnsi="宋体" w:cs="宋体" w:eastAsia="宋体" w:hint="default"/>
        </w:rPr>
        <w:t>2</w:t>
      </w:r>
      <w:r>
        <w:rPr/>
        <w:t>）</w:t>
      </w:r>
      <w:r>
        <w:rPr>
          <w:spacing w:val="89"/>
        </w:rPr>
        <w:t> </w:t>
      </w:r>
      <w:r>
        <w:rPr>
          <w:spacing w:val="-3"/>
        </w:rPr>
        <w:t>评价公司管理层聘请的外部评估机构的胜任能力、专业素质和客观性；</w:t>
      </w:r>
    </w:p>
    <w:p>
      <w:pPr>
        <w:pStyle w:val="BodyText"/>
        <w:spacing w:line="357" w:lineRule="auto" w:before="115"/>
        <w:ind w:right="1055" w:firstLine="360"/>
        <w:jc w:val="left"/>
      </w:pPr>
      <w:r>
        <w:rPr>
          <w:spacing w:val="-4"/>
        </w:rPr>
        <w:t>（</w:t>
      </w:r>
      <w:r>
        <w:rPr>
          <w:rFonts w:ascii="宋体" w:hAnsi="宋体" w:cs="宋体" w:eastAsia="宋体" w:hint="default"/>
          <w:spacing w:val="-4"/>
        </w:rPr>
        <w:t>3</w:t>
      </w:r>
      <w:r>
        <w:rPr>
          <w:spacing w:val="-4"/>
        </w:rPr>
        <w:t>）与公司管理层聘请的外部评估机构专家等讨论商誉减值测试过程中所使用的方法、关键评估的假设、参数的选择、</w:t>
      </w:r>
      <w:r>
        <w:rPr>
          <w:w w:val="101"/>
        </w:rPr>
        <w:t> </w:t>
      </w:r>
      <w:r>
        <w:rPr>
          <w:spacing w:val="-3"/>
        </w:rPr>
        <w:t>预测未来收入及现金流折现率等的合理性；</w:t>
      </w:r>
    </w:p>
    <w:p>
      <w:pPr>
        <w:pStyle w:val="BodyText"/>
        <w:spacing w:line="357" w:lineRule="auto" w:before="26"/>
        <w:ind w:left="513" w:right="3882"/>
        <w:jc w:val="left"/>
      </w:pPr>
      <w:r>
        <w:rPr>
          <w:spacing w:val="-3"/>
        </w:rPr>
        <w:t>（</w:t>
      </w:r>
      <w:r>
        <w:rPr>
          <w:rFonts w:ascii="宋体" w:hAnsi="宋体" w:cs="宋体" w:eastAsia="宋体" w:hint="default"/>
          <w:spacing w:val="-3"/>
        </w:rPr>
        <w:t>4</w:t>
      </w:r>
      <w:r>
        <w:rPr>
          <w:spacing w:val="-3"/>
        </w:rPr>
        <w:t>）我们引入了内部评估专家协助复核了评估方法、评估假设及关键参数。</w:t>
      </w:r>
      <w:r>
        <w:rPr>
          <w:spacing w:val="12"/>
        </w:rPr>
        <w:t> </w:t>
      </w:r>
      <w:r>
        <w:rPr>
          <w:spacing w:val="12"/>
        </w:rPr>
      </w:r>
      <w:r>
        <w:rPr/>
        <w:t>四、其他信息</w:t>
      </w:r>
    </w:p>
    <w:p>
      <w:pPr>
        <w:pStyle w:val="BodyText"/>
        <w:spacing w:line="357" w:lineRule="auto" w:before="26"/>
        <w:ind w:left="513" w:right="1004"/>
        <w:jc w:val="left"/>
      </w:pPr>
      <w:r>
        <w:rPr>
          <w:spacing w:val="-6"/>
          <w:w w:val="101"/>
        </w:rPr>
        <w:t>银之杰公司管理层对其他信息负责。其他信息包括</w:t>
      </w:r>
      <w:r>
        <w:rPr>
          <w:rFonts w:ascii="宋体" w:hAnsi="宋体" w:cs="宋体" w:eastAsia="宋体" w:hint="default"/>
          <w:spacing w:val="-6"/>
          <w:w w:val="101"/>
        </w:rPr>
        <w:t>2018</w:t>
      </w:r>
      <w:r>
        <w:rPr>
          <w:spacing w:val="-6"/>
          <w:w w:val="101"/>
        </w:rPr>
        <w:t>年年度报告中涵盖的信息，但不包括财务报表和我们的审计报告。</w:t>
      </w:r>
      <w:r>
        <w:rPr>
          <w:spacing w:val="-65"/>
          <w:w w:val="101"/>
        </w:rPr>
        <w:t> </w:t>
      </w:r>
      <w:r>
        <w:rPr>
          <w:spacing w:val="-65"/>
          <w:w w:val="101"/>
        </w:rPr>
      </w:r>
      <w:r>
        <w:rPr>
          <w:spacing w:val="-3"/>
        </w:rPr>
        <w:t>我们对财务报表发表的审计意见不涵盖其他信息，我们也不对其他信息发表任何形式的鉴证结论。</w:t>
      </w:r>
      <w:r>
        <w:rPr>
          <w:spacing w:val="37"/>
        </w:rPr>
        <w:t> </w:t>
      </w:r>
      <w:r>
        <w:rPr>
          <w:spacing w:val="37"/>
        </w:rPr>
      </w:r>
      <w:r>
        <w:rPr>
          <w:spacing w:val="-4"/>
        </w:rPr>
        <w:t>结合我们对财务报表的审计，我们的责任是阅读其他信息，在此过程中，考虑其他信息是否与财务报表或我们在审计过</w:t>
      </w:r>
    </w:p>
    <w:p>
      <w:pPr>
        <w:pStyle w:val="BodyText"/>
        <w:spacing w:line="357" w:lineRule="auto" w:before="26"/>
        <w:ind w:left="513" w:right="1055" w:hanging="360"/>
        <w:jc w:val="left"/>
      </w:pPr>
      <w:r>
        <w:rPr>
          <w:spacing w:val="-3"/>
        </w:rPr>
        <w:t>程中了解到的情况存在重大不一致或者似乎存在重大错报。</w:t>
      </w:r>
      <w:r>
        <w:rPr>
          <w:spacing w:val="-10"/>
        </w:rPr>
        <w:t> </w:t>
      </w:r>
      <w:r>
        <w:rPr>
          <w:spacing w:val="-10"/>
        </w:rPr>
      </w:r>
      <w:r>
        <w:rPr>
          <w:spacing w:val="-5"/>
        </w:rPr>
        <w:t>基于我们已执行的工作，如果我们确定其他信息存在重大错报，我们应当报告该事实。在这方面，我们无任何事项需要</w:t>
      </w:r>
    </w:p>
    <w:p>
      <w:pPr>
        <w:pStyle w:val="BodyText"/>
        <w:spacing w:line="240" w:lineRule="auto" w:before="27"/>
        <w:ind w:right="1055"/>
        <w:jc w:val="left"/>
      </w:pPr>
      <w:r>
        <w:rPr/>
        <w:t>报告。</w:t>
      </w:r>
    </w:p>
    <w:p>
      <w:pPr>
        <w:pStyle w:val="BodyText"/>
        <w:spacing w:line="357" w:lineRule="auto" w:before="115"/>
        <w:ind w:left="513" w:right="1055"/>
        <w:jc w:val="left"/>
      </w:pPr>
      <w:r>
        <w:rPr>
          <w:spacing w:val="-3"/>
        </w:rPr>
        <w:t>五、管理层和治理层对财务报表的责任</w:t>
      </w:r>
      <w:r>
        <w:rPr>
          <w:spacing w:val="-39"/>
        </w:rPr>
        <w:t> </w:t>
      </w:r>
      <w:r>
        <w:rPr>
          <w:spacing w:val="-39"/>
        </w:rPr>
      </w:r>
      <w:r>
        <w:rPr>
          <w:spacing w:val="-4"/>
        </w:rPr>
        <w:t>银之杰公司管理层（以下简称管理层）负责按照企业会计准则的规定编制财务报表，使其实现公允反映，并设计、执行</w:t>
      </w:r>
    </w:p>
    <w:p>
      <w:pPr>
        <w:pStyle w:val="BodyText"/>
        <w:spacing w:line="357" w:lineRule="auto" w:before="22"/>
        <w:ind w:left="513" w:right="1055" w:hanging="360"/>
        <w:jc w:val="left"/>
      </w:pPr>
      <w:r>
        <w:rPr>
          <w:spacing w:val="-3"/>
        </w:rPr>
        <w:t>和维护必要的内部控制，以使财务报表不存在由于舞弊或错误导致的重大错报。</w:t>
      </w:r>
      <w:r>
        <w:rPr>
          <w:spacing w:val="13"/>
        </w:rPr>
        <w:t> </w:t>
      </w:r>
      <w:r>
        <w:rPr>
          <w:spacing w:val="13"/>
        </w:rPr>
      </w:r>
      <w:r>
        <w:rPr>
          <w:spacing w:val="-5"/>
        </w:rPr>
        <w:t>在编制财务报表时，管理层负责评估银之杰公司的持续经营能力，披露与持续经营相关的事项（如适用），并运用持续</w:t>
      </w:r>
    </w:p>
    <w:p>
      <w:pPr>
        <w:pStyle w:val="BodyText"/>
        <w:spacing w:line="357" w:lineRule="auto" w:before="27"/>
        <w:ind w:left="513" w:right="3882" w:hanging="360"/>
        <w:jc w:val="left"/>
      </w:pPr>
      <w:r>
        <w:rPr>
          <w:spacing w:val="-3"/>
        </w:rPr>
        <w:t>经营假设，除非管理层计划清算银之杰公司、终止运营或别无其他现实的选择。</w:t>
      </w:r>
      <w:r>
        <w:rPr>
          <w:spacing w:val="13"/>
        </w:rPr>
        <w:t> </w:t>
      </w:r>
      <w:r>
        <w:rPr>
          <w:spacing w:val="13"/>
        </w:rPr>
      </w:r>
      <w:r>
        <w:rPr>
          <w:spacing w:val="-3"/>
        </w:rPr>
        <w:t>治理层负责监督银之杰公司的财务报告过程。</w:t>
      </w:r>
      <w:r>
        <w:rPr>
          <w:w w:val="101"/>
        </w:rPr>
        <w:t> </w:t>
      </w:r>
      <w:r>
        <w:rPr>
          <w:spacing w:val="-3"/>
        </w:rPr>
        <w:t>六、注册会计师对财务报表审计的责任</w:t>
      </w:r>
    </w:p>
    <w:p>
      <w:pPr>
        <w:pStyle w:val="BodyText"/>
        <w:spacing w:line="357" w:lineRule="auto" w:before="26"/>
        <w:ind w:right="1123" w:firstLine="542"/>
        <w:jc w:val="both"/>
      </w:pPr>
      <w:r>
        <w:rPr>
          <w:spacing w:val="-5"/>
          <w:w w:val="101"/>
        </w:rPr>
        <w:t>我们的目标是对财务报表整体是否不存在由于舞弊或错误导致的重大错报获取合理保证，并出具包含审计意见的审计</w:t>
      </w:r>
      <w:r>
        <w:rPr>
          <w:w w:val="101"/>
        </w:rPr>
        <w:t> </w:t>
      </w:r>
      <w:r>
        <w:rPr>
          <w:spacing w:val="-4"/>
        </w:rPr>
        <w:t>报告。合理保证是高水平的保证，但并不能保证按照审计准则执行的审计在某一重大错报存在时总能发现。错报可能由于舞</w:t>
      </w:r>
      <w:r>
        <w:rPr>
          <w:spacing w:val="43"/>
        </w:rPr>
        <w:t> </w:t>
      </w:r>
      <w:r>
        <w:rPr>
          <w:spacing w:val="43"/>
        </w:rPr>
      </w:r>
      <w:r>
        <w:rPr>
          <w:spacing w:val="-4"/>
        </w:rPr>
        <w:t>弊或错误导致，如果合理预期错报单独或汇总起来可能影响财务报表使用者依据财务报表作出的经济决策，则通常认为错报</w:t>
      </w:r>
      <w:r>
        <w:rPr>
          <w:spacing w:val="43"/>
        </w:rPr>
        <w:t> </w:t>
      </w:r>
      <w:r>
        <w:rPr>
          <w:spacing w:val="43"/>
        </w:rPr>
      </w:r>
      <w:r>
        <w:rPr/>
        <w:t>是重大的。</w:t>
      </w:r>
    </w:p>
    <w:p>
      <w:pPr>
        <w:pStyle w:val="BodyText"/>
        <w:spacing w:line="240" w:lineRule="auto" w:before="26"/>
        <w:ind w:left="513" w:right="1055"/>
        <w:jc w:val="left"/>
      </w:pPr>
      <w:r>
        <w:rPr>
          <w:spacing w:val="-3"/>
        </w:rPr>
        <w:t>在按照审计准则执行审计工作的过程中，我们运用职业判断，并保持职业怀疑。同时，我们也执行以下工作：</w:t>
      </w:r>
    </w:p>
    <w:p>
      <w:pPr>
        <w:spacing w:after="0" w:line="240" w:lineRule="auto"/>
        <w:jc w:val="left"/>
        <w:sectPr>
          <w:footerReference w:type="default" r:id="rId24"/>
          <w:pgSz w:w="11910" w:h="16840"/>
          <w:pgMar w:footer="1186" w:header="871" w:top="1100" w:bottom="1380" w:left="980" w:right="0"/>
          <w:pgNumType w:start="84"/>
        </w:sectPr>
      </w:pPr>
    </w:p>
    <w:p>
      <w:pPr>
        <w:spacing w:line="240" w:lineRule="auto" w:before="7"/>
        <w:rPr>
          <w:rFonts w:ascii="宋体" w:hAnsi="宋体" w:cs="宋体" w:eastAsia="宋体" w:hint="default"/>
          <w:sz w:val="18"/>
          <w:szCs w:val="18"/>
        </w:rPr>
      </w:pPr>
    </w:p>
    <w:p>
      <w:pPr>
        <w:pStyle w:val="BodyText"/>
        <w:spacing w:line="357" w:lineRule="auto" w:before="46"/>
        <w:ind w:right="1047" w:firstLine="360"/>
        <w:jc w:val="both"/>
      </w:pPr>
      <w:r>
        <w:rPr>
          <w:spacing w:val="-3"/>
        </w:rPr>
        <w:t>（一）识别和评估由于舞弊或错误导致的财务报表重大错报风险，设计和实施审计程序以应对这些风险，并获取充分、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27"/>
        <w:ind w:left="513" w:right="1055"/>
        <w:jc w:val="left"/>
      </w:pPr>
      <w:r>
        <w:rPr>
          <w:spacing w:val="-3"/>
        </w:rPr>
        <w:t>（二）了解与审计相关的内部控制，以设计恰当的审计程序，但目的并非对内部控制的有效性发表意见。</w:t>
      </w:r>
    </w:p>
    <w:p>
      <w:pPr>
        <w:pStyle w:val="BodyText"/>
        <w:spacing w:line="240" w:lineRule="auto" w:before="115"/>
        <w:ind w:left="513" w:right="1055"/>
        <w:jc w:val="left"/>
      </w:pPr>
      <w:r>
        <w:rPr>
          <w:spacing w:val="-3"/>
        </w:rPr>
        <w:t>（三）评价管理层选用会计政策的恰当性和作出会计估计及相关披露的合理性。</w:t>
      </w:r>
    </w:p>
    <w:p>
      <w:pPr>
        <w:pStyle w:val="BodyText"/>
        <w:spacing w:line="357" w:lineRule="auto" w:before="115"/>
        <w:ind w:right="1124" w:firstLine="360"/>
        <w:jc w:val="both"/>
      </w:pPr>
      <w:r>
        <w:rPr>
          <w:spacing w:val="-5"/>
        </w:rPr>
        <w:t>（四）对管理层使用持续经营假设的恰当性得出结论。同时，根据获取的审计证据，就可能导致对银之杰公司持续经营</w:t>
      </w:r>
      <w:r>
        <w:rPr>
          <w:w w:val="101"/>
        </w:rPr>
        <w:t> </w:t>
      </w:r>
      <w:r>
        <w:rPr>
          <w:spacing w:val="-5"/>
        </w:rPr>
        <w:t>能力产生重大疑虑的事项或情况是否存在重大不确定性得出结论。如果我们得出结论认为存在重大不确定性，审计准则要求</w:t>
      </w:r>
      <w:r>
        <w:rPr>
          <w:spacing w:val="6"/>
        </w:rPr>
        <w:t> </w:t>
      </w:r>
      <w:r>
        <w:rPr>
          <w:spacing w:val="6"/>
        </w:rPr>
      </w:r>
      <w:r>
        <w:rPr>
          <w:spacing w:val="-4"/>
        </w:rPr>
        <w:t>我们在审计报告中提请报表使用者注意财务报表中的相关披露；如果披露不充分，我们应当发表非无保留意见。我们的结论</w:t>
      </w:r>
      <w:r>
        <w:rPr>
          <w:spacing w:val="39"/>
        </w:rPr>
        <w:t> </w:t>
      </w:r>
      <w:r>
        <w:rPr>
          <w:spacing w:val="39"/>
        </w:rPr>
      </w:r>
      <w:r>
        <w:rPr>
          <w:spacing w:val="-3"/>
        </w:rPr>
        <w:t>基于截至审计报告日可获得的信息。然而，未来的事项或情况可能导致银之杰公司不能持续经营。</w:t>
      </w:r>
    </w:p>
    <w:p>
      <w:pPr>
        <w:pStyle w:val="BodyText"/>
        <w:spacing w:line="240" w:lineRule="auto" w:before="26"/>
        <w:ind w:left="513" w:right="1055"/>
        <w:jc w:val="left"/>
      </w:pPr>
      <w:r>
        <w:rPr>
          <w:spacing w:val="-3"/>
        </w:rPr>
        <w:t>（五）评价财务报表的总体列报、结构和内容（包括披露），并评价财务报表是否公允反映相关交易和事项。</w:t>
      </w:r>
    </w:p>
    <w:p>
      <w:pPr>
        <w:pStyle w:val="BodyText"/>
        <w:spacing w:line="357" w:lineRule="auto" w:before="110"/>
        <w:ind w:right="1037" w:firstLine="360"/>
        <w:jc w:val="both"/>
      </w:pPr>
      <w:r>
        <w:rPr>
          <w:spacing w:val="-6"/>
        </w:rPr>
        <w:t>（六）就银之杰公司中实体或业务活动的财务信息获取充分、适当的审计证据，以对财务报表发表意见。我们负责指导、</w:t>
      </w:r>
      <w:r>
        <w:rPr>
          <w:w w:val="101"/>
        </w:rPr>
        <w:t> </w:t>
      </w:r>
      <w:r>
        <w:rPr>
          <w:spacing w:val="-3"/>
        </w:rPr>
        <w:t>监督和执行集团审计。我们对审计意见承担全部责任。</w:t>
      </w:r>
    </w:p>
    <w:p>
      <w:pPr>
        <w:pStyle w:val="BodyText"/>
        <w:spacing w:line="357" w:lineRule="auto" w:before="26"/>
        <w:ind w:right="1124"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pStyle w:val="BodyText"/>
        <w:spacing w:line="357" w:lineRule="auto" w:before="26"/>
        <w:ind w:right="1128" w:firstLine="360"/>
        <w:jc w:val="both"/>
      </w:pPr>
      <w:r>
        <w:rPr>
          <w:spacing w:val="-5"/>
          <w:w w:val="101"/>
        </w:rPr>
        <w:t>我们还就已遵守与独立性相关的职业道德要求向治理层提供声明，并与治理层沟通可能被合理认为影响我们独立性的所</w:t>
      </w:r>
      <w:r>
        <w:rPr>
          <w:w w:val="101"/>
        </w:rPr>
        <w:t> </w:t>
      </w:r>
      <w:r>
        <w:rPr>
          <w:spacing w:val="-3"/>
        </w:rPr>
        <w:t>有关系和其他事项，以及相关的防范措施（如适用）。</w:t>
      </w:r>
    </w:p>
    <w:p>
      <w:pPr>
        <w:pStyle w:val="BodyText"/>
        <w:spacing w:line="357" w:lineRule="auto" w:before="26"/>
        <w:ind w:right="1124"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p>
    <w:p>
      <w:pPr>
        <w:spacing w:line="240" w:lineRule="auto" w:before="12"/>
        <w:rPr>
          <w:rFonts w:ascii="宋体" w:hAnsi="宋体" w:cs="宋体" w:eastAsia="宋体" w:hint="default"/>
          <w:sz w:val="25"/>
          <w:szCs w:val="25"/>
        </w:rPr>
      </w:pPr>
    </w:p>
    <w:p>
      <w:pPr>
        <w:pStyle w:val="BodyText"/>
        <w:tabs>
          <w:tab w:pos="6035" w:val="left" w:leader="none"/>
          <w:tab w:pos="8681" w:val="left" w:leader="none"/>
        </w:tabs>
        <w:spacing w:line="556" w:lineRule="auto"/>
        <w:ind w:left="4475" w:right="2115" w:hanging="4322"/>
        <w:jc w:val="left"/>
      </w:pPr>
      <w:r>
        <w:rPr>
          <w:spacing w:val="-3"/>
        </w:rPr>
        <w:t>瑞华会计师事务所（特殊普通合伙）</w:t>
        <w:tab/>
        <w:tab/>
      </w:r>
      <w:r>
        <w:rPr/>
        <w:t> </w:t>
      </w:r>
      <w:r>
        <w:rPr>
          <w:spacing w:val="-3"/>
        </w:rPr>
        <w:t>中国注册会计师（项目合伙人）：张 </w:t>
      </w:r>
      <w:r>
        <w:rPr/>
        <w:t>翎</w:t>
      </w:r>
      <w:r>
        <w:rPr>
          <w:spacing w:val="60"/>
        </w:rPr>
        <w:t> </w:t>
      </w:r>
      <w:r>
        <w:rPr>
          <w:spacing w:val="60"/>
        </w:rPr>
      </w:r>
      <w:r>
        <w:rPr/>
        <w:t>中国•北京</w:t>
        <w:tab/>
      </w:r>
      <w:r>
        <w:rPr>
          <w:w w:val="37"/>
        </w:rPr>
        <w:t> </w:t>
      </w:r>
      <w:r>
        <w:rPr>
          <w:spacing w:val="-2"/>
        </w:rPr>
        <w:t>中国注册会计师：</w:t>
        <w:tab/>
        <w:t>昝丽涛</w:t>
      </w:r>
    </w:p>
    <w:p>
      <w:pPr>
        <w:pStyle w:val="BodyText"/>
        <w:spacing w:line="240" w:lineRule="auto" w:before="74"/>
        <w:ind w:left="0" w:right="2207"/>
        <w:jc w:val="right"/>
      </w:pPr>
      <w:r>
        <w:rPr>
          <w:rFonts w:ascii="宋体" w:hAnsi="宋体" w:cs="宋体" w:eastAsia="宋体" w:hint="default"/>
          <w:spacing w:val="-1"/>
        </w:rPr>
        <w:t>2019</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22</w:t>
      </w:r>
      <w:r>
        <w:rPr>
          <w:spacing w:val="-1"/>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2"/>
        <w:spacing w:line="240" w:lineRule="auto"/>
        <w:ind w:right="1055"/>
        <w:jc w:val="left"/>
        <w:rPr>
          <w:b w:val="0"/>
          <w:bCs w:val="0"/>
        </w:rPr>
      </w:pPr>
      <w:r>
        <w:rPr/>
        <w:t>二、财务报表</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ind w:right="1055"/>
        <w:jc w:val="left"/>
      </w:pPr>
      <w:r>
        <w:rPr>
          <w:spacing w:val="-3"/>
        </w:rPr>
        <w:t>财务附注中报表的单位为：人民币元</w:t>
      </w:r>
    </w:p>
    <w:p>
      <w:pPr>
        <w:spacing w:line="240" w:lineRule="auto" w:before="3"/>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5"/>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1" w:footer="1186" w:top="1100" w:bottom="1380" w:left="980" w:right="0"/>
        </w:sectPr>
      </w:pPr>
    </w:p>
    <w:p>
      <w:pPr>
        <w:pStyle w:val="BodyText"/>
        <w:spacing w:line="240" w:lineRule="auto" w:before="46"/>
        <w:ind w:right="0"/>
        <w:jc w:val="left"/>
      </w:pPr>
      <w:r>
        <w:rPr>
          <w:spacing w:val="-3"/>
        </w:rPr>
        <w:t>编制单位：深圳市银之杰科技股份有限公司</w:t>
      </w:r>
    </w:p>
    <w:p>
      <w:pPr>
        <w:spacing w:line="240" w:lineRule="auto" w:before="6"/>
        <w:rPr>
          <w:rFonts w:ascii="宋体" w:hAnsi="宋体" w:cs="宋体" w:eastAsia="宋体" w:hint="default"/>
          <w:sz w:val="24"/>
          <w:szCs w:val="24"/>
        </w:rPr>
      </w:pPr>
      <w:r>
        <w:rPr/>
        <w:br w:type="column"/>
      </w:r>
      <w:r>
        <w:rPr>
          <w:rFonts w:ascii="宋体"/>
          <w:sz w:val="24"/>
        </w:rPr>
      </w:r>
    </w:p>
    <w:p>
      <w:pPr>
        <w:pStyle w:val="BodyText"/>
        <w:spacing w:line="240" w:lineRule="auto"/>
        <w:ind w:right="-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3"/>
        <w:ind w:right="0"/>
        <w:jc w:val="left"/>
      </w:pPr>
      <w:r>
        <w:rPr/>
        <w:t>单位：元</w:t>
      </w:r>
    </w:p>
    <w:p>
      <w:pPr>
        <w:spacing w:after="0" w:line="240" w:lineRule="auto"/>
        <w:jc w:val="left"/>
        <w:sectPr>
          <w:type w:val="continuous"/>
          <w:pgSz w:w="11910" w:h="16840"/>
          <w:pgMar w:top="1580" w:bottom="700" w:left="980" w:right="0"/>
          <w:cols w:num="3" w:equalWidth="0">
            <w:col w:w="3577" w:space="500"/>
            <w:col w:w="1642" w:space="3203"/>
            <w:col w:w="2008"/>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3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left="2252" w:right="0"/>
              <w:jc w:val="left"/>
              <w:rPr>
                <w:rFonts w:ascii="Times New Roman" w:hAnsi="Times New Roman" w:cs="Times New Roman" w:eastAsia="Times New Roman" w:hint="default"/>
                <w:sz w:val="18"/>
                <w:szCs w:val="18"/>
              </w:rPr>
            </w:pPr>
            <w:r>
              <w:rPr>
                <w:rFonts w:ascii="Times New Roman"/>
                <w:sz w:val="18"/>
              </w:rPr>
              <w:t>389,798,968.49</w:t>
            </w: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left="1815" w:right="0"/>
              <w:jc w:val="left"/>
              <w:rPr>
                <w:rFonts w:ascii="Times New Roman" w:hAnsi="Times New Roman" w:cs="Times New Roman" w:eastAsia="Times New Roman" w:hint="default"/>
                <w:sz w:val="18"/>
                <w:szCs w:val="18"/>
              </w:rPr>
            </w:pPr>
            <w:r>
              <w:rPr>
                <w:rFonts w:ascii="Times New Roman"/>
                <w:sz w:val="18"/>
              </w:rPr>
              <w:t>303,337,759.74</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99"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spacing w:val="-5"/>
                <w:w w:val="101"/>
                <w:sz w:val="18"/>
                <w:szCs w:val="18"/>
              </w:rPr>
              <w:t> </w:t>
            </w:r>
            <w:r>
              <w:rPr>
                <w:rFonts w:ascii="宋体" w:hAnsi="宋体" w:cs="宋体" w:eastAsia="宋体" w:hint="default"/>
                <w:spacing w:val="-3"/>
                <w:sz w:val="18"/>
                <w:szCs w:val="18"/>
              </w:rPr>
              <w:t>损益的金融资产</w:t>
            </w:r>
          </w:p>
        </w:tc>
        <w:tc>
          <w:tcPr>
            <w:tcW w:w="3409" w:type="dxa"/>
            <w:tcBorders>
              <w:top w:val="single" w:sz="4" w:space="0" w:color="000000"/>
              <w:left w:val="single" w:sz="10"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387,092,859.87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288,950,320.88</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其中：应收票据</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387,092,859.87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288,950,320.88</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121,317,967.75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148,309,717.66</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43,896,402.45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33,565,130.81</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315,616.44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162,900.00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4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127,534,000.88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154,922,903.29</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239,573,173.29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326,842,219.19</w:t>
            </w:r>
          </w:p>
        </w:tc>
      </w:tr>
      <w:tr>
        <w:trPr>
          <w:trHeight w:val="3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1,309,213,372.73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1,255,928,051.57</w:t>
            </w:r>
          </w:p>
        </w:tc>
      </w:tr>
      <w:tr>
        <w:trPr>
          <w:trHeight w:val="31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409" w:type="dxa"/>
            <w:tcBorders>
              <w:top w:val="single" w:sz="6" w:space="0" w:color="D2D2D2"/>
              <w:left w:val="single" w:sz="4" w:space="0" w:color="000000"/>
              <w:bottom w:val="single" w:sz="4" w:space="0" w:color="000000"/>
              <w:right w:val="single" w:sz="4" w:space="0" w:color="000000"/>
            </w:tcBorders>
          </w:tcPr>
          <w:p>
            <w:pPr/>
          </w:p>
        </w:tc>
        <w:tc>
          <w:tcPr>
            <w:tcW w:w="2968" w:type="dxa"/>
            <w:tcBorders>
              <w:top w:val="single" w:sz="6" w:space="0" w:color="D2D2D2"/>
              <w:left w:val="single" w:sz="4" w:space="0" w:color="000000"/>
              <w:bottom w:val="single" w:sz="4" w:space="0" w:color="000000"/>
              <w:right w:val="single" w:sz="4" w:space="0" w:color="000000"/>
            </w:tcBorders>
          </w:tcPr>
          <w:p>
            <w:pP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537,260,988.53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607,273,532.97</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38,231,716.23</w:t>
            </w: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13,570,998.25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13,493,700.28</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52,398,706.48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63,007,359.27</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7,052,562.82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7,820,949.31</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155,617,924.66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155,617,924.66</w:t>
            </w:r>
            <w:r>
              <w:rPr>
                <w:rFonts w:ascii="Times New Roman"/>
                <w:sz w:val="18"/>
              </w:rPr>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6,880,251.17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4,321,996.51</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31,032,052.92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31,271,596.90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11,527,148.00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2"/>
                <w:sz w:val="18"/>
              </w:rPr>
              <w:t>11,527,148.00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845,340,632.83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962,565,924.13</w:t>
            </w:r>
          </w:p>
        </w:tc>
      </w:tr>
      <w:tr>
        <w:trPr>
          <w:trHeight w:val="3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2,154,554,005.56</w:t>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2,218,493,975.70</w:t>
            </w:r>
          </w:p>
        </w:tc>
      </w:tr>
      <w:tr>
        <w:trPr>
          <w:trHeight w:val="3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287,900,000.00</w:t>
            </w: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294,000,000.00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95"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w w:val="101"/>
                <w:sz w:val="18"/>
                <w:szCs w:val="18"/>
              </w:rPr>
              <w:t> </w:t>
            </w:r>
            <w:r>
              <w:rPr>
                <w:rFonts w:ascii="宋体" w:hAnsi="宋体" w:cs="宋体" w:eastAsia="宋体" w:hint="default"/>
                <w:spacing w:val="-3"/>
                <w:sz w:val="18"/>
                <w:szCs w:val="18"/>
              </w:rPr>
              <w:t>损益的金融负债</w:t>
            </w:r>
          </w:p>
        </w:tc>
        <w:tc>
          <w:tcPr>
            <w:tcW w:w="3409" w:type="dxa"/>
            <w:tcBorders>
              <w:top w:val="single" w:sz="4" w:space="0" w:color="000000"/>
              <w:left w:val="single" w:sz="10"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101,285,276.21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100,130,681.45</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2"/>
                <w:sz w:val="18"/>
              </w:rPr>
              <w:t>114,372,352.56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120,332,588.24</w:t>
            </w: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8,477,706.20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7,834,427.99</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80,029,952.37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73,428,267.35</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18,882,268.06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61,837,500.96</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669,234.71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693,399.53</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4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610,947,555.40</w:t>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pacing w:val="-1"/>
                <w:sz w:val="18"/>
              </w:rPr>
              <w:t>657,563,465.99</w:t>
            </w:r>
          </w:p>
        </w:tc>
      </w:tr>
      <w:tr>
        <w:trPr>
          <w:trHeight w:val="31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170,000,000.00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3"/>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5,056,825.79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5,636,910.93</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2,655,208.66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3,472,195.92</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177,712,034.45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209,109,106.85</w:t>
            </w:r>
          </w:p>
        </w:tc>
      </w:tr>
      <w:tr>
        <w:trPr>
          <w:trHeight w:val="3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9"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788,659,589.85</w:t>
            </w:r>
          </w:p>
        </w:tc>
        <w:tc>
          <w:tcPr>
            <w:tcW w:w="2968"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866,672,572.84</w:t>
            </w:r>
          </w:p>
        </w:tc>
      </w:tr>
      <w:tr>
        <w:trPr>
          <w:trHeight w:val="3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2"/>
                <w:sz w:val="18"/>
              </w:rPr>
              <w:t>706,640,535.00</w:t>
            </w:r>
            <w:r>
              <w:rPr>
                <w:rFonts w:ascii="Times New Roman"/>
                <w:sz w:val="18"/>
              </w:rPr>
            </w: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706,640,535.00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375,979,751.21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375,571,417.21</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-12,588,336.41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pacing w:val="-2"/>
                <w:sz w:val="18"/>
              </w:rPr>
              <w:t>-4,579,211.51</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18"/>
                <w:szCs w:val="18"/>
              </w:rPr>
            </w:pPr>
            <w:r>
              <w:rPr>
                <w:rFonts w:ascii="Times New Roman"/>
                <w:spacing w:val="-1"/>
                <w:sz w:val="18"/>
              </w:rPr>
              <w:t>27,821,403.26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3"/>
              <w:jc w:val="right"/>
              <w:rPr>
                <w:rFonts w:ascii="Times New Roman" w:hAnsi="Times New Roman" w:cs="Times New Roman" w:eastAsia="Times New Roman" w:hint="default"/>
                <w:sz w:val="18"/>
                <w:szCs w:val="18"/>
              </w:rPr>
            </w:pPr>
            <w:r>
              <w:rPr>
                <w:rFonts w:ascii="Times New Roman"/>
                <w:spacing w:val="-1"/>
                <w:sz w:val="18"/>
              </w:rPr>
              <w:t>26,181,022.91</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9"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253,412,946.83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3"/>
              <w:jc w:val="right"/>
              <w:rPr>
                <w:rFonts w:ascii="Times New Roman" w:hAnsi="Times New Roman" w:cs="Times New Roman" w:eastAsia="Times New Roman" w:hint="default"/>
                <w:sz w:val="18"/>
                <w:szCs w:val="18"/>
              </w:rPr>
            </w:pPr>
            <w:r>
              <w:rPr>
                <w:rFonts w:ascii="Times New Roman"/>
                <w:spacing w:val="-1"/>
                <w:sz w:val="18"/>
              </w:rPr>
              <w:t>219,302,589.49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4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4"/>
        <w:gridCol w:w="3409"/>
        <w:gridCol w:w="2968"/>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1,351,266,299.89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1,323,116,353.10</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14,628,115.82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28,705,049.76</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1,365,894,415.71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1,351,821,402.86</w:t>
            </w:r>
          </w:p>
        </w:tc>
      </w:tr>
      <w:tr>
        <w:trPr>
          <w:trHeight w:val="3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2,154,554,005.56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2,218,493,975.70</w:t>
            </w:r>
          </w:p>
        </w:tc>
      </w:tr>
    </w:tbl>
    <w:p>
      <w:pPr>
        <w:spacing w:line="240" w:lineRule="auto" w:before="5"/>
        <w:rPr>
          <w:rFonts w:ascii="Times New Roman" w:hAnsi="Times New Roman" w:cs="Times New Roman" w:eastAsia="Times New Roman" w:hint="default"/>
          <w:sz w:val="19"/>
          <w:szCs w:val="19"/>
        </w:rPr>
      </w:pPr>
    </w:p>
    <w:p>
      <w:pPr>
        <w:pStyle w:val="BodyText"/>
        <w:tabs>
          <w:tab w:pos="3515" w:val="left" w:leader="none"/>
          <w:tab w:pos="7567" w:val="left" w:leader="none"/>
        </w:tabs>
        <w:spacing w:line="240" w:lineRule="auto" w:before="46"/>
        <w:ind w:left="0" w:right="1218"/>
        <w:jc w:val="right"/>
      </w:pPr>
      <w:r>
        <w:rPr>
          <w:spacing w:val="-3"/>
        </w:rPr>
        <w:t>法定代表人：陈向军</w:t>
        <w:tab/>
        <w:t>主管会计工作负责人：刘奕</w:t>
        <w:tab/>
        <w:t>会计机构负责人：张春雷</w:t>
      </w:r>
    </w:p>
    <w:p>
      <w:pPr>
        <w:spacing w:line="240" w:lineRule="auto" w:before="11"/>
        <w:rPr>
          <w:rFonts w:ascii="宋体" w:hAnsi="宋体" w:cs="宋体" w:eastAsia="宋体" w:hint="default"/>
          <w:sz w:val="21"/>
          <w:szCs w:val="21"/>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04"/>
        <w:gridCol w:w="3298"/>
        <w:gridCol w:w="2968"/>
      </w:tblGrid>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9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right="12"/>
              <w:jc w:val="right"/>
              <w:rPr>
                <w:rFonts w:ascii="Times New Roman" w:hAnsi="Times New Roman" w:cs="Times New Roman" w:eastAsia="Times New Roman" w:hint="default"/>
                <w:sz w:val="18"/>
                <w:szCs w:val="18"/>
              </w:rPr>
            </w:pPr>
            <w:r>
              <w:rPr>
                <w:rFonts w:ascii="Times New Roman"/>
                <w:spacing w:val="-1"/>
                <w:sz w:val="18"/>
              </w:rPr>
              <w:t>264,399,492.17</w:t>
            </w:r>
          </w:p>
        </w:tc>
        <w:tc>
          <w:tcPr>
            <w:tcW w:w="29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sz w:val="18"/>
              </w:rPr>
              <w:t>205,878,810.47</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23"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w:t>
            </w:r>
            <w:r>
              <w:rPr>
                <w:rFonts w:ascii="宋体" w:hAnsi="宋体" w:cs="宋体" w:eastAsia="宋体" w:hint="default"/>
                <w:w w:val="101"/>
                <w:sz w:val="18"/>
                <w:szCs w:val="18"/>
              </w:rPr>
              <w:t> </w:t>
            </w:r>
            <w:r>
              <w:rPr>
                <w:rFonts w:ascii="宋体" w:hAnsi="宋体" w:cs="宋体" w:eastAsia="宋体" w:hint="default"/>
                <w:sz w:val="18"/>
                <w:szCs w:val="18"/>
              </w:rPr>
              <w:t>益的金融资产</w:t>
            </w:r>
          </w:p>
        </w:tc>
        <w:tc>
          <w:tcPr>
            <w:tcW w:w="329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160,522,838.38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119,229,468.29</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其中：应收票据</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160,522,838.38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119,229,468.29</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1,137,197.70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22,791,584.03</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104,684,879.40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167,555,099.96</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315,616.44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162,900.00</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20,000,000.00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30,221,099.60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17,796,158.94</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167,662,296.34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160,824,378.63</w:t>
            </w:r>
          </w:p>
        </w:tc>
      </w:tr>
      <w:tr>
        <w:trPr>
          <w:trHeight w:val="33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98"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728,627,803.59</w:t>
            </w:r>
          </w:p>
        </w:tc>
        <w:tc>
          <w:tcPr>
            <w:tcW w:w="2968"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694,075,500.32</w:t>
            </w:r>
          </w:p>
        </w:tc>
      </w:tr>
      <w:tr>
        <w:trPr>
          <w:trHeight w:val="30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9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30,000,000.00</w:t>
            </w: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863,263,521.44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926,409,903.68</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38,231,716.23</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8,984,803.73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6,961,681.13</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32,083,410.60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37,876,428.82</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7,052,562.82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7,820,949.31</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5,351,202.86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2,239,591.07</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16,494,504.21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22,910,229.04</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2"/>
                <w:sz w:val="18"/>
              </w:rPr>
              <w:t>11,527,148.00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11,527,148.00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304"/>
        <w:gridCol w:w="3298"/>
        <w:gridCol w:w="2968"/>
      </w:tblGrid>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974,757,153.66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1,083,977,647.28</w:t>
            </w:r>
          </w:p>
        </w:tc>
      </w:tr>
      <w:tr>
        <w:trPr>
          <w:trHeight w:val="33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9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1,703,384,957.25</w:t>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1,778,053,147.60</w:t>
            </w:r>
          </w:p>
        </w:tc>
      </w:tr>
      <w:tr>
        <w:trPr>
          <w:trHeight w:val="30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9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190,000,000.00</w:t>
            </w: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253,000,000.00</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22"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w:t>
            </w:r>
            <w:r>
              <w:rPr>
                <w:rFonts w:ascii="宋体" w:hAnsi="宋体" w:cs="宋体" w:eastAsia="宋体" w:hint="default"/>
                <w:w w:val="101"/>
                <w:sz w:val="18"/>
                <w:szCs w:val="18"/>
              </w:rPr>
              <w:t> </w:t>
            </w:r>
            <w:r>
              <w:rPr>
                <w:rFonts w:ascii="宋体" w:hAnsi="宋体" w:cs="宋体" w:eastAsia="宋体" w:hint="default"/>
                <w:sz w:val="18"/>
                <w:szCs w:val="18"/>
              </w:rPr>
              <w:t>益的金融负债</w:t>
            </w:r>
          </w:p>
        </w:tc>
        <w:tc>
          <w:tcPr>
            <w:tcW w:w="329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71,644,450.14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32,819,045.21</w:t>
            </w:r>
          </w:p>
        </w:tc>
      </w:tr>
      <w:tr>
        <w:trPr>
          <w:trHeight w:val="32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1,931,052.36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934,166.81</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2,511,418.96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3,189,886.85</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11,707,387.75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5,074,221.60</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31,537,497.55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67,205,604.09</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9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309,331,806.76</w:t>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362,222,924.56</w:t>
            </w:r>
          </w:p>
        </w:tc>
      </w:tr>
      <w:tr>
        <w:trPr>
          <w:trHeight w:val="31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9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170,000,000.00</w:t>
            </w: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5,056,825.79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5,636,910.93</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175,056,825.79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205,636,910.93</w:t>
            </w:r>
          </w:p>
        </w:tc>
      </w:tr>
      <w:tr>
        <w:trPr>
          <w:trHeight w:val="32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9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484,388,632.55</w:t>
            </w:r>
          </w:p>
        </w:tc>
        <w:tc>
          <w:tcPr>
            <w:tcW w:w="29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567,859,835.49</w:t>
            </w:r>
          </w:p>
        </w:tc>
      </w:tr>
      <w:tr>
        <w:trPr>
          <w:trHeight w:val="31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9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706,640,535.00</w:t>
            </w:r>
          </w:p>
        </w:tc>
        <w:tc>
          <w:tcPr>
            <w:tcW w:w="296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706,640,535.00</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375,979,751.21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375,571,417.21</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-12,588,336.41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-4,579,211.51</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98"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25,734,687.73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24,094,307.38</w:t>
            </w:r>
          </w:p>
        </w:tc>
      </w:tr>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123,229,687.17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108,466,264.03</w:t>
            </w:r>
          </w:p>
        </w:tc>
      </w:tr>
      <w:tr>
        <w:trPr>
          <w:trHeight w:val="32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1,218,996,324.70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1,210,193,312.11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304"/>
        <w:gridCol w:w="3298"/>
        <w:gridCol w:w="2968"/>
      </w:tblGrid>
      <w:tr>
        <w:trPr>
          <w:trHeight w:val="32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11" w:right="0"/>
              <w:jc w:val="left"/>
              <w:rPr>
                <w:rFonts w:ascii="Times New Roman" w:hAnsi="Times New Roman" w:cs="Times New Roman" w:eastAsia="Times New Roman" w:hint="default"/>
                <w:sz w:val="18"/>
                <w:szCs w:val="18"/>
              </w:rPr>
            </w:pPr>
            <w:r>
              <w:rPr>
                <w:rFonts w:ascii="Times New Roman"/>
                <w:sz w:val="18"/>
              </w:rPr>
              <w:t>1,703,384,957.25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6" w:right="0"/>
              <w:jc w:val="left"/>
              <w:rPr>
                <w:rFonts w:ascii="Times New Roman" w:hAnsi="Times New Roman" w:cs="Times New Roman" w:eastAsia="Times New Roman" w:hint="default"/>
                <w:sz w:val="18"/>
                <w:szCs w:val="18"/>
              </w:rPr>
            </w:pPr>
            <w:r>
              <w:rPr>
                <w:rFonts w:ascii="Times New Roman"/>
                <w:sz w:val="18"/>
              </w:rPr>
              <w:t>1,778,053,147.60</w:t>
            </w:r>
          </w:p>
        </w:tc>
      </w:tr>
    </w:tbl>
    <w:p>
      <w:pPr>
        <w:spacing w:line="240" w:lineRule="auto" w:before="4"/>
        <w:rPr>
          <w:rFonts w:ascii="Times New Roman" w:hAnsi="Times New Roman" w:cs="Times New Roman" w:eastAsia="Times New Roman" w:hint="default"/>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110"/>
        <w:gridCol w:w="2982"/>
        <w:gridCol w:w="2478"/>
      </w:tblGrid>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2"/>
                <w:sz w:val="18"/>
              </w:rPr>
              <w:t>1,299,251,173.43</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2"/>
                <w:sz w:val="18"/>
              </w:rPr>
              <w:t>1,147,678,765.17</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1,299,251,173.43</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1,147,678,765.17</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1,250,684,029.51</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1,103,082,864.71</w:t>
            </w: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883,981,458.18</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765,635,336.81</w:t>
            </w: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4,125,026.87</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2,736,671.31</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207,524,481.69</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207,137,589.50</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67,658,400.68</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70,673,619.97</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56,734,133.61</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40,551,259.12</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18,986,935.76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12,374,254.66</w:t>
            </w: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27,642,058.61</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12,829,861.05</w:t>
            </w: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84"/>
              <w:jc w:val="center"/>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pacing w:val="-1"/>
                <w:sz w:val="18"/>
              </w:rPr>
              <w:t>10,715,656.85</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pacing w:val="-1"/>
                <w:sz w:val="18"/>
              </w:rPr>
              <w:t>6,021,388.55</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11,673,592.72</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3,974,133.34</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8,180,393.80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5,456,876.69</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2"/>
                <w:sz w:val="18"/>
              </w:rPr>
              <w:t>-62,411,753.54</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-17,316,800.62</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4"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-62,411,753.54</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-17,316,800.62</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35,462,882.06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123,741.16</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29,798,666.24</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32,859,717.69</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3,723,070.21</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2,121,423.53</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895,980.64</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514,865.62</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32,625,755.81</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34,466,275.60</w:t>
            </w: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10,951,952.06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9,658,686.33</w:t>
            </w: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982"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pacing w:val="-1"/>
                <w:sz w:val="18"/>
              </w:rPr>
              <w:t>21,673,803.75</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pacing w:val="-1"/>
                <w:sz w:val="18"/>
              </w:rPr>
              <w:t>24,807,589.27</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9"/>
              <w:jc w:val="right"/>
              <w:rPr>
                <w:rFonts w:ascii="宋体" w:hAnsi="宋体" w:cs="宋体" w:eastAsia="宋体" w:hint="default"/>
                <w:sz w:val="18"/>
                <w:szCs w:val="18"/>
              </w:rPr>
            </w:pPr>
            <w:r>
              <w:rPr>
                <w:rFonts w:ascii="宋体" w:hAnsi="宋体" w:cs="宋体" w:eastAsia="宋体" w:hint="default"/>
                <w:spacing w:val="-3"/>
                <w:sz w:val="18"/>
                <w:szCs w:val="18"/>
              </w:rPr>
              <w:t>（一）持续经营净利润（净亏损以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982" w:type="dxa"/>
            <w:tcBorders>
              <w:top w:val="single" w:sz="10" w:space="0" w:color="FFFFFF"/>
              <w:left w:val="single" w:sz="4" w:space="0" w:color="000000"/>
              <w:bottom w:val="single" w:sz="6" w:space="0" w:color="FFFFFF"/>
              <w:right w:val="single" w:sz="4" w:space="0" w:color="000000"/>
            </w:tcBorders>
          </w:tcPr>
          <w:p>
            <w:pPr>
              <w:pStyle w:val="TableParagraph"/>
              <w:spacing w:line="240" w:lineRule="auto" w:before="41"/>
              <w:ind w:right="13"/>
              <w:jc w:val="right"/>
              <w:rPr>
                <w:rFonts w:ascii="Times New Roman" w:hAnsi="Times New Roman" w:cs="Times New Roman" w:eastAsia="Times New Roman" w:hint="default"/>
                <w:sz w:val="18"/>
                <w:szCs w:val="18"/>
              </w:rPr>
            </w:pPr>
            <w:r>
              <w:rPr>
                <w:rFonts w:ascii="Times New Roman"/>
                <w:spacing w:val="-1"/>
                <w:sz w:val="18"/>
              </w:rPr>
              <w:t>21,673,803.75</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24,807,589.27</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9"/>
              <w:jc w:val="right"/>
              <w:rPr>
                <w:rFonts w:ascii="宋体" w:hAnsi="宋体" w:cs="宋体" w:eastAsia="宋体" w:hint="default"/>
                <w:sz w:val="18"/>
                <w:szCs w:val="18"/>
              </w:rPr>
            </w:pPr>
            <w:r>
              <w:rPr>
                <w:rFonts w:ascii="宋体" w:hAnsi="宋体" w:cs="宋体" w:eastAsia="宋体" w:hint="default"/>
                <w:spacing w:val="-3"/>
                <w:sz w:val="18"/>
                <w:szCs w:val="18"/>
              </w:rPr>
              <w:t>（二）终止经营净利润（净亏损以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982" w:type="dxa"/>
            <w:tcBorders>
              <w:top w:val="single" w:sz="6" w:space="0" w:color="FFFFFF"/>
              <w:left w:val="single" w:sz="4" w:space="0" w:color="000000"/>
              <w:bottom w:val="single" w:sz="6" w:space="0" w:color="FFFFFF"/>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2982" w:type="dxa"/>
            <w:tcBorders>
              <w:top w:val="single" w:sz="6" w:space="0" w:color="FFFFFF"/>
              <w:left w:val="single" w:sz="4" w:space="0" w:color="000000"/>
              <w:bottom w:val="single" w:sz="4" w:space="0" w:color="000000"/>
              <w:right w:val="single" w:sz="4" w:space="0" w:color="000000"/>
            </w:tcBorders>
          </w:tcPr>
          <w:p>
            <w:pPr>
              <w:pStyle w:val="TableParagraph"/>
              <w:spacing w:line="240" w:lineRule="auto" w:before="40"/>
              <w:ind w:right="13"/>
              <w:jc w:val="right"/>
              <w:rPr>
                <w:rFonts w:ascii="Times New Roman" w:hAnsi="Times New Roman" w:cs="Times New Roman" w:eastAsia="Times New Roman" w:hint="default"/>
                <w:sz w:val="18"/>
                <w:szCs w:val="18"/>
              </w:rPr>
            </w:pPr>
            <w:r>
              <w:rPr>
                <w:rFonts w:ascii="Times New Roman"/>
                <w:spacing w:val="-1"/>
                <w:sz w:val="18"/>
              </w:rPr>
              <w:t>35,750,737.69</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22,238,457.43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110"/>
        <w:gridCol w:w="2982"/>
        <w:gridCol w:w="2478"/>
      </w:tblGrid>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-14,076,933.94</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2,569,131.84</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-8,009,124.90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-4,027,035.11</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归属母公司所有者的其他综合收益的税后净额</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-8,009,124.90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-4,027,035.11</w:t>
            </w:r>
          </w:p>
        </w:tc>
      </w:tr>
      <w:tr>
        <w:trPr>
          <w:trHeight w:val="327"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权益法下不能转损益的其他综合收益</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-8,009,124.90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-4,027,035.11</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-8,009,124.90</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-4,027,035.11</w:t>
            </w: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可供出售金融资产公允价值变动损益</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8"/>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持有至到期投资重分类为可供出售金</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982" w:type="dxa"/>
            <w:tcBorders>
              <w:top w:val="single" w:sz="4" w:space="0" w:color="000000"/>
              <w:left w:val="single" w:sz="10" w:space="0" w:color="D2D2D2"/>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现金流量套期损益的有效部分</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归属于少数股东的其他综合收益的税后净额</w:t>
            </w:r>
          </w:p>
        </w:tc>
        <w:tc>
          <w:tcPr>
            <w:tcW w:w="2982" w:type="dxa"/>
            <w:tcBorders>
              <w:top w:val="single" w:sz="4" w:space="0" w:color="000000"/>
              <w:left w:val="single" w:sz="4" w:space="0" w:color="000000"/>
              <w:bottom w:val="single" w:sz="4" w:space="0" w:color="000000"/>
              <w:right w:val="single" w:sz="4" w:space="0" w:color="000000"/>
            </w:tcBorders>
          </w:tcPr>
          <w:p>
            <w:pPr/>
          </w:p>
        </w:tc>
        <w:tc>
          <w:tcPr>
            <w:tcW w:w="247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13,664,678.85</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20,780,554.16</w:t>
            </w:r>
          </w:p>
        </w:tc>
      </w:tr>
      <w:tr>
        <w:trPr>
          <w:trHeight w:val="326"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归属于母公司所有者的综合收益总额</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27,741,612.79</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18,211,422.32</w:t>
            </w:r>
          </w:p>
        </w:tc>
      </w:tr>
      <w:tr>
        <w:trPr>
          <w:trHeight w:val="329"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298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-14,076,933.94</w:t>
            </w:r>
          </w:p>
        </w:tc>
        <w:tc>
          <w:tcPr>
            <w:tcW w:w="247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2,569,131.84</w:t>
            </w:r>
          </w:p>
        </w:tc>
      </w:tr>
      <w:tr>
        <w:trPr>
          <w:trHeight w:val="31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2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298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0.0506</w:t>
            </w:r>
          </w:p>
        </w:tc>
        <w:tc>
          <w:tcPr>
            <w:tcW w:w="247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0.0321</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0.0506</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0.0321</w:t>
            </w:r>
          </w:p>
        </w:tc>
      </w:tr>
    </w:tbl>
    <w:p>
      <w:pPr>
        <w:pStyle w:val="BodyText"/>
        <w:tabs>
          <w:tab w:pos="3668" w:val="left" w:leader="none"/>
          <w:tab w:pos="7720" w:val="left" w:leader="none"/>
        </w:tabs>
        <w:spacing w:line="525" w:lineRule="auto" w:before="10"/>
        <w:ind w:right="1218"/>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2"/>
        </w:rPr>
        <w:t> </w:t>
      </w:r>
      <w:r>
        <w:rPr>
          <w:spacing w:val="-3"/>
        </w:rPr>
        <w:t>法定代表人：陈向军</w:t>
        <w:tab/>
        <w:t>主管会计工作负责人：刘奕</w:t>
        <w:tab/>
        <w:t>会计机构负责人：张春雷</w:t>
      </w:r>
      <w:r>
        <w:rPr>
          <w:spacing w:val="-56"/>
        </w:rPr>
        <w:t> </w:t>
      </w:r>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0"/>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971"/>
        <w:gridCol w:w="2838"/>
        <w:gridCol w:w="2761"/>
      </w:tblGrid>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310,175,979.89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91,375,570.27</w:t>
            </w: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200,850,652.13</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67,858,483.37</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2,172,797.59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1,101,093.48</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23,920,714.36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20,013,550.23</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23,187,946.87</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23,339,008.28</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23,374,265.36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19,284,510.46</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10,938,833.69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3,035,106.58</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25,065,972.15</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
              <w:jc w:val="right"/>
              <w:rPr>
                <w:rFonts w:ascii="Times New Roman" w:hAnsi="Times New Roman" w:cs="Times New Roman" w:eastAsia="Times New Roman" w:hint="default"/>
                <w:sz w:val="18"/>
                <w:szCs w:val="18"/>
              </w:rPr>
            </w:pPr>
            <w:r>
              <w:rPr>
                <w:rFonts w:ascii="Times New Roman"/>
                <w:spacing w:val="-1"/>
                <w:sz w:val="18"/>
              </w:rPr>
              <w:t>9,478,609.59</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05"/>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14,632,854.12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6,568,835.92</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6,900,203.52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466,061.06</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3,599,059.44</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3,300,619.19</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-34,545,591.34</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43,508,039.43</w:t>
            </w: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7"/>
              <w:jc w:val="right"/>
              <w:rPr>
                <w:rFonts w:ascii="宋体" w:hAnsi="宋体" w:cs="宋体" w:eastAsia="宋体" w:hint="default"/>
                <w:sz w:val="18"/>
                <w:szCs w:val="18"/>
              </w:rPr>
            </w:pPr>
            <w:r>
              <w:rPr>
                <w:rFonts w:ascii="宋体" w:hAnsi="宋体" w:cs="宋体" w:eastAsia="宋体" w:hint="default"/>
                <w:spacing w:val="-5"/>
                <w:sz w:val="18"/>
                <w:szCs w:val="18"/>
              </w:rPr>
              <w:t>其中：对联营企业和合营企业的投资收益</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-54,545,591.34</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-17,791,960.57</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838" w:type="dxa"/>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35,391,157.57</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1,407.68</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r>
        <w:rPr/>
        <w:pict>
          <v:shape style="position:absolute;margin-left:249.462875pt;margin-top:169.48999pt;width:147.450pt;height:15.85pt;mso-position-horizontal-relative:page;mso-position-vertical-relative:page;z-index:-821056" type="#_x0000_t202" filled="false" stroked="false">
            <v:textbox inset="0,0,0,0">
              <w:txbxContent>
                <w:p>
                  <w:pPr>
                    <w:pStyle w:val="BodyText"/>
                    <w:spacing w:line="240" w:lineRule="auto" w:before="10"/>
                    <w:ind w:left="0" w:right="0"/>
                    <w:jc w:val="left"/>
                  </w:pPr>
                  <w:r>
                    <w:rPr>
                      <w:w w:val="101"/>
                    </w:rPr>
                    <w:t>）</w:t>
                  </w:r>
                  <w:r>
                    <w:rPr/>
                  </w:r>
                </w:p>
              </w:txbxContent>
            </v:textbox>
            <w10:wrap type="none"/>
          </v:shape>
        </w:pict>
      </w:r>
      <w:r>
        <w:rPr/>
        <w:pict>
          <v:shape style="position:absolute;margin-left:249.462875pt;margin-top:185.809982pt;width:147.450pt;height:15.6pt;mso-position-horizontal-relative:page;mso-position-vertical-relative:page;z-index:-821032" type="#_x0000_t202" filled="false" stroked="false">
            <v:textbox inset="0,0,0,0">
              <w:txbxContent>
                <w:p>
                  <w:pPr>
                    <w:pStyle w:val="BodyText"/>
                    <w:spacing w:line="240" w:lineRule="auto" w:before="10"/>
                    <w:ind w:left="0" w:right="0"/>
                    <w:jc w:val="left"/>
                  </w:pPr>
                  <w:r>
                    <w:rPr>
                      <w:w w:val="101"/>
                    </w:rPr>
                    <w:t>）</w:t>
                  </w:r>
                  <w:r>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971"/>
        <w:gridCol w:w="920"/>
        <w:gridCol w:w="1919"/>
        <w:gridCol w:w="2761"/>
      </w:tblGrid>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67" w:right="0"/>
              <w:jc w:val="left"/>
              <w:rPr>
                <w:rFonts w:ascii="Times New Roman" w:hAnsi="Times New Roman" w:cs="Times New Roman" w:eastAsia="Times New Roman" w:hint="default"/>
                <w:sz w:val="18"/>
                <w:szCs w:val="18"/>
              </w:rPr>
            </w:pPr>
            <w:r>
              <w:rPr>
                <w:rFonts w:ascii="Times New Roman"/>
                <w:sz w:val="18"/>
              </w:rPr>
              <w:t>23,275,192.04</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3,087,823.11</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29,834.10</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458,463.72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132,198.71</w:t>
            </w: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67" w:right="0"/>
              <w:jc w:val="left"/>
              <w:rPr>
                <w:rFonts w:ascii="Times New Roman" w:hAnsi="Times New Roman" w:cs="Times New Roman" w:eastAsia="Times New Roman" w:hint="default"/>
                <w:sz w:val="18"/>
                <w:szCs w:val="18"/>
              </w:rPr>
            </w:pPr>
            <w:r>
              <w:rPr>
                <w:rFonts w:ascii="Times New Roman"/>
                <w:sz w:val="18"/>
              </w:rPr>
              <w:t>22,819,528.32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2,985,458.50</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58" w:right="0"/>
              <w:jc w:val="left"/>
              <w:rPr>
                <w:rFonts w:ascii="Times New Roman" w:hAnsi="Times New Roman" w:cs="Times New Roman" w:eastAsia="Times New Roman" w:hint="default"/>
                <w:sz w:val="18"/>
                <w:szCs w:val="18"/>
              </w:rPr>
            </w:pPr>
            <w:r>
              <w:rPr>
                <w:rFonts w:ascii="Times New Roman"/>
                <w:sz w:val="18"/>
              </w:rPr>
              <w:t>6,415,724.83</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-5,037,442.73</w:t>
            </w:r>
          </w:p>
        </w:tc>
      </w:tr>
      <w:tr>
        <w:trPr>
          <w:trHeight w:val="329"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8" w:type="dxa"/>
            <w:gridSpan w:val="2"/>
            <w:tcBorders>
              <w:top w:val="single" w:sz="4" w:space="0" w:color="000000"/>
              <w:left w:val="single" w:sz="4" w:space="0" w:color="000000"/>
              <w:bottom w:val="single" w:sz="6" w:space="0" w:color="FFFFFF"/>
              <w:right w:val="single" w:sz="4" w:space="0" w:color="000000"/>
            </w:tcBorders>
          </w:tcPr>
          <w:p>
            <w:pPr>
              <w:pStyle w:val="TableParagraph"/>
              <w:spacing w:line="240" w:lineRule="auto" w:before="48"/>
              <w:ind w:left="1767" w:right="0"/>
              <w:jc w:val="left"/>
              <w:rPr>
                <w:rFonts w:ascii="Times New Roman" w:hAnsi="Times New Roman" w:cs="Times New Roman" w:eastAsia="Times New Roman" w:hint="default"/>
                <w:sz w:val="18"/>
                <w:szCs w:val="18"/>
              </w:rPr>
            </w:pPr>
            <w:r>
              <w:rPr>
                <w:rFonts w:ascii="Times New Roman"/>
                <w:sz w:val="18"/>
              </w:rPr>
              <w:t>16,403,803.49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8,022,901.23</w:t>
            </w:r>
          </w:p>
        </w:tc>
      </w:tr>
      <w:tr>
        <w:trPr>
          <w:trHeight w:val="319"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08"/>
              <w:jc w:val="right"/>
              <w:rPr>
                <w:rFonts w:ascii="宋体" w:hAnsi="宋体" w:cs="宋体" w:eastAsia="宋体" w:hint="default"/>
                <w:sz w:val="18"/>
                <w:szCs w:val="18"/>
              </w:rPr>
            </w:pPr>
            <w:r>
              <w:rPr>
                <w:rFonts w:ascii="宋体" w:hAnsi="宋体" w:cs="宋体" w:eastAsia="宋体" w:hint="default"/>
                <w:spacing w:val="-7"/>
                <w:sz w:val="18"/>
                <w:szCs w:val="18"/>
              </w:rPr>
              <w:t>（一）持续经营净利润（净亏损以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920" w:type="dxa"/>
            <w:tcBorders>
              <w:top w:val="single" w:sz="6" w:space="0" w:color="FFFFFF"/>
              <w:left w:val="single" w:sz="4" w:space="0" w:color="000000"/>
              <w:bottom w:val="single" w:sz="15" w:space="0" w:color="FFFFFF"/>
              <w:right w:val="nil" w:sz="6" w:space="0" w:color="auto"/>
            </w:tcBorders>
          </w:tcPr>
          <w:p>
            <w:pPr/>
          </w:p>
        </w:tc>
        <w:tc>
          <w:tcPr>
            <w:tcW w:w="1919" w:type="dxa"/>
            <w:tcBorders>
              <w:top w:val="single" w:sz="6" w:space="0" w:color="FFFFFF"/>
              <w:left w:val="nil" w:sz="6" w:space="0" w:color="auto"/>
              <w:bottom w:val="single" w:sz="15" w:space="0" w:color="FFFFFF"/>
              <w:right w:val="single" w:sz="4" w:space="0" w:color="000000"/>
            </w:tcBorders>
          </w:tcPr>
          <w:p>
            <w:pPr>
              <w:pStyle w:val="TableParagraph"/>
              <w:spacing w:line="240" w:lineRule="auto" w:before="38"/>
              <w:ind w:left="852" w:right="0"/>
              <w:jc w:val="left"/>
              <w:rPr>
                <w:rFonts w:ascii="Times New Roman" w:hAnsi="Times New Roman" w:cs="Times New Roman" w:eastAsia="Times New Roman" w:hint="default"/>
                <w:sz w:val="18"/>
                <w:szCs w:val="18"/>
              </w:rPr>
            </w:pPr>
            <w:r>
              <w:rPr>
                <w:rFonts w:ascii="Times New Roman"/>
                <w:sz w:val="18"/>
              </w:rPr>
              <w:t>16,403,803.49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
              <w:jc w:val="right"/>
              <w:rPr>
                <w:rFonts w:ascii="Times New Roman" w:hAnsi="Times New Roman" w:cs="Times New Roman" w:eastAsia="Times New Roman" w:hint="default"/>
                <w:sz w:val="18"/>
                <w:szCs w:val="18"/>
              </w:rPr>
            </w:pPr>
            <w:r>
              <w:rPr>
                <w:rFonts w:ascii="Times New Roman"/>
                <w:spacing w:val="-1"/>
                <w:sz w:val="18"/>
              </w:rPr>
              <w:t>8,022,901.23</w:t>
            </w:r>
          </w:p>
        </w:tc>
      </w:tr>
      <w:tr>
        <w:trPr>
          <w:trHeight w:val="31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pacing w:val="-7"/>
                <w:sz w:val="18"/>
                <w:szCs w:val="18"/>
              </w:rPr>
              <w:t>（二）终止经营净利润（净亏损以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2838" w:type="dxa"/>
            <w:gridSpan w:val="2"/>
            <w:tcBorders>
              <w:top w:val="single" w:sz="15" w:space="0" w:color="FFFFFF"/>
              <w:left w:val="single" w:sz="4" w:space="0" w:color="000000"/>
              <w:bottom w:val="single" w:sz="10" w:space="0" w:color="FFFFFF"/>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2838" w:type="dxa"/>
            <w:gridSpan w:val="2"/>
            <w:tcBorders>
              <w:top w:val="single" w:sz="10" w:space="0" w:color="FFFFFF"/>
              <w:left w:val="single" w:sz="4" w:space="0" w:color="000000"/>
              <w:bottom w:val="single" w:sz="4" w:space="0" w:color="000000"/>
              <w:right w:val="single" w:sz="4" w:space="0" w:color="000000"/>
            </w:tcBorders>
          </w:tcPr>
          <w:p>
            <w:pPr>
              <w:pStyle w:val="TableParagraph"/>
              <w:spacing w:line="240" w:lineRule="auto" w:before="48"/>
              <w:ind w:left="1800" w:right="0"/>
              <w:jc w:val="left"/>
              <w:rPr>
                <w:rFonts w:ascii="Times New Roman" w:hAnsi="Times New Roman" w:cs="Times New Roman" w:eastAsia="Times New Roman" w:hint="default"/>
                <w:sz w:val="18"/>
                <w:szCs w:val="18"/>
              </w:rPr>
            </w:pPr>
            <w:r>
              <w:rPr>
                <w:rFonts w:ascii="Times New Roman"/>
                <w:sz w:val="18"/>
              </w:rPr>
              <w:t>-8,009,124.90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Times New Roman" w:hAnsi="Times New Roman" w:cs="Times New Roman" w:eastAsia="Times New Roman" w:hint="default"/>
                <w:sz w:val="18"/>
                <w:szCs w:val="18"/>
              </w:rPr>
            </w:pPr>
            <w:r>
              <w:rPr>
                <w:rFonts w:ascii="Times New Roman"/>
                <w:spacing w:val="-2"/>
                <w:sz w:val="18"/>
              </w:rPr>
              <w:t>-4,027,035.11</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2838" w:type="dxa"/>
            <w:gridSpan w:val="2"/>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2838" w:type="dxa"/>
            <w:gridSpan w:val="2"/>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5"/>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w:t>
            </w:r>
          </w:p>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2838" w:type="dxa"/>
            <w:gridSpan w:val="2"/>
            <w:tcBorders>
              <w:top w:val="single" w:sz="4" w:space="0" w:color="000000"/>
              <w:left w:val="single" w:sz="13" w:space="0" w:color="D2D2D2"/>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800" w:right="0"/>
              <w:jc w:val="left"/>
              <w:rPr>
                <w:rFonts w:ascii="Times New Roman" w:hAnsi="Times New Roman" w:cs="Times New Roman" w:eastAsia="Times New Roman" w:hint="default"/>
                <w:sz w:val="18"/>
                <w:szCs w:val="18"/>
              </w:rPr>
            </w:pPr>
            <w:r>
              <w:rPr>
                <w:rFonts w:ascii="Times New Roman"/>
                <w:sz w:val="18"/>
              </w:rPr>
              <w:t>-8,009,124.90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-4,027,035.11</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95"/>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0" w:right="0"/>
              <w:jc w:val="left"/>
              <w:rPr>
                <w:rFonts w:ascii="Times New Roman" w:hAnsi="Times New Roman" w:cs="Times New Roman" w:eastAsia="Times New Roman" w:hint="default"/>
                <w:sz w:val="18"/>
                <w:szCs w:val="18"/>
              </w:rPr>
            </w:pPr>
            <w:r>
              <w:rPr>
                <w:rFonts w:ascii="Times New Roman"/>
                <w:sz w:val="18"/>
              </w:rPr>
              <w:t>-8,009,124.90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2"/>
                <w:sz w:val="18"/>
              </w:rPr>
              <w:t>-4,027,035.11</w:t>
            </w:r>
          </w:p>
        </w:tc>
      </w:tr>
      <w:tr>
        <w:trPr>
          <w:trHeight w:val="55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5"/>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可供出售金融资产公允价值变动损</w:t>
            </w:r>
          </w:p>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2838" w:type="dxa"/>
            <w:gridSpan w:val="2"/>
            <w:tcBorders>
              <w:top w:val="single" w:sz="4" w:space="0" w:color="000000"/>
              <w:left w:val="single" w:sz="13" w:space="0" w:color="D2D2D2"/>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95"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持有至到期投资重分类为可供出售</w:t>
            </w:r>
            <w:r>
              <w:rPr>
                <w:rFonts w:ascii="宋体" w:hAnsi="宋体" w:cs="宋体" w:eastAsia="宋体" w:hint="default"/>
                <w:w w:val="101"/>
                <w:sz w:val="18"/>
                <w:szCs w:val="18"/>
              </w:rPr>
              <w:t> </w:t>
            </w:r>
            <w:r>
              <w:rPr>
                <w:rFonts w:ascii="宋体" w:hAnsi="宋体" w:cs="宋体" w:eastAsia="宋体" w:hint="default"/>
                <w:sz w:val="18"/>
                <w:szCs w:val="18"/>
              </w:rPr>
              <w:t>金融资产损益</w:t>
            </w:r>
          </w:p>
        </w:tc>
        <w:tc>
          <w:tcPr>
            <w:tcW w:w="2838" w:type="dxa"/>
            <w:gridSpan w:val="2"/>
            <w:tcBorders>
              <w:top w:val="single" w:sz="4" w:space="0" w:color="000000"/>
              <w:left w:val="single" w:sz="13" w:space="0" w:color="D2D2D2"/>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现金流量套期损益的有效部分</w:t>
            </w:r>
          </w:p>
        </w:tc>
        <w:tc>
          <w:tcPr>
            <w:tcW w:w="2838" w:type="dxa"/>
            <w:gridSpan w:val="2"/>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38" w:type="dxa"/>
            <w:gridSpan w:val="2"/>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38" w:type="dxa"/>
            <w:gridSpan w:val="2"/>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858" w:right="0"/>
              <w:jc w:val="left"/>
              <w:rPr>
                <w:rFonts w:ascii="Times New Roman" w:hAnsi="Times New Roman" w:cs="Times New Roman" w:eastAsia="Times New Roman" w:hint="default"/>
                <w:sz w:val="18"/>
                <w:szCs w:val="18"/>
              </w:rPr>
            </w:pPr>
            <w:r>
              <w:rPr>
                <w:rFonts w:ascii="Times New Roman"/>
                <w:sz w:val="18"/>
              </w:rPr>
              <w:t>8,394,678.59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3,995,866.12</w:t>
            </w:r>
          </w:p>
        </w:tc>
      </w:tr>
      <w:tr>
        <w:trPr>
          <w:trHeight w:val="310"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283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2838" w:type="dxa"/>
            <w:gridSpan w:val="2"/>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0.0232</w:t>
            </w:r>
          </w:p>
        </w:tc>
        <w:tc>
          <w:tcPr>
            <w:tcW w:w="2761"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0.0116</w:t>
            </w: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0.0232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0.0116</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971"/>
        <w:gridCol w:w="2410"/>
        <w:gridCol w:w="3189"/>
      </w:tblGrid>
      <w:tr>
        <w:trPr>
          <w:trHeight w:val="31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24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left="1118" w:right="0"/>
              <w:jc w:val="left"/>
              <w:rPr>
                <w:rFonts w:ascii="Times New Roman" w:hAnsi="Times New Roman" w:cs="Times New Roman" w:eastAsia="Times New Roman" w:hint="default"/>
                <w:sz w:val="18"/>
                <w:szCs w:val="18"/>
              </w:rPr>
            </w:pPr>
            <w:r>
              <w:rPr>
                <w:rFonts w:ascii="Times New Roman"/>
                <w:sz w:val="18"/>
              </w:rPr>
              <w:t>1,275,791,103.12</w:t>
            </w:r>
          </w:p>
        </w:tc>
        <w:tc>
          <w:tcPr>
            <w:tcW w:w="31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left="1901" w:right="0"/>
              <w:jc w:val="left"/>
              <w:rPr>
                <w:rFonts w:ascii="Times New Roman" w:hAnsi="Times New Roman" w:cs="Times New Roman" w:eastAsia="Times New Roman" w:hint="default"/>
                <w:sz w:val="18"/>
                <w:szCs w:val="18"/>
              </w:rPr>
            </w:pPr>
            <w:r>
              <w:rPr>
                <w:rFonts w:ascii="Times New Roman"/>
                <w:sz w:val="18"/>
              </w:rPr>
              <w:t>1,179,393,057.92</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72"/>
              <w:jc w:val="righ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872"/>
              <w:jc w:val="righ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52" w:firstLine="360"/>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处置以公允价值计量且其变动计入当期损益</w:t>
            </w:r>
            <w:r>
              <w:rPr>
                <w:rFonts w:ascii="宋体" w:hAnsi="宋体" w:cs="宋体" w:eastAsia="宋体" w:hint="default"/>
                <w:w w:val="101"/>
                <w:sz w:val="18"/>
                <w:szCs w:val="18"/>
              </w:rPr>
              <w:t> </w:t>
            </w:r>
            <w:r>
              <w:rPr>
                <w:rFonts w:ascii="宋体" w:hAnsi="宋体" w:cs="宋体" w:eastAsia="宋体" w:hint="default"/>
                <w:spacing w:val="-3"/>
                <w:sz w:val="18"/>
                <w:szCs w:val="18"/>
              </w:rPr>
              <w:t>的金融资产净增加额</w:t>
            </w:r>
          </w:p>
        </w:tc>
        <w:tc>
          <w:tcPr>
            <w:tcW w:w="2410"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971"/>
        <w:gridCol w:w="2410"/>
        <w:gridCol w:w="3189"/>
      </w:tblGrid>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31,429,919.35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8,761,408.54</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32,464,915.13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27,839,430.23</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1,339,685,937.60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1,215,993,896.69</w:t>
            </w: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821,524,091.22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898,768,209.82</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105,726,234.49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pacing w:val="-1"/>
                <w:sz w:val="18"/>
              </w:rPr>
              <w:t>102,502,470.64</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40,019,228.36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37,135,490.59</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275,230,523.10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247,250,359.64</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1,242,500,077.17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2"/>
                <w:sz w:val="18"/>
              </w:rPr>
              <w:t>1,285,656,530.69</w:t>
            </w:r>
          </w:p>
        </w:tc>
      </w:tr>
      <w:tr>
        <w:trPr>
          <w:trHeight w:val="329"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41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97,185,860.43</w:t>
            </w:r>
          </w:p>
        </w:tc>
        <w:tc>
          <w:tcPr>
            <w:tcW w:w="318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-69,662,634.00</w:t>
            </w:r>
          </w:p>
        </w:tc>
      </w:tr>
      <w:tr>
        <w:trPr>
          <w:trHeight w:val="31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2410" w:type="dxa"/>
            <w:tcBorders>
              <w:top w:val="single" w:sz="6" w:space="0" w:color="D2D2D2"/>
              <w:left w:val="single" w:sz="4" w:space="0" w:color="000000"/>
              <w:bottom w:val="single" w:sz="4" w:space="0" w:color="000000"/>
              <w:right w:val="single" w:sz="4" w:space="0" w:color="000000"/>
            </w:tcBorders>
          </w:tcPr>
          <w:p>
            <w:pPr/>
          </w:p>
        </w:tc>
        <w:tc>
          <w:tcPr>
            <w:tcW w:w="3189" w:type="dxa"/>
            <w:tcBorders>
              <w:top w:val="single" w:sz="6" w:space="0" w:color="D2D2D2"/>
              <w:left w:val="single" w:sz="4" w:space="0" w:color="000000"/>
              <w:bottom w:val="single" w:sz="4" w:space="0" w:color="000000"/>
              <w:right w:val="single" w:sz="4" w:space="0" w:color="000000"/>
            </w:tcBorders>
          </w:tcPr>
          <w:p>
            <w:pP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8"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73,132,543.00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152,903.48</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2"/>
              <w:jc w:val="righ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411,438,074.60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2,883,448.93</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484,570,617.60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3,036,352.41</w:t>
            </w:r>
          </w:p>
        </w:tc>
      </w:tr>
      <w:tr>
        <w:trPr>
          <w:trHeight w:val="55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8"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14,420,209.59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17,744,054.25</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443,500,000.00</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52"/>
              <w:jc w:val="righ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413,394,187.91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427,814,397.50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621,244,054.25</w:t>
            </w:r>
          </w:p>
        </w:tc>
      </w:tr>
      <w:tr>
        <w:trPr>
          <w:trHeight w:val="329"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41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56,756,220.10</w:t>
            </w:r>
          </w:p>
        </w:tc>
        <w:tc>
          <w:tcPr>
            <w:tcW w:w="318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-618,207,701.84</w:t>
            </w:r>
          </w:p>
        </w:tc>
      </w:tr>
      <w:tr>
        <w:trPr>
          <w:trHeight w:val="310"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2410" w:type="dxa"/>
            <w:tcBorders>
              <w:top w:val="single" w:sz="8" w:space="0" w:color="000000"/>
              <w:left w:val="single" w:sz="4" w:space="0" w:color="000000"/>
              <w:bottom w:val="single" w:sz="4" w:space="0" w:color="000000"/>
              <w:right w:val="single" w:sz="4" w:space="0" w:color="000000"/>
            </w:tcBorders>
          </w:tcPr>
          <w:p>
            <w:pPr/>
          </w:p>
        </w:tc>
        <w:tc>
          <w:tcPr>
            <w:tcW w:w="31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348,116,685.11</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2"/>
              <w:jc w:val="righ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377,900,000.00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564,000,000.00</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14,376,396.63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9,580,472.70</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392,276,396.63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921,697,157.81</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414,000,000.00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209,900,000.00</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28,264,897.76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20,887,504.22</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52"/>
              <w:jc w:val="righ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其中：子公司支付给少数股东的股利、利润</w:t>
            </w:r>
          </w:p>
        </w:tc>
        <w:tc>
          <w:tcPr>
            <w:tcW w:w="241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24,969,898.52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3,663,020.41</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467,234,796.28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234,450,524.63</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-74,958,399.65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687,246,633.18</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971"/>
        <w:gridCol w:w="2410"/>
        <w:gridCol w:w="3189"/>
      </w:tblGrid>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-2,391,974.02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-4,376,931.41</w:t>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76,591,706.86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-5,000,634.07</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300,807,755.03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305,808,389.10</w:t>
            </w:r>
          </w:p>
        </w:tc>
      </w:tr>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377,399,461.89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300,807,755.03</w:t>
            </w:r>
          </w:p>
        </w:tc>
      </w:tr>
    </w:tbl>
    <w:p>
      <w:pPr>
        <w:spacing w:line="240" w:lineRule="auto" w:before="4"/>
        <w:rPr>
          <w:rFonts w:ascii="Times New Roman" w:hAnsi="Times New Roman" w:cs="Times New Roman" w:eastAsia="Times New Roman" w:hint="default"/>
          <w:sz w:val="19"/>
          <w:szCs w:val="19"/>
        </w:rPr>
      </w:pPr>
    </w:p>
    <w:p>
      <w:pPr>
        <w:pStyle w:val="Heading3"/>
        <w:spacing w:line="240" w:lineRule="auto" w:before="36"/>
        <w:ind w:right="105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1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46"/>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304,070,878.02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2"/>
                <w:sz w:val="18"/>
              </w:rPr>
              <w:t>117,078,112.98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391,305.92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344,644.65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24,522,755.41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11,040,419.66</w:t>
            </w:r>
          </w:p>
        </w:tc>
      </w:tr>
      <w:tr>
        <w:trPr>
          <w:trHeight w:val="3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328,984,939.35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128,463,177.29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6"/>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142,305,543.82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155,806,684.86</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5"/>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33,536,337.16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37,139,630.51</w:t>
            </w:r>
          </w:p>
        </w:tc>
      </w:tr>
      <w:tr>
        <w:trPr>
          <w:trHeight w:val="3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10,438,613.14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11,534,475.25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2"/>
                <w:sz w:val="18"/>
              </w:rPr>
              <w:t>111,465,059.94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46,016,849.69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297,745,554.06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250,497,640.31</w:t>
            </w:r>
          </w:p>
        </w:tc>
      </w:tr>
      <w:tr>
        <w:trPr>
          <w:trHeight w:val="3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31,239,385.29</w:t>
            </w:r>
          </w:p>
        </w:tc>
        <w:tc>
          <w:tcPr>
            <w:tcW w:w="329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-122,034,463.02</w:t>
            </w:r>
          </w:p>
        </w:tc>
      </w:tr>
      <w:tr>
        <w:trPr>
          <w:trHeight w:val="30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6" w:space="0" w:color="D2D2D2"/>
              <w:left w:val="single" w:sz="4" w:space="0" w:color="000000"/>
              <w:bottom w:val="single" w:sz="4" w:space="0" w:color="000000"/>
              <w:right w:val="single" w:sz="4" w:space="0" w:color="000000"/>
            </w:tcBorders>
          </w:tcPr>
          <w:p>
            <w:pPr/>
          </w:p>
        </w:tc>
        <w:tc>
          <w:tcPr>
            <w:tcW w:w="3299" w:type="dxa"/>
            <w:tcBorders>
              <w:top w:val="single" w:sz="6" w:space="0" w:color="D2D2D2"/>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61,300,000.00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73,124,993.00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476,314,223.38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8,579,621.45</w:t>
            </w:r>
          </w:p>
        </w:tc>
      </w:tr>
      <w:tr>
        <w:trPr>
          <w:trHeight w:val="3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599,439,216.38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69,880,371.45</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12,921,768.01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11,642,290.04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411,500,000.00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440,394,187.91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230,500,000.00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453,315,955.92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653,642,290.04</w:t>
            </w:r>
          </w:p>
        </w:tc>
      </w:tr>
      <w:tr>
        <w:trPr>
          <w:trHeight w:val="3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146,123,260.46</w:t>
            </w:r>
          </w:p>
        </w:tc>
        <w:tc>
          <w:tcPr>
            <w:tcW w:w="329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-583,761,918.59</w:t>
            </w:r>
          </w:p>
        </w:tc>
      </w:tr>
      <w:tr>
        <w:trPr>
          <w:trHeight w:val="3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10" w:space="0" w:color="D2D2D2"/>
              <w:left w:val="single" w:sz="4" w:space="0" w:color="000000"/>
              <w:bottom w:val="single" w:sz="4" w:space="0" w:color="000000"/>
              <w:right w:val="single" w:sz="4" w:space="0" w:color="000000"/>
            </w:tcBorders>
          </w:tcPr>
          <w:p>
            <w:pPr/>
          </w:p>
        </w:tc>
        <w:tc>
          <w:tcPr>
            <w:tcW w:w="3299"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348,116,685.11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523,000,000.00</w:t>
            </w:r>
          </w:p>
        </w:tc>
      </w:tr>
      <w:tr>
        <w:trPr>
          <w:trHeight w:val="3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14,376,396.63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8,792,000.81</w:t>
            </w:r>
          </w:p>
        </w:tc>
      </w:tr>
      <w:tr>
        <w:trPr>
          <w:trHeight w:val="3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294,376,396.63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879,908,685.92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373,000,000.00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25,541,964.05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19,357,162.11</w:t>
            </w:r>
          </w:p>
        </w:tc>
      </w:tr>
      <w:tr>
        <w:trPr>
          <w:trHeight w:val="3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24,496,391.92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3,663,020.41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423,038,355.97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123,020,182.52</w:t>
            </w:r>
          </w:p>
        </w:tc>
      </w:tr>
      <w:tr>
        <w:trPr>
          <w:trHeight w:val="3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-128,661,959.34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756,888,503.40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48,700,686.41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51,092,121.79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203,348,805.76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152,256,683.97</w:t>
            </w:r>
          </w:p>
        </w:tc>
      </w:tr>
      <w:tr>
        <w:trPr>
          <w:trHeight w:val="3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252,049,492.17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203,348,805.76</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right="1055"/>
        <w:jc w:val="left"/>
      </w:pPr>
      <w:r>
        <w:rPr/>
        <w:t>本期金额</w:t>
      </w:r>
    </w:p>
    <w:p>
      <w:pPr>
        <w:pStyle w:val="BodyText"/>
        <w:spacing w:line="240" w:lineRule="auto" w:before="38"/>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3"/>
        <w:gridCol w:w="662"/>
        <w:gridCol w:w="668"/>
        <w:gridCol w:w="667"/>
        <w:gridCol w:w="663"/>
        <w:gridCol w:w="662"/>
        <w:gridCol w:w="668"/>
        <w:gridCol w:w="662"/>
        <w:gridCol w:w="663"/>
      </w:tblGrid>
      <w:tr>
        <w:trPr>
          <w:trHeight w:val="32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1441" w:type="dxa"/>
            <w:vMerge/>
            <w:tcBorders>
              <w:left w:val="single" w:sz="4" w:space="0" w:color="000000"/>
              <w:right w:val="single" w:sz="4" w:space="0" w:color="000000"/>
            </w:tcBorders>
            <w:shd w:val="clear" w:color="auto" w:fill="D2D2D2"/>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7"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46"/>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324" w:hRule="exact"/>
        </w:trPr>
        <w:tc>
          <w:tcPr>
            <w:tcW w:w="1441"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51"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8" w:right="50"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55"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0" w:right="51"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8" w:right="60" w:hanging="92"/>
              <w:jc w:val="left"/>
              <w:rPr>
                <w:rFonts w:ascii="宋体" w:hAnsi="宋体" w:cs="宋体" w:eastAsia="宋体" w:hint="default"/>
                <w:sz w:val="18"/>
                <w:szCs w:val="18"/>
              </w:rPr>
            </w:pPr>
            <w:r>
              <w:rPr>
                <w:rFonts w:ascii="宋体" w:hAnsi="宋体" w:cs="宋体" w:eastAsia="宋体" w:hint="default"/>
                <w:spacing w:val="-4"/>
                <w:sz w:val="18"/>
                <w:szCs w:val="18"/>
              </w:rPr>
              <w:t>未分配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利润</w:t>
            </w:r>
          </w:p>
        </w:tc>
        <w:tc>
          <w:tcPr>
            <w:tcW w:w="662"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557"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72"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72" w:right="75"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3" w:right="0"/>
              <w:jc w:val="left"/>
              <w:rPr>
                <w:rFonts w:ascii="Times New Roman" w:hAnsi="Times New Roman" w:cs="Times New Roman" w:eastAsia="Times New Roman" w:hint="default"/>
                <w:sz w:val="18"/>
                <w:szCs w:val="18"/>
              </w:rPr>
            </w:pPr>
            <w:r>
              <w:rPr>
                <w:rFonts w:ascii="Times New Roman"/>
                <w:sz w:val="18"/>
              </w:rPr>
              <w:t>706,64</w:t>
            </w: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before="4"/>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47" w:right="0"/>
              <w:jc w:val="left"/>
              <w:rPr>
                <w:rFonts w:ascii="Times New Roman" w:hAnsi="Times New Roman" w:cs="Times New Roman" w:eastAsia="Times New Roman" w:hint="default"/>
                <w:sz w:val="18"/>
                <w:szCs w:val="18"/>
              </w:rPr>
            </w:pPr>
            <w:r>
              <w:rPr>
                <w:rFonts w:ascii="Times New Roman"/>
                <w:sz w:val="18"/>
              </w:rPr>
              <w:t>375,571</w:t>
            </w: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,417.21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33" w:right="0"/>
              <w:jc w:val="left"/>
              <w:rPr>
                <w:rFonts w:ascii="Times New Roman" w:hAnsi="Times New Roman" w:cs="Times New Roman" w:eastAsia="Times New Roman" w:hint="default"/>
                <w:sz w:val="18"/>
                <w:szCs w:val="18"/>
              </w:rPr>
            </w:pPr>
            <w:r>
              <w:rPr>
                <w:rFonts w:ascii="Times New Roman"/>
                <w:sz w:val="18"/>
              </w:rPr>
              <w:t>-4,579,2</w:t>
            </w:r>
          </w:p>
          <w:p>
            <w:pPr>
              <w:pStyle w:val="TableParagraph"/>
              <w:spacing w:line="207" w:lineRule="exact"/>
              <w:ind w:left="235" w:right="0"/>
              <w:jc w:val="left"/>
              <w:rPr>
                <w:rFonts w:ascii="Times New Roman" w:hAnsi="Times New Roman" w:cs="Times New Roman" w:eastAsia="Times New Roman" w:hint="default"/>
                <w:sz w:val="18"/>
                <w:szCs w:val="18"/>
              </w:rPr>
            </w:pPr>
            <w:r>
              <w:rPr>
                <w:rFonts w:ascii="Times New Roman"/>
                <w:sz w:val="18"/>
              </w:rPr>
              <w:t>11.51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6" w:right="0"/>
              <w:jc w:val="left"/>
              <w:rPr>
                <w:rFonts w:ascii="Times New Roman" w:hAnsi="Times New Roman" w:cs="Times New Roman" w:eastAsia="Times New Roman" w:hint="default"/>
                <w:sz w:val="18"/>
                <w:szCs w:val="18"/>
              </w:rPr>
            </w:pPr>
            <w:r>
              <w:rPr>
                <w:rFonts w:ascii="Times New Roman"/>
                <w:sz w:val="18"/>
              </w:rPr>
              <w:t>26,181,</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022.91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48" w:right="0"/>
              <w:jc w:val="left"/>
              <w:rPr>
                <w:rFonts w:ascii="Times New Roman" w:hAnsi="Times New Roman" w:cs="Times New Roman" w:eastAsia="Times New Roman" w:hint="default"/>
                <w:sz w:val="18"/>
                <w:szCs w:val="18"/>
              </w:rPr>
            </w:pPr>
            <w:r>
              <w:rPr>
                <w:rFonts w:ascii="Times New Roman"/>
                <w:sz w:val="18"/>
              </w:rPr>
              <w:t>219,302</w:t>
            </w: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,589.49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6" w:right="0"/>
              <w:jc w:val="left"/>
              <w:rPr>
                <w:rFonts w:ascii="Times New Roman" w:hAnsi="Times New Roman" w:cs="Times New Roman" w:eastAsia="Times New Roman" w:hint="default"/>
                <w:sz w:val="18"/>
                <w:szCs w:val="18"/>
              </w:rPr>
            </w:pPr>
            <w:r>
              <w:rPr>
                <w:rFonts w:ascii="Times New Roman"/>
                <w:sz w:val="18"/>
              </w:rPr>
              <w:t>28,705,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049.76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3"/>
              <w:jc w:val="right"/>
              <w:rPr>
                <w:rFonts w:ascii="Times New Roman" w:hAnsi="Times New Roman" w:cs="Times New Roman" w:eastAsia="Times New Roman" w:hint="default"/>
                <w:sz w:val="18"/>
                <w:szCs w:val="18"/>
              </w:rPr>
            </w:pPr>
            <w:r>
              <w:rPr>
                <w:rFonts w:ascii="Times New Roman"/>
                <w:spacing w:val="-1"/>
                <w:sz w:val="18"/>
              </w:rPr>
              <w:t>1,351,8</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pacing w:val="-2"/>
                <w:sz w:val="18"/>
              </w:rPr>
              <w:t>21,402.</w:t>
            </w:r>
          </w:p>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z w:val="18"/>
              </w:rPr>
              <w:t>86</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 w:right="0"/>
              <w:jc w:val="left"/>
              <w:rPr>
                <w:rFonts w:ascii="Times New Roman" w:hAnsi="Times New Roman" w:cs="Times New Roman" w:eastAsia="Times New Roman" w:hint="default"/>
                <w:sz w:val="18"/>
                <w:szCs w:val="18"/>
              </w:rPr>
            </w:pPr>
            <w:r>
              <w:rPr>
                <w:rFonts w:ascii="Times New Roman"/>
                <w:sz w:val="18"/>
              </w:rPr>
              <w:t>706,64</w:t>
            </w:r>
          </w:p>
          <w:p>
            <w:pPr>
              <w:pStyle w:val="TableParagraph"/>
              <w:spacing w:line="240" w:lineRule="auto" w:before="4"/>
              <w:ind w:left="76"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7" w:right="0"/>
              <w:jc w:val="left"/>
              <w:rPr>
                <w:rFonts w:ascii="Times New Roman" w:hAnsi="Times New Roman" w:cs="Times New Roman" w:eastAsia="Times New Roman" w:hint="default"/>
                <w:sz w:val="18"/>
                <w:szCs w:val="18"/>
              </w:rPr>
            </w:pPr>
            <w:r>
              <w:rPr>
                <w:rFonts w:ascii="Times New Roman"/>
                <w:sz w:val="18"/>
              </w:rPr>
              <w:t>375,571</w:t>
            </w:r>
          </w:p>
          <w:p>
            <w:pPr>
              <w:pStyle w:val="TableParagraph"/>
              <w:spacing w:line="240" w:lineRule="auto" w:before="4"/>
              <w:ind w:left="95" w:right="0"/>
              <w:jc w:val="left"/>
              <w:rPr>
                <w:rFonts w:ascii="Times New Roman" w:hAnsi="Times New Roman" w:cs="Times New Roman" w:eastAsia="Times New Roman" w:hint="default"/>
                <w:sz w:val="18"/>
                <w:szCs w:val="18"/>
              </w:rPr>
            </w:pPr>
            <w:r>
              <w:rPr>
                <w:rFonts w:ascii="Times New Roman"/>
                <w:sz w:val="18"/>
              </w:rPr>
              <w:t>,417.21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3" w:right="0"/>
              <w:jc w:val="left"/>
              <w:rPr>
                <w:rFonts w:ascii="Times New Roman" w:hAnsi="Times New Roman" w:cs="Times New Roman" w:eastAsia="Times New Roman" w:hint="default"/>
                <w:sz w:val="18"/>
                <w:szCs w:val="18"/>
              </w:rPr>
            </w:pPr>
            <w:r>
              <w:rPr>
                <w:rFonts w:ascii="Times New Roman"/>
                <w:sz w:val="18"/>
              </w:rPr>
              <w:t>-4,579,2</w:t>
            </w:r>
          </w:p>
          <w:p>
            <w:pPr>
              <w:pStyle w:val="TableParagraph"/>
              <w:spacing w:line="240" w:lineRule="auto" w:before="4"/>
              <w:ind w:left="235" w:right="0"/>
              <w:jc w:val="left"/>
              <w:rPr>
                <w:rFonts w:ascii="Times New Roman" w:hAnsi="Times New Roman" w:cs="Times New Roman" w:eastAsia="Times New Roman" w:hint="default"/>
                <w:sz w:val="18"/>
                <w:szCs w:val="18"/>
              </w:rPr>
            </w:pPr>
            <w:r>
              <w:rPr>
                <w:rFonts w:ascii="Times New Roman"/>
                <w:sz w:val="18"/>
              </w:rPr>
              <w:t>11.51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6" w:right="0"/>
              <w:jc w:val="left"/>
              <w:rPr>
                <w:rFonts w:ascii="Times New Roman" w:hAnsi="Times New Roman" w:cs="Times New Roman" w:eastAsia="Times New Roman" w:hint="default"/>
                <w:sz w:val="18"/>
                <w:szCs w:val="18"/>
              </w:rPr>
            </w:pPr>
            <w:r>
              <w:rPr>
                <w:rFonts w:ascii="Times New Roman"/>
                <w:sz w:val="18"/>
              </w:rPr>
              <w:t>26,181,</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022.91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8" w:right="0"/>
              <w:jc w:val="left"/>
              <w:rPr>
                <w:rFonts w:ascii="Times New Roman" w:hAnsi="Times New Roman" w:cs="Times New Roman" w:eastAsia="Times New Roman" w:hint="default"/>
                <w:sz w:val="18"/>
                <w:szCs w:val="18"/>
              </w:rPr>
            </w:pPr>
            <w:r>
              <w:rPr>
                <w:rFonts w:ascii="Times New Roman"/>
                <w:sz w:val="18"/>
              </w:rPr>
              <w:t>219,302</w:t>
            </w:r>
          </w:p>
          <w:p>
            <w:pPr>
              <w:pStyle w:val="TableParagraph"/>
              <w:spacing w:line="240" w:lineRule="auto" w:before="4"/>
              <w:ind w:left="96" w:right="0"/>
              <w:jc w:val="left"/>
              <w:rPr>
                <w:rFonts w:ascii="Times New Roman" w:hAnsi="Times New Roman" w:cs="Times New Roman" w:eastAsia="Times New Roman" w:hint="default"/>
                <w:sz w:val="18"/>
                <w:szCs w:val="18"/>
              </w:rPr>
            </w:pPr>
            <w:r>
              <w:rPr>
                <w:rFonts w:ascii="Times New Roman"/>
                <w:sz w:val="18"/>
              </w:rPr>
              <w:t>,589.49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6" w:right="0"/>
              <w:jc w:val="left"/>
              <w:rPr>
                <w:rFonts w:ascii="Times New Roman" w:hAnsi="Times New Roman" w:cs="Times New Roman" w:eastAsia="Times New Roman" w:hint="default"/>
                <w:sz w:val="18"/>
                <w:szCs w:val="18"/>
              </w:rPr>
            </w:pPr>
            <w:r>
              <w:rPr>
                <w:rFonts w:ascii="Times New Roman"/>
                <w:sz w:val="18"/>
              </w:rPr>
              <w:t>28,705,</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049.76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
              <w:jc w:val="right"/>
              <w:rPr>
                <w:rFonts w:ascii="Times New Roman" w:hAnsi="Times New Roman" w:cs="Times New Roman" w:eastAsia="Times New Roman" w:hint="default"/>
                <w:sz w:val="18"/>
                <w:szCs w:val="18"/>
              </w:rPr>
            </w:pPr>
            <w:r>
              <w:rPr>
                <w:rFonts w:ascii="Times New Roman"/>
                <w:spacing w:val="-1"/>
                <w:sz w:val="18"/>
              </w:rPr>
              <w:t>1,351,8</w:t>
            </w:r>
          </w:p>
          <w:p>
            <w:pPr>
              <w:pStyle w:val="TableParagraph"/>
              <w:spacing w:line="240" w:lineRule="auto" w:before="4"/>
              <w:ind w:right="15"/>
              <w:jc w:val="right"/>
              <w:rPr>
                <w:rFonts w:ascii="Times New Roman" w:hAnsi="Times New Roman" w:cs="Times New Roman" w:eastAsia="Times New Roman" w:hint="default"/>
                <w:sz w:val="18"/>
                <w:szCs w:val="18"/>
              </w:rPr>
            </w:pPr>
            <w:r>
              <w:rPr>
                <w:rFonts w:ascii="Times New Roman"/>
                <w:spacing w:val="-2"/>
                <w:sz w:val="18"/>
              </w:rPr>
              <w:t>21,402.</w:t>
            </w: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86</w:t>
            </w:r>
          </w:p>
        </w:tc>
      </w:tr>
      <w:tr>
        <w:trPr>
          <w:trHeight w:val="78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4"/>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40" w:lineRule="auto" w:before="4"/>
              <w:ind w:left="407" w:right="0"/>
              <w:jc w:val="lef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-8,009,1</w:t>
            </w:r>
          </w:p>
          <w:p>
            <w:pPr>
              <w:pStyle w:val="TableParagraph"/>
              <w:spacing w:line="240" w:lineRule="auto" w:before="4"/>
              <w:ind w:left="210" w:right="0"/>
              <w:jc w:val="center"/>
              <w:rPr>
                <w:rFonts w:ascii="Times New Roman" w:hAnsi="Times New Roman" w:cs="Times New Roman" w:eastAsia="Times New Roman" w:hint="default"/>
                <w:sz w:val="18"/>
                <w:szCs w:val="18"/>
              </w:rPr>
            </w:pPr>
            <w:r>
              <w:rPr>
                <w:rFonts w:ascii="Times New Roman"/>
                <w:sz w:val="18"/>
              </w:rPr>
              <w:t>24.90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4"/>
              <w:ind w:left="215" w:right="0"/>
              <w:jc w:val="center"/>
              <w:rPr>
                <w:rFonts w:ascii="Times New Roman" w:hAnsi="Times New Roman" w:cs="Times New Roman" w:eastAsia="Times New Roman" w:hint="default"/>
                <w:sz w:val="18"/>
                <w:szCs w:val="18"/>
              </w:rPr>
            </w:pPr>
            <w:r>
              <w:rPr>
                <w:rFonts w:ascii="Times New Roman"/>
                <w:sz w:val="18"/>
              </w:rPr>
              <w:t>80.35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34,110,</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357.34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-14,076,</w:t>
            </w:r>
          </w:p>
          <w:p>
            <w:pPr>
              <w:pStyle w:val="TableParagraph"/>
              <w:spacing w:line="240" w:lineRule="auto" w:before="4"/>
              <w:ind w:left="124" w:right="0"/>
              <w:jc w:val="center"/>
              <w:rPr>
                <w:rFonts w:ascii="Times New Roman" w:hAnsi="Times New Roman" w:cs="Times New Roman" w:eastAsia="Times New Roman" w:hint="default"/>
                <w:sz w:val="18"/>
                <w:szCs w:val="18"/>
              </w:rPr>
            </w:pPr>
            <w:r>
              <w:rPr>
                <w:rFonts w:ascii="Times New Roman"/>
                <w:sz w:val="18"/>
              </w:rPr>
              <w:t>933.94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14,073,</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012.85</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13" w:right="0"/>
              <w:jc w:val="center"/>
              <w:rPr>
                <w:rFonts w:ascii="Times New Roman" w:hAnsi="Times New Roman" w:cs="Times New Roman" w:eastAsia="Times New Roman" w:hint="default"/>
                <w:sz w:val="18"/>
                <w:szCs w:val="18"/>
              </w:rPr>
            </w:pPr>
            <w:r>
              <w:rPr>
                <w:rFonts w:ascii="Times New Roman"/>
                <w:sz w:val="18"/>
              </w:rPr>
              <w:t>-8,009,1</w:t>
            </w:r>
          </w:p>
          <w:p>
            <w:pPr>
              <w:pStyle w:val="TableParagraph"/>
              <w:spacing w:line="207" w:lineRule="exact"/>
              <w:ind w:left="205" w:right="0"/>
              <w:jc w:val="center"/>
              <w:rPr>
                <w:rFonts w:ascii="Times New Roman" w:hAnsi="Times New Roman" w:cs="Times New Roman" w:eastAsia="Times New Roman" w:hint="default"/>
                <w:sz w:val="18"/>
                <w:szCs w:val="18"/>
              </w:rPr>
            </w:pPr>
            <w:r>
              <w:rPr>
                <w:rFonts w:ascii="Times New Roman"/>
                <w:sz w:val="18"/>
              </w:rPr>
              <w:t>24.90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96" w:right="0"/>
              <w:jc w:val="left"/>
              <w:rPr>
                <w:rFonts w:ascii="Times New Roman" w:hAnsi="Times New Roman" w:cs="Times New Roman" w:eastAsia="Times New Roman" w:hint="default"/>
                <w:sz w:val="18"/>
                <w:szCs w:val="18"/>
              </w:rPr>
            </w:pPr>
            <w:r>
              <w:rPr>
                <w:rFonts w:ascii="Times New Roman"/>
                <w:sz w:val="18"/>
              </w:rPr>
              <w:t>35,750,</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737.69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16" w:right="0"/>
              <w:jc w:val="center"/>
              <w:rPr>
                <w:rFonts w:ascii="Times New Roman" w:hAnsi="Times New Roman" w:cs="Times New Roman" w:eastAsia="Times New Roman" w:hint="default"/>
                <w:sz w:val="18"/>
                <w:szCs w:val="18"/>
              </w:rPr>
            </w:pPr>
            <w:r>
              <w:rPr>
                <w:rFonts w:ascii="Times New Roman"/>
                <w:sz w:val="18"/>
              </w:rPr>
              <w:t>-14,076,</w:t>
            </w:r>
          </w:p>
          <w:p>
            <w:pPr>
              <w:pStyle w:val="TableParagraph"/>
              <w:spacing w:line="207" w:lineRule="exact"/>
              <w:ind w:left="124" w:right="0"/>
              <w:jc w:val="center"/>
              <w:rPr>
                <w:rFonts w:ascii="Times New Roman" w:hAnsi="Times New Roman" w:cs="Times New Roman" w:eastAsia="Times New Roman" w:hint="default"/>
                <w:sz w:val="18"/>
                <w:szCs w:val="18"/>
              </w:rPr>
            </w:pPr>
            <w:r>
              <w:rPr>
                <w:rFonts w:ascii="Times New Roman"/>
                <w:sz w:val="18"/>
              </w:rPr>
              <w:t>933.94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96" w:right="0"/>
              <w:jc w:val="left"/>
              <w:rPr>
                <w:rFonts w:ascii="Times New Roman" w:hAnsi="Times New Roman" w:cs="Times New Roman" w:eastAsia="Times New Roman" w:hint="default"/>
                <w:sz w:val="18"/>
                <w:szCs w:val="18"/>
              </w:rPr>
            </w:pPr>
            <w:r>
              <w:rPr>
                <w:rFonts w:ascii="Times New Roman"/>
                <w:sz w:val="18"/>
              </w:rPr>
              <w:t>13,664,</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678.85</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7"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07" w:lineRule="exact"/>
              <w:ind w:left="407" w:right="0"/>
              <w:jc w:val="lef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48" w:right="0"/>
              <w:jc w:val="left"/>
              <w:rPr>
                <w:rFonts w:ascii="Times New Roman" w:hAnsi="Times New Roman" w:cs="Times New Roman" w:eastAsia="Times New Roman" w:hint="default"/>
                <w:sz w:val="18"/>
                <w:szCs w:val="18"/>
              </w:rPr>
            </w:pPr>
            <w:r>
              <w:rPr>
                <w:rFonts w:ascii="Times New Roman"/>
                <w:sz w:val="18"/>
              </w:rPr>
              <w:t>408,334</w:t>
            </w:r>
          </w:p>
          <w:p>
            <w:pPr>
              <w:pStyle w:val="TableParagraph"/>
              <w:spacing w:line="207" w:lineRule="exact"/>
              <w:ind w:left="408" w:right="0"/>
              <w:jc w:val="left"/>
              <w:rPr>
                <w:rFonts w:ascii="Times New Roman" w:hAnsi="Times New Roman" w:cs="Times New Roman" w:eastAsia="Times New Roman" w:hint="default"/>
                <w:sz w:val="18"/>
                <w:szCs w:val="18"/>
              </w:rPr>
            </w:pPr>
            <w:r>
              <w:rPr>
                <w:rFonts w:ascii="Times New Roman"/>
                <w:sz w:val="18"/>
              </w:rPr>
              <w:t>.00</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9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7" w:right="0"/>
              <w:jc w:val="left"/>
              <w:rPr>
                <w:rFonts w:ascii="Times New Roman" w:hAnsi="Times New Roman" w:cs="Times New Roman" w:eastAsia="Times New Roman" w:hint="default"/>
                <w:sz w:val="18"/>
                <w:szCs w:val="18"/>
              </w:rPr>
            </w:pPr>
            <w:r>
              <w:rPr>
                <w:rFonts w:ascii="Times New Roman"/>
                <w:sz w:val="18"/>
              </w:rPr>
              <w:t>408,334</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8" w:right="0"/>
              <w:jc w:val="left"/>
              <w:rPr>
                <w:rFonts w:ascii="Times New Roman" w:hAnsi="Times New Roman" w:cs="Times New Roman" w:eastAsia="Times New Roman" w:hint="default"/>
                <w:sz w:val="18"/>
                <w:szCs w:val="18"/>
              </w:rPr>
            </w:pPr>
            <w:r>
              <w:rPr>
                <w:rFonts w:ascii="Times New Roman"/>
                <w:sz w:val="18"/>
              </w:rPr>
              <w:t>408,334</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3"/>
        <w:gridCol w:w="662"/>
        <w:gridCol w:w="668"/>
        <w:gridCol w:w="667"/>
        <w:gridCol w:w="663"/>
        <w:gridCol w:w="662"/>
        <w:gridCol w:w="668"/>
        <w:gridCol w:w="662"/>
        <w:gridCol w:w="663"/>
      </w:tblGrid>
      <w:tr>
        <w:trPr>
          <w:trHeight w:val="25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07" w:right="0"/>
              <w:jc w:val="lef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08" w:right="0"/>
              <w:jc w:val="left"/>
              <w:rPr>
                <w:rFonts w:ascii="Times New Roman" w:hAnsi="Times New Roman" w:cs="Times New Roman" w:eastAsia="Times New Roman" w:hint="default"/>
                <w:sz w:val="18"/>
                <w:szCs w:val="18"/>
              </w:rPr>
            </w:pPr>
            <w:r>
              <w:rPr>
                <w:rFonts w:ascii="Times New Roman"/>
                <w:sz w:val="18"/>
              </w:rPr>
              <w:t>.00</w:t>
            </w: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0"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07" w:lineRule="exact"/>
              <w:ind w:left="215" w:right="0"/>
              <w:jc w:val="center"/>
              <w:rPr>
                <w:rFonts w:ascii="Times New Roman" w:hAnsi="Times New Roman" w:cs="Times New Roman" w:eastAsia="Times New Roman" w:hint="default"/>
                <w:sz w:val="18"/>
                <w:szCs w:val="18"/>
              </w:rPr>
            </w:pPr>
            <w:r>
              <w:rPr>
                <w:rFonts w:ascii="Times New Roman"/>
                <w:sz w:val="18"/>
              </w:rPr>
              <w:t>80.35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3"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07" w:lineRule="exact"/>
              <w:ind w:left="210" w:right="0"/>
              <w:jc w:val="center"/>
              <w:rPr>
                <w:rFonts w:ascii="Times New Roman" w:hAnsi="Times New Roman" w:cs="Times New Roman" w:eastAsia="Times New Roman" w:hint="default"/>
                <w:sz w:val="18"/>
                <w:szCs w:val="18"/>
              </w:rPr>
            </w:pPr>
            <w:r>
              <w:rPr>
                <w:rFonts w:ascii="Times New Roman"/>
                <w:sz w:val="18"/>
              </w:rPr>
              <w:t>80.35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0"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ind w:left="215" w:right="0"/>
              <w:jc w:val="center"/>
              <w:rPr>
                <w:rFonts w:ascii="Times New Roman" w:hAnsi="Times New Roman" w:cs="Times New Roman" w:eastAsia="Times New Roman" w:hint="default"/>
                <w:sz w:val="18"/>
                <w:szCs w:val="18"/>
              </w:rPr>
            </w:pPr>
            <w:r>
              <w:rPr>
                <w:rFonts w:ascii="Times New Roman"/>
                <w:sz w:val="18"/>
              </w:rPr>
              <w:t>80.35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ind w:left="210" w:right="0"/>
              <w:jc w:val="center"/>
              <w:rPr>
                <w:rFonts w:ascii="Times New Roman" w:hAnsi="Times New Roman" w:cs="Times New Roman" w:eastAsia="Times New Roman" w:hint="default"/>
                <w:sz w:val="18"/>
                <w:szCs w:val="18"/>
              </w:rPr>
            </w:pPr>
            <w:r>
              <w:rPr>
                <w:rFonts w:ascii="Times New Roman"/>
                <w:sz w:val="18"/>
              </w:rPr>
              <w:t>80.35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3" w:right="0"/>
              <w:jc w:val="left"/>
              <w:rPr>
                <w:rFonts w:ascii="Times New Roman" w:hAnsi="Times New Roman" w:cs="Times New Roman" w:eastAsia="Times New Roman" w:hint="default"/>
                <w:sz w:val="18"/>
                <w:szCs w:val="18"/>
              </w:rPr>
            </w:pPr>
            <w:r>
              <w:rPr>
                <w:rFonts w:ascii="Times New Roman"/>
                <w:sz w:val="18"/>
              </w:rPr>
              <w:t>706,64</w:t>
            </w: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7" w:right="0"/>
              <w:jc w:val="left"/>
              <w:rPr>
                <w:rFonts w:ascii="Times New Roman" w:hAnsi="Times New Roman" w:cs="Times New Roman" w:eastAsia="Times New Roman" w:hint="default"/>
                <w:sz w:val="18"/>
                <w:szCs w:val="18"/>
              </w:rPr>
            </w:pPr>
            <w:r>
              <w:rPr>
                <w:rFonts w:ascii="Times New Roman"/>
                <w:sz w:val="18"/>
              </w:rPr>
              <w:t>375,979</w:t>
            </w:r>
          </w:p>
          <w:p>
            <w:pPr>
              <w:pStyle w:val="TableParagraph"/>
              <w:spacing w:line="240" w:lineRule="auto" w:before="4"/>
              <w:ind w:left="95" w:right="0"/>
              <w:jc w:val="left"/>
              <w:rPr>
                <w:rFonts w:ascii="Times New Roman" w:hAnsi="Times New Roman" w:cs="Times New Roman" w:eastAsia="Times New Roman" w:hint="default"/>
                <w:sz w:val="18"/>
                <w:szCs w:val="18"/>
              </w:rPr>
            </w:pPr>
            <w:r>
              <w:rPr>
                <w:rFonts w:ascii="Times New Roman"/>
                <w:sz w:val="18"/>
              </w:rPr>
              <w:t>,751.21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1" w:right="0"/>
              <w:jc w:val="center"/>
              <w:rPr>
                <w:rFonts w:ascii="Times New Roman" w:hAnsi="Times New Roman" w:cs="Times New Roman" w:eastAsia="Times New Roman" w:hint="default"/>
                <w:sz w:val="18"/>
                <w:szCs w:val="18"/>
              </w:rPr>
            </w:pPr>
            <w:r>
              <w:rPr>
                <w:rFonts w:ascii="Times New Roman"/>
                <w:sz w:val="18"/>
              </w:rPr>
              <w:t>-12,588,</w:t>
            </w:r>
          </w:p>
          <w:p>
            <w:pPr>
              <w:pStyle w:val="TableParagraph"/>
              <w:spacing w:line="240" w:lineRule="auto" w:before="4"/>
              <w:ind w:left="119" w:right="0"/>
              <w:jc w:val="center"/>
              <w:rPr>
                <w:rFonts w:ascii="Times New Roman" w:hAnsi="Times New Roman" w:cs="Times New Roman" w:eastAsia="Times New Roman" w:hint="default"/>
                <w:sz w:val="18"/>
                <w:szCs w:val="18"/>
              </w:rPr>
            </w:pPr>
            <w:r>
              <w:rPr>
                <w:rFonts w:ascii="Times New Roman"/>
                <w:sz w:val="18"/>
              </w:rPr>
              <w:t>336.41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6" w:right="0"/>
              <w:jc w:val="left"/>
              <w:rPr>
                <w:rFonts w:ascii="Times New Roman" w:hAnsi="Times New Roman" w:cs="Times New Roman" w:eastAsia="Times New Roman" w:hint="default"/>
                <w:sz w:val="18"/>
                <w:szCs w:val="18"/>
              </w:rPr>
            </w:pPr>
            <w:r>
              <w:rPr>
                <w:rFonts w:ascii="Times New Roman"/>
                <w:sz w:val="18"/>
              </w:rPr>
              <w:t>27,821,</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403.26</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8" w:right="0"/>
              <w:jc w:val="left"/>
              <w:rPr>
                <w:rFonts w:ascii="Times New Roman" w:hAnsi="Times New Roman" w:cs="Times New Roman" w:eastAsia="Times New Roman" w:hint="default"/>
                <w:sz w:val="18"/>
                <w:szCs w:val="18"/>
              </w:rPr>
            </w:pPr>
            <w:r>
              <w:rPr>
                <w:rFonts w:ascii="Times New Roman"/>
                <w:sz w:val="18"/>
              </w:rPr>
              <w:t>253,412</w:t>
            </w:r>
          </w:p>
          <w:p>
            <w:pPr>
              <w:pStyle w:val="TableParagraph"/>
              <w:spacing w:line="240" w:lineRule="auto" w:before="4"/>
              <w:ind w:left="96" w:right="0"/>
              <w:jc w:val="left"/>
              <w:rPr>
                <w:rFonts w:ascii="Times New Roman" w:hAnsi="Times New Roman" w:cs="Times New Roman" w:eastAsia="Times New Roman" w:hint="default"/>
                <w:sz w:val="18"/>
                <w:szCs w:val="18"/>
              </w:rPr>
            </w:pPr>
            <w:r>
              <w:rPr>
                <w:rFonts w:ascii="Times New Roman"/>
                <w:sz w:val="18"/>
              </w:rPr>
              <w:t>,946.83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6" w:right="0"/>
              <w:jc w:val="left"/>
              <w:rPr>
                <w:rFonts w:ascii="Times New Roman" w:hAnsi="Times New Roman" w:cs="Times New Roman" w:eastAsia="Times New Roman" w:hint="default"/>
                <w:sz w:val="18"/>
                <w:szCs w:val="18"/>
              </w:rPr>
            </w:pPr>
            <w:r>
              <w:rPr>
                <w:rFonts w:ascii="Times New Roman"/>
                <w:sz w:val="18"/>
              </w:rPr>
              <w:t>14,628,</w:t>
            </w:r>
          </w:p>
          <w:p>
            <w:pPr>
              <w:pStyle w:val="TableParagraph"/>
              <w:spacing w:line="240" w:lineRule="auto" w:before="4"/>
              <w:ind w:left="144" w:right="0"/>
              <w:jc w:val="left"/>
              <w:rPr>
                <w:rFonts w:ascii="Times New Roman" w:hAnsi="Times New Roman" w:cs="Times New Roman" w:eastAsia="Times New Roman" w:hint="default"/>
                <w:sz w:val="18"/>
                <w:szCs w:val="18"/>
              </w:rPr>
            </w:pPr>
            <w:r>
              <w:rPr>
                <w:rFonts w:ascii="Times New Roman"/>
                <w:sz w:val="18"/>
              </w:rPr>
              <w:t>115.82</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3"/>
              <w:jc w:val="right"/>
              <w:rPr>
                <w:rFonts w:ascii="Times New Roman" w:hAnsi="Times New Roman" w:cs="Times New Roman" w:eastAsia="Times New Roman" w:hint="default"/>
                <w:sz w:val="18"/>
                <w:szCs w:val="18"/>
              </w:rPr>
            </w:pPr>
            <w:r>
              <w:rPr>
                <w:rFonts w:ascii="Times New Roman"/>
                <w:spacing w:val="-1"/>
                <w:sz w:val="18"/>
              </w:rPr>
              <w:t>1,365,8</w:t>
            </w: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pacing w:val="-2"/>
                <w:sz w:val="18"/>
              </w:rPr>
              <w:t>94,415.</w:t>
            </w: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71</w:t>
            </w:r>
          </w:p>
        </w:tc>
      </w:tr>
    </w:tbl>
    <w:p>
      <w:pPr>
        <w:pStyle w:val="BodyText"/>
        <w:spacing w:line="240" w:lineRule="auto" w:before="10"/>
        <w:ind w:right="1055"/>
        <w:jc w:val="left"/>
      </w:pPr>
      <w:r>
        <w:rPr/>
        <w:t>上期金额</w:t>
      </w:r>
    </w:p>
    <w:p>
      <w:pPr>
        <w:pStyle w:val="BodyText"/>
        <w:spacing w:line="240" w:lineRule="auto" w:before="33"/>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8"/>
        <w:gridCol w:w="668"/>
        <w:gridCol w:w="662"/>
        <w:gridCol w:w="668"/>
        <w:gridCol w:w="662"/>
        <w:gridCol w:w="668"/>
        <w:gridCol w:w="662"/>
        <w:gridCol w:w="677"/>
        <w:gridCol w:w="653"/>
        <w:gridCol w:w="663"/>
      </w:tblGrid>
      <w:tr>
        <w:trPr>
          <w:trHeight w:val="322"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1436" w:type="dxa"/>
            <w:vMerge/>
            <w:tcBorders>
              <w:left w:val="single" w:sz="4" w:space="0" w:color="000000"/>
              <w:right w:val="single" w:sz="4" w:space="0" w:color="000000"/>
            </w:tcBorders>
            <w:shd w:val="clear" w:color="auto" w:fill="D2D2D2"/>
          </w:tcPr>
          <w:p>
            <w:pPr/>
          </w:p>
        </w:tc>
        <w:tc>
          <w:tcPr>
            <w:tcW w:w="68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2" w:right="4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37" w:lineRule="auto"/>
              <w:ind w:left="57" w:right="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327"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8" w:right="50"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0" w:right="56"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53" w:right="5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53"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557"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77"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72" w:right="75"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 w:right="0"/>
              <w:jc w:val="left"/>
              <w:rPr>
                <w:rFonts w:ascii="Times New Roman" w:hAnsi="Times New Roman" w:cs="Times New Roman" w:eastAsia="Times New Roman" w:hint="default"/>
                <w:sz w:val="18"/>
                <w:szCs w:val="18"/>
              </w:rPr>
            </w:pPr>
            <w:r>
              <w:rPr>
                <w:rFonts w:ascii="Times New Roman"/>
                <w:sz w:val="18"/>
              </w:rPr>
              <w:t>684,01</w:t>
            </w:r>
          </w:p>
          <w:p>
            <w:pPr>
              <w:pStyle w:val="TableParagraph"/>
              <w:spacing w:line="207" w:lineRule="exact" w:before="4"/>
              <w:ind w:left="76" w:right="0"/>
              <w:jc w:val="left"/>
              <w:rPr>
                <w:rFonts w:ascii="Times New Roman" w:hAnsi="Times New Roman" w:cs="Times New Roman" w:eastAsia="Times New Roman" w:hint="default"/>
                <w:sz w:val="18"/>
                <w:szCs w:val="18"/>
              </w:rPr>
            </w:pPr>
            <w:r>
              <w:rPr>
                <w:rFonts w:ascii="Times New Roman"/>
                <w:sz w:val="18"/>
              </w:rPr>
              <w:t>3,769.</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6" w:right="0"/>
              <w:jc w:val="left"/>
              <w:rPr>
                <w:rFonts w:ascii="Times New Roman" w:hAnsi="Times New Roman" w:cs="Times New Roman" w:eastAsia="Times New Roman" w:hint="default"/>
                <w:sz w:val="18"/>
                <w:szCs w:val="18"/>
              </w:rPr>
            </w:pPr>
            <w:r>
              <w:rPr>
                <w:rFonts w:ascii="Times New Roman"/>
                <w:sz w:val="18"/>
              </w:rPr>
              <w:t>50,886,</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105.90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76" w:right="0"/>
              <w:jc w:val="left"/>
              <w:rPr>
                <w:rFonts w:ascii="Times New Roman" w:hAnsi="Times New Roman" w:cs="Times New Roman" w:eastAsia="Times New Roman" w:hint="default"/>
                <w:sz w:val="18"/>
                <w:szCs w:val="18"/>
              </w:rPr>
            </w:pPr>
            <w:r>
              <w:rPr>
                <w:rFonts w:ascii="Times New Roman"/>
                <w:sz w:val="18"/>
              </w:rPr>
              <w:t>-552,17</w:t>
            </w:r>
          </w:p>
          <w:p>
            <w:pPr>
              <w:pStyle w:val="TableParagraph"/>
              <w:spacing w:line="207" w:lineRule="exact"/>
              <w:ind w:left="316" w:right="0"/>
              <w:jc w:val="left"/>
              <w:rPr>
                <w:rFonts w:ascii="Times New Roman" w:hAnsi="Times New Roman" w:cs="Times New Roman" w:eastAsia="Times New Roman" w:hint="default"/>
                <w:sz w:val="18"/>
                <w:szCs w:val="18"/>
              </w:rPr>
            </w:pPr>
            <w:r>
              <w:rPr>
                <w:rFonts w:ascii="Times New Roman"/>
                <w:sz w:val="18"/>
              </w:rPr>
              <w:t>6.40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6" w:right="0"/>
              <w:jc w:val="left"/>
              <w:rPr>
                <w:rFonts w:ascii="Times New Roman" w:hAnsi="Times New Roman" w:cs="Times New Roman" w:eastAsia="Times New Roman" w:hint="default"/>
                <w:sz w:val="18"/>
                <w:szCs w:val="18"/>
              </w:rPr>
            </w:pPr>
            <w:r>
              <w:rPr>
                <w:rFonts w:ascii="Times New Roman"/>
                <w:sz w:val="18"/>
              </w:rPr>
              <w:t>25,378,</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732.79</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62" w:right="0"/>
              <w:jc w:val="left"/>
              <w:rPr>
                <w:rFonts w:ascii="Times New Roman" w:hAnsi="Times New Roman" w:cs="Times New Roman" w:eastAsia="Times New Roman" w:hint="default"/>
                <w:sz w:val="18"/>
                <w:szCs w:val="18"/>
              </w:rPr>
            </w:pPr>
            <w:r>
              <w:rPr>
                <w:rFonts w:ascii="Times New Roman"/>
                <w:sz w:val="18"/>
              </w:rPr>
              <w:t>208,126</w:t>
            </w:r>
          </w:p>
          <w:p>
            <w:pPr>
              <w:pStyle w:val="TableParagraph"/>
              <w:spacing w:line="207" w:lineRule="exact"/>
              <w:ind w:left="110" w:right="0"/>
              <w:jc w:val="left"/>
              <w:rPr>
                <w:rFonts w:ascii="Times New Roman" w:hAnsi="Times New Roman" w:cs="Times New Roman" w:eastAsia="Times New Roman" w:hint="default"/>
                <w:sz w:val="18"/>
                <w:szCs w:val="18"/>
              </w:rPr>
            </w:pPr>
            <w:r>
              <w:rPr>
                <w:rFonts w:ascii="Times New Roman"/>
                <w:sz w:val="18"/>
              </w:rPr>
              <w:t>,624.66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81" w:right="0"/>
              <w:jc w:val="left"/>
              <w:rPr>
                <w:rFonts w:ascii="Times New Roman" w:hAnsi="Times New Roman" w:cs="Times New Roman" w:eastAsia="Times New Roman" w:hint="default"/>
                <w:sz w:val="18"/>
                <w:szCs w:val="18"/>
              </w:rPr>
            </w:pPr>
            <w:r>
              <w:rPr>
                <w:rFonts w:ascii="Times New Roman"/>
                <w:sz w:val="18"/>
              </w:rPr>
              <w:t>26,135,</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917.92</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43" w:right="0"/>
              <w:jc w:val="left"/>
              <w:rPr>
                <w:rFonts w:ascii="Times New Roman" w:hAnsi="Times New Roman" w:cs="Times New Roman" w:eastAsia="Times New Roman" w:hint="default"/>
                <w:sz w:val="18"/>
                <w:szCs w:val="18"/>
              </w:rPr>
            </w:pPr>
            <w:r>
              <w:rPr>
                <w:rFonts w:ascii="Times New Roman"/>
                <w:sz w:val="18"/>
              </w:rPr>
              <w:t>993,988</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,973.87</w:t>
            </w: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2"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5"/>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37"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33" w:right="0"/>
              <w:jc w:val="left"/>
              <w:rPr>
                <w:rFonts w:ascii="Times New Roman" w:hAnsi="Times New Roman" w:cs="Times New Roman" w:eastAsia="Times New Roman" w:hint="default"/>
                <w:sz w:val="18"/>
                <w:szCs w:val="18"/>
              </w:rPr>
            </w:pPr>
            <w:r>
              <w:rPr>
                <w:rFonts w:ascii="Times New Roman"/>
                <w:sz w:val="18"/>
              </w:rPr>
              <w:t>684,01</w:t>
            </w:r>
          </w:p>
          <w:p>
            <w:pPr>
              <w:pStyle w:val="TableParagraph"/>
              <w:spacing w:line="206" w:lineRule="exact"/>
              <w:ind w:left="76" w:right="0"/>
              <w:jc w:val="left"/>
              <w:rPr>
                <w:rFonts w:ascii="Times New Roman" w:hAnsi="Times New Roman" w:cs="Times New Roman" w:eastAsia="Times New Roman" w:hint="default"/>
                <w:sz w:val="18"/>
                <w:szCs w:val="18"/>
              </w:rPr>
            </w:pPr>
            <w:r>
              <w:rPr>
                <w:rFonts w:ascii="Times New Roman"/>
                <w:sz w:val="18"/>
              </w:rPr>
              <w:t>3,769.</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6" w:right="0"/>
              <w:jc w:val="left"/>
              <w:rPr>
                <w:rFonts w:ascii="Times New Roman" w:hAnsi="Times New Roman" w:cs="Times New Roman" w:eastAsia="Times New Roman" w:hint="default"/>
                <w:sz w:val="18"/>
                <w:szCs w:val="18"/>
              </w:rPr>
            </w:pPr>
            <w:r>
              <w:rPr>
                <w:rFonts w:ascii="Times New Roman"/>
                <w:sz w:val="18"/>
              </w:rPr>
              <w:t>50,886,</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105.90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76" w:right="0"/>
              <w:jc w:val="left"/>
              <w:rPr>
                <w:rFonts w:ascii="Times New Roman" w:hAnsi="Times New Roman" w:cs="Times New Roman" w:eastAsia="Times New Roman" w:hint="default"/>
                <w:sz w:val="18"/>
                <w:szCs w:val="18"/>
              </w:rPr>
            </w:pPr>
            <w:r>
              <w:rPr>
                <w:rFonts w:ascii="Times New Roman"/>
                <w:sz w:val="18"/>
              </w:rPr>
              <w:t>-552,17</w:t>
            </w:r>
          </w:p>
          <w:p>
            <w:pPr>
              <w:pStyle w:val="TableParagraph"/>
              <w:spacing w:line="240" w:lineRule="auto" w:before="4"/>
              <w:ind w:left="316" w:right="0"/>
              <w:jc w:val="left"/>
              <w:rPr>
                <w:rFonts w:ascii="Times New Roman" w:hAnsi="Times New Roman" w:cs="Times New Roman" w:eastAsia="Times New Roman" w:hint="default"/>
                <w:sz w:val="18"/>
                <w:szCs w:val="18"/>
              </w:rPr>
            </w:pPr>
            <w:r>
              <w:rPr>
                <w:rFonts w:ascii="Times New Roman"/>
                <w:sz w:val="18"/>
              </w:rPr>
              <w:t>6.40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6" w:right="0"/>
              <w:jc w:val="left"/>
              <w:rPr>
                <w:rFonts w:ascii="Times New Roman" w:hAnsi="Times New Roman" w:cs="Times New Roman" w:eastAsia="Times New Roman" w:hint="default"/>
                <w:sz w:val="18"/>
                <w:szCs w:val="18"/>
              </w:rPr>
            </w:pPr>
            <w:r>
              <w:rPr>
                <w:rFonts w:ascii="Times New Roman"/>
                <w:sz w:val="18"/>
              </w:rPr>
              <w:t>25,378,</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732.79</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2" w:right="0"/>
              <w:jc w:val="left"/>
              <w:rPr>
                <w:rFonts w:ascii="Times New Roman" w:hAnsi="Times New Roman" w:cs="Times New Roman" w:eastAsia="Times New Roman" w:hint="default"/>
                <w:sz w:val="18"/>
                <w:szCs w:val="18"/>
              </w:rPr>
            </w:pPr>
            <w:r>
              <w:rPr>
                <w:rFonts w:ascii="Times New Roman"/>
                <w:sz w:val="18"/>
              </w:rPr>
              <w:t>208,126</w:t>
            </w:r>
          </w:p>
          <w:p>
            <w:pPr>
              <w:pStyle w:val="TableParagraph"/>
              <w:spacing w:line="240" w:lineRule="auto" w:before="4"/>
              <w:ind w:left="110" w:right="0"/>
              <w:jc w:val="left"/>
              <w:rPr>
                <w:rFonts w:ascii="Times New Roman" w:hAnsi="Times New Roman" w:cs="Times New Roman" w:eastAsia="Times New Roman" w:hint="default"/>
                <w:sz w:val="18"/>
                <w:szCs w:val="18"/>
              </w:rPr>
            </w:pPr>
            <w:r>
              <w:rPr>
                <w:rFonts w:ascii="Times New Roman"/>
                <w:sz w:val="18"/>
              </w:rPr>
              <w:t>,624.66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1" w:right="0"/>
              <w:jc w:val="left"/>
              <w:rPr>
                <w:rFonts w:ascii="Times New Roman" w:hAnsi="Times New Roman" w:cs="Times New Roman" w:eastAsia="Times New Roman" w:hint="default"/>
                <w:sz w:val="18"/>
                <w:szCs w:val="18"/>
              </w:rPr>
            </w:pPr>
            <w:r>
              <w:rPr>
                <w:rFonts w:ascii="Times New Roman"/>
                <w:sz w:val="18"/>
              </w:rPr>
              <w:t>26,135,</w:t>
            </w:r>
          </w:p>
          <w:p>
            <w:pPr>
              <w:pStyle w:val="TableParagraph"/>
              <w:spacing w:line="240" w:lineRule="auto" w:before="4"/>
              <w:ind w:left="124" w:right="0"/>
              <w:jc w:val="left"/>
              <w:rPr>
                <w:rFonts w:ascii="Times New Roman" w:hAnsi="Times New Roman" w:cs="Times New Roman" w:eastAsia="Times New Roman" w:hint="default"/>
                <w:sz w:val="18"/>
                <w:szCs w:val="18"/>
              </w:rPr>
            </w:pPr>
            <w:r>
              <w:rPr>
                <w:rFonts w:ascii="Times New Roman"/>
                <w:sz w:val="18"/>
              </w:rPr>
              <w:t>917.92</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3" w:right="0"/>
              <w:jc w:val="left"/>
              <w:rPr>
                <w:rFonts w:ascii="Times New Roman" w:hAnsi="Times New Roman" w:cs="Times New Roman" w:eastAsia="Times New Roman" w:hint="default"/>
                <w:sz w:val="18"/>
                <w:szCs w:val="18"/>
              </w:rPr>
            </w:pPr>
            <w:r>
              <w:rPr>
                <w:rFonts w:ascii="Times New Roman"/>
                <w:sz w:val="18"/>
              </w:rPr>
              <w:t>993,988</w:t>
            </w:r>
          </w:p>
          <w:p>
            <w:pPr>
              <w:pStyle w:val="TableParagraph"/>
              <w:spacing w:line="240" w:lineRule="auto" w:before="4"/>
              <w:ind w:left="91" w:right="0"/>
              <w:jc w:val="left"/>
              <w:rPr>
                <w:rFonts w:ascii="Times New Roman" w:hAnsi="Times New Roman" w:cs="Times New Roman" w:eastAsia="Times New Roman" w:hint="default"/>
                <w:sz w:val="18"/>
                <w:szCs w:val="18"/>
              </w:rPr>
            </w:pPr>
            <w:r>
              <w:rPr>
                <w:rFonts w:ascii="Times New Roman"/>
                <w:sz w:val="18"/>
              </w:rPr>
              <w:t>,973.87</w:t>
            </w:r>
          </w:p>
        </w:tc>
      </w:tr>
      <w:tr>
        <w:trPr>
          <w:trHeight w:val="2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2"/>
              <w:jc w:val="right"/>
              <w:rPr>
                <w:rFonts w:ascii="宋体" w:hAnsi="宋体" w:cs="宋体" w:eastAsia="宋体" w:hint="default"/>
                <w:sz w:val="18"/>
                <w:szCs w:val="18"/>
              </w:rPr>
            </w:pPr>
            <w:r>
              <w:rPr>
                <w:rFonts w:ascii="宋体" w:hAnsi="宋体" w:cs="宋体" w:eastAsia="宋体" w:hint="default"/>
                <w:spacing w:val="-10"/>
                <w:sz w:val="18"/>
                <w:szCs w:val="18"/>
              </w:rPr>
              <w:t>三、本期增减变动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Times New Roman" w:hAnsi="Times New Roman" w:cs="Times New Roman" w:eastAsia="Times New Roman" w:hint="default"/>
                <w:sz w:val="18"/>
                <w:szCs w:val="18"/>
              </w:rPr>
            </w:pPr>
            <w:r>
              <w:rPr>
                <w:rFonts w:ascii="Times New Roman"/>
                <w:sz w:val="18"/>
              </w:rPr>
              <w:t>22,626</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left"/>
              <w:rPr>
                <w:rFonts w:ascii="Times New Roman" w:hAnsi="Times New Roman" w:cs="Times New Roman" w:eastAsia="Times New Roman" w:hint="default"/>
                <w:sz w:val="18"/>
                <w:szCs w:val="18"/>
              </w:rPr>
            </w:pPr>
            <w:r>
              <w:rPr>
                <w:rFonts w:ascii="Times New Roman"/>
                <w:sz w:val="18"/>
              </w:rPr>
              <w:t>324,685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left"/>
              <w:rPr>
                <w:rFonts w:ascii="Times New Roman" w:hAnsi="Times New Roman" w:cs="Times New Roman" w:eastAsia="Times New Roman" w:hint="default"/>
                <w:sz w:val="18"/>
                <w:szCs w:val="18"/>
              </w:rPr>
            </w:pPr>
            <w:r>
              <w:rPr>
                <w:rFonts w:ascii="Times New Roman"/>
                <w:sz w:val="18"/>
              </w:rPr>
              <w:t>-4,027,0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left"/>
              <w:rPr>
                <w:rFonts w:ascii="Times New Roman" w:hAnsi="Times New Roman" w:cs="Times New Roman" w:eastAsia="Times New Roman" w:hint="default"/>
                <w:sz w:val="18"/>
                <w:szCs w:val="18"/>
              </w:rPr>
            </w:pPr>
            <w:r>
              <w:rPr>
                <w:rFonts w:ascii="Times New Roman"/>
                <w:sz w:val="18"/>
              </w:rPr>
              <w:t>802,290</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5" w:right="0"/>
              <w:jc w:val="left"/>
              <w:rPr>
                <w:rFonts w:ascii="Times New Roman" w:hAnsi="Times New Roman" w:cs="Times New Roman" w:eastAsia="Times New Roman" w:hint="default"/>
                <w:sz w:val="18"/>
                <w:szCs w:val="18"/>
              </w:rPr>
            </w:pPr>
            <w:r>
              <w:rPr>
                <w:rFonts w:ascii="Times New Roman"/>
                <w:sz w:val="18"/>
              </w:rPr>
              <w:t>11,175,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Times New Roman" w:hAnsi="Times New Roman" w:cs="Times New Roman" w:eastAsia="Times New Roman" w:hint="default"/>
                <w:sz w:val="18"/>
                <w:szCs w:val="18"/>
              </w:rPr>
            </w:pPr>
            <w:r>
              <w:rPr>
                <w:rFonts w:ascii="Times New Roman"/>
                <w:sz w:val="18"/>
              </w:rPr>
              <w:t>2,569,1</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 w:right="0"/>
              <w:jc w:val="left"/>
              <w:rPr>
                <w:rFonts w:ascii="Times New Roman" w:hAnsi="Times New Roman" w:cs="Times New Roman" w:eastAsia="Times New Roman" w:hint="default"/>
                <w:sz w:val="18"/>
                <w:szCs w:val="18"/>
              </w:rPr>
            </w:pPr>
            <w:r>
              <w:rPr>
                <w:rFonts w:ascii="Times New Roman"/>
                <w:sz w:val="18"/>
              </w:rPr>
              <w:t>357,832</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8"/>
        <w:gridCol w:w="668"/>
        <w:gridCol w:w="662"/>
        <w:gridCol w:w="668"/>
        <w:gridCol w:w="662"/>
        <w:gridCol w:w="668"/>
        <w:gridCol w:w="662"/>
        <w:gridCol w:w="677"/>
        <w:gridCol w:w="653"/>
        <w:gridCol w:w="663"/>
      </w:tblGrid>
      <w:tr>
        <w:trPr>
          <w:trHeight w:val="51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p>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,766.0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,311.31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5" w:right="0"/>
              <w:jc w:val="left"/>
              <w:rPr>
                <w:rFonts w:ascii="Times New Roman" w:hAnsi="Times New Roman" w:cs="Times New Roman" w:eastAsia="Times New Roman" w:hint="default"/>
                <w:sz w:val="18"/>
                <w:szCs w:val="18"/>
              </w:rPr>
            </w:pPr>
            <w:r>
              <w:rPr>
                <w:rFonts w:ascii="Times New Roman"/>
                <w:sz w:val="18"/>
              </w:rPr>
              <w:t>35.11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08" w:right="0"/>
              <w:jc w:val="left"/>
              <w:rPr>
                <w:rFonts w:ascii="Times New Roman" w:hAnsi="Times New Roman" w:cs="Times New Roman" w:eastAsia="Times New Roman" w:hint="default"/>
                <w:sz w:val="18"/>
                <w:szCs w:val="18"/>
              </w:rPr>
            </w:pPr>
            <w:r>
              <w:rPr>
                <w:rFonts w:ascii="Times New Roman"/>
                <w:sz w:val="18"/>
              </w:rPr>
              <w:t>.12</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3" w:right="0"/>
              <w:jc w:val="left"/>
              <w:rPr>
                <w:rFonts w:ascii="Times New Roman" w:hAnsi="Times New Roman" w:cs="Times New Roman" w:eastAsia="Times New Roman" w:hint="default"/>
                <w:sz w:val="18"/>
                <w:szCs w:val="18"/>
              </w:rPr>
            </w:pPr>
            <w:r>
              <w:rPr>
                <w:rFonts w:ascii="Times New Roman"/>
                <w:sz w:val="18"/>
              </w:rPr>
              <w:t>964.83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5" w:right="0"/>
              <w:jc w:val="left"/>
              <w:rPr>
                <w:rFonts w:ascii="Times New Roman" w:hAnsi="Times New Roman" w:cs="Times New Roman" w:eastAsia="Times New Roman" w:hint="default"/>
                <w:sz w:val="18"/>
                <w:szCs w:val="18"/>
              </w:rPr>
            </w:pPr>
            <w:r>
              <w:rPr>
                <w:rFonts w:ascii="Times New Roman"/>
                <w:sz w:val="18"/>
              </w:rPr>
              <w:t>31.84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1" w:right="0"/>
              <w:jc w:val="left"/>
              <w:rPr>
                <w:rFonts w:ascii="Times New Roman" w:hAnsi="Times New Roman" w:cs="Times New Roman" w:eastAsia="Times New Roman" w:hint="default"/>
                <w:sz w:val="18"/>
                <w:szCs w:val="18"/>
              </w:rPr>
            </w:pPr>
            <w:r>
              <w:rPr>
                <w:rFonts w:ascii="Times New Roman"/>
                <w:sz w:val="18"/>
              </w:rPr>
              <w:t>,428.99</w:t>
            </w: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-4,027,0</w:t>
            </w:r>
          </w:p>
          <w:p>
            <w:pPr>
              <w:pStyle w:val="TableParagraph"/>
              <w:spacing w:line="240" w:lineRule="auto" w:before="4"/>
              <w:ind w:left="235" w:right="0"/>
              <w:jc w:val="left"/>
              <w:rPr>
                <w:rFonts w:ascii="Times New Roman" w:hAnsi="Times New Roman" w:cs="Times New Roman" w:eastAsia="Times New Roman" w:hint="default"/>
                <w:sz w:val="18"/>
                <w:szCs w:val="18"/>
              </w:rPr>
            </w:pPr>
            <w:r>
              <w:rPr>
                <w:rFonts w:ascii="Times New Roman"/>
                <w:sz w:val="18"/>
              </w:rPr>
              <w:t>35.11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22,238,</w:t>
            </w:r>
          </w:p>
          <w:p>
            <w:pPr>
              <w:pStyle w:val="TableParagraph"/>
              <w:spacing w:line="240" w:lineRule="auto" w:before="4"/>
              <w:ind w:left="153" w:right="0"/>
              <w:jc w:val="left"/>
              <w:rPr>
                <w:rFonts w:ascii="Times New Roman" w:hAnsi="Times New Roman" w:cs="Times New Roman" w:eastAsia="Times New Roman" w:hint="default"/>
                <w:sz w:val="18"/>
                <w:szCs w:val="18"/>
              </w:rPr>
            </w:pPr>
            <w:r>
              <w:rPr>
                <w:rFonts w:ascii="Times New Roman"/>
                <w:sz w:val="18"/>
              </w:rPr>
              <w:t>457.43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2" w:right="0"/>
              <w:jc w:val="center"/>
              <w:rPr>
                <w:rFonts w:ascii="Times New Roman" w:hAnsi="Times New Roman" w:cs="Times New Roman" w:eastAsia="Times New Roman" w:hint="default"/>
                <w:sz w:val="18"/>
                <w:szCs w:val="18"/>
              </w:rPr>
            </w:pPr>
            <w:r>
              <w:rPr>
                <w:rFonts w:ascii="Times New Roman"/>
                <w:sz w:val="18"/>
              </w:rPr>
              <w:t>2,569,1</w:t>
            </w:r>
          </w:p>
          <w:p>
            <w:pPr>
              <w:pStyle w:val="TableParagraph"/>
              <w:spacing w:line="240" w:lineRule="auto" w:before="4"/>
              <w:ind w:left="196" w:right="0"/>
              <w:jc w:val="center"/>
              <w:rPr>
                <w:rFonts w:ascii="Times New Roman" w:hAnsi="Times New Roman" w:cs="Times New Roman" w:eastAsia="Times New Roman" w:hint="default"/>
                <w:sz w:val="18"/>
                <w:szCs w:val="18"/>
              </w:rPr>
            </w:pPr>
            <w:r>
              <w:rPr>
                <w:rFonts w:ascii="Times New Roman"/>
                <w:sz w:val="18"/>
              </w:rPr>
              <w:t>31.84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1" w:right="0"/>
              <w:jc w:val="left"/>
              <w:rPr>
                <w:rFonts w:ascii="Times New Roman" w:hAnsi="Times New Roman" w:cs="Times New Roman" w:eastAsia="Times New Roman" w:hint="default"/>
                <w:sz w:val="18"/>
                <w:szCs w:val="18"/>
              </w:rPr>
            </w:pPr>
            <w:r>
              <w:rPr>
                <w:rFonts w:ascii="Times New Roman"/>
                <w:sz w:val="18"/>
              </w:rPr>
              <w:t>20,780,</w:t>
            </w:r>
          </w:p>
          <w:p>
            <w:pPr>
              <w:pStyle w:val="TableParagraph"/>
              <w:spacing w:line="240" w:lineRule="auto" w:before="4"/>
              <w:ind w:left="135" w:right="0"/>
              <w:jc w:val="left"/>
              <w:rPr>
                <w:rFonts w:ascii="Times New Roman" w:hAnsi="Times New Roman" w:cs="Times New Roman" w:eastAsia="Times New Roman" w:hint="default"/>
                <w:sz w:val="18"/>
                <w:szCs w:val="18"/>
              </w:rPr>
            </w:pPr>
            <w:r>
              <w:rPr>
                <w:rFonts w:ascii="Times New Roman"/>
                <w:sz w:val="18"/>
              </w:rPr>
              <w:t>554.16</w:t>
            </w: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4" w:right="1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right="17"/>
              <w:jc w:val="right"/>
              <w:rPr>
                <w:rFonts w:ascii="Times New Roman" w:hAnsi="Times New Roman" w:cs="Times New Roman" w:eastAsia="Times New Roman" w:hint="default"/>
                <w:sz w:val="18"/>
                <w:szCs w:val="18"/>
              </w:rPr>
            </w:pPr>
            <w:r>
              <w:rPr>
                <w:rFonts w:ascii="Times New Roman"/>
                <w:spacing w:val="-1"/>
                <w:sz w:val="18"/>
              </w:rPr>
              <w:t>22,626</w:t>
            </w:r>
          </w:p>
          <w:p>
            <w:pPr>
              <w:pStyle w:val="TableParagraph"/>
              <w:spacing w:line="206" w:lineRule="exact"/>
              <w:ind w:right="17"/>
              <w:jc w:val="right"/>
              <w:rPr>
                <w:rFonts w:ascii="Times New Roman" w:hAnsi="Times New Roman" w:cs="Times New Roman" w:eastAsia="Times New Roman" w:hint="default"/>
                <w:sz w:val="18"/>
                <w:szCs w:val="18"/>
              </w:rPr>
            </w:pPr>
            <w:r>
              <w:rPr>
                <w:rFonts w:ascii="Times New Roman"/>
                <w:spacing w:val="-1"/>
                <w:sz w:val="18"/>
              </w:rPr>
              <w:t>,766.0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8" w:right="0"/>
              <w:jc w:val="left"/>
              <w:rPr>
                <w:rFonts w:ascii="Times New Roman" w:hAnsi="Times New Roman" w:cs="Times New Roman" w:eastAsia="Times New Roman" w:hint="default"/>
                <w:sz w:val="18"/>
                <w:szCs w:val="18"/>
              </w:rPr>
            </w:pPr>
            <w:r>
              <w:rPr>
                <w:rFonts w:ascii="Times New Roman"/>
                <w:sz w:val="18"/>
              </w:rPr>
              <w:t>324,685</w:t>
            </w:r>
          </w:p>
          <w:p>
            <w:pPr>
              <w:pStyle w:val="TableParagraph"/>
              <w:spacing w:line="240" w:lineRule="auto" w:before="4"/>
              <w:ind w:left="100" w:right="0"/>
              <w:jc w:val="left"/>
              <w:rPr>
                <w:rFonts w:ascii="Times New Roman" w:hAnsi="Times New Roman" w:cs="Times New Roman" w:eastAsia="Times New Roman" w:hint="default"/>
                <w:sz w:val="18"/>
                <w:szCs w:val="18"/>
              </w:rPr>
            </w:pPr>
            <w:r>
              <w:rPr>
                <w:rFonts w:ascii="Times New Roman"/>
                <w:sz w:val="18"/>
              </w:rPr>
              <w:t>,311.31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3" w:right="0"/>
              <w:jc w:val="left"/>
              <w:rPr>
                <w:rFonts w:ascii="Times New Roman" w:hAnsi="Times New Roman" w:cs="Times New Roman" w:eastAsia="Times New Roman" w:hint="default"/>
                <w:sz w:val="18"/>
                <w:szCs w:val="18"/>
              </w:rPr>
            </w:pPr>
            <w:r>
              <w:rPr>
                <w:rFonts w:ascii="Times New Roman"/>
                <w:sz w:val="18"/>
              </w:rPr>
              <w:t>347,312</w:t>
            </w:r>
          </w:p>
          <w:p>
            <w:pPr>
              <w:pStyle w:val="TableParagraph"/>
              <w:spacing w:line="240" w:lineRule="auto" w:before="4"/>
              <w:ind w:left="91" w:right="0"/>
              <w:jc w:val="left"/>
              <w:rPr>
                <w:rFonts w:ascii="Times New Roman" w:hAnsi="Times New Roman" w:cs="Times New Roman" w:eastAsia="Times New Roman" w:hint="default"/>
                <w:sz w:val="18"/>
                <w:szCs w:val="18"/>
              </w:rPr>
            </w:pPr>
            <w:r>
              <w:rPr>
                <w:rFonts w:ascii="Times New Roman"/>
                <w:sz w:val="18"/>
              </w:rPr>
              <w:t>,077.31</w:t>
            </w: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104"/>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spacing w:val="-1"/>
                <w:sz w:val="18"/>
              </w:rPr>
              <w:t>22,626</w:t>
            </w:r>
          </w:p>
          <w:p>
            <w:pPr>
              <w:pStyle w:val="TableParagraph"/>
              <w:spacing w:line="206" w:lineRule="exact"/>
              <w:ind w:right="17"/>
              <w:jc w:val="right"/>
              <w:rPr>
                <w:rFonts w:ascii="Times New Roman" w:hAnsi="Times New Roman" w:cs="Times New Roman" w:eastAsia="Times New Roman" w:hint="default"/>
                <w:sz w:val="18"/>
                <w:szCs w:val="18"/>
              </w:rPr>
            </w:pPr>
            <w:r>
              <w:rPr>
                <w:rFonts w:ascii="Times New Roman"/>
                <w:spacing w:val="-1"/>
                <w:sz w:val="18"/>
              </w:rPr>
              <w:t>,766.0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8" w:right="0"/>
              <w:jc w:val="left"/>
              <w:rPr>
                <w:rFonts w:ascii="Times New Roman" w:hAnsi="Times New Roman" w:cs="Times New Roman" w:eastAsia="Times New Roman" w:hint="default"/>
                <w:sz w:val="18"/>
                <w:szCs w:val="18"/>
              </w:rPr>
            </w:pPr>
            <w:r>
              <w:rPr>
                <w:rFonts w:ascii="Times New Roman"/>
                <w:sz w:val="18"/>
              </w:rPr>
              <w:t>323,165</w:t>
            </w:r>
          </w:p>
          <w:p>
            <w:pPr>
              <w:pStyle w:val="TableParagraph"/>
              <w:spacing w:line="240" w:lineRule="auto" w:before="4"/>
              <w:ind w:left="96" w:right="0"/>
              <w:jc w:val="left"/>
              <w:rPr>
                <w:rFonts w:ascii="Times New Roman" w:hAnsi="Times New Roman" w:cs="Times New Roman" w:eastAsia="Times New Roman" w:hint="default"/>
                <w:sz w:val="18"/>
                <w:szCs w:val="18"/>
              </w:rPr>
            </w:pPr>
            <w:r>
              <w:rPr>
                <w:rFonts w:ascii="Times New Roman"/>
                <w:sz w:val="18"/>
              </w:rPr>
              <w:t>,854.47</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3" w:right="0"/>
              <w:jc w:val="left"/>
              <w:rPr>
                <w:rFonts w:ascii="Times New Roman" w:hAnsi="Times New Roman" w:cs="Times New Roman" w:eastAsia="Times New Roman" w:hint="default"/>
                <w:sz w:val="18"/>
                <w:szCs w:val="18"/>
              </w:rPr>
            </w:pPr>
            <w:r>
              <w:rPr>
                <w:rFonts w:ascii="Times New Roman"/>
                <w:sz w:val="18"/>
              </w:rPr>
              <w:t>345,792</w:t>
            </w:r>
          </w:p>
          <w:p>
            <w:pPr>
              <w:pStyle w:val="TableParagraph"/>
              <w:spacing w:line="240" w:lineRule="auto" w:before="4"/>
              <w:ind w:left="91" w:right="0"/>
              <w:jc w:val="left"/>
              <w:rPr>
                <w:rFonts w:ascii="Times New Roman" w:hAnsi="Times New Roman" w:cs="Times New Roman" w:eastAsia="Times New Roman" w:hint="default"/>
                <w:sz w:val="18"/>
                <w:szCs w:val="18"/>
              </w:rPr>
            </w:pPr>
            <w:r>
              <w:rPr>
                <w:rFonts w:ascii="Times New Roman"/>
                <w:sz w:val="18"/>
              </w:rPr>
              <w:t>,620.47</w:t>
            </w: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07" w:lineRule="exact"/>
              <w:ind w:left="210" w:right="0"/>
              <w:jc w:val="center"/>
              <w:rPr>
                <w:rFonts w:ascii="Times New Roman" w:hAnsi="Times New Roman" w:cs="Times New Roman" w:eastAsia="Times New Roman" w:hint="default"/>
                <w:sz w:val="18"/>
                <w:szCs w:val="18"/>
              </w:rPr>
            </w:pPr>
            <w:r>
              <w:rPr>
                <w:rFonts w:ascii="Times New Roman"/>
                <w:sz w:val="18"/>
              </w:rPr>
              <w:t>56.84</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1"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07" w:lineRule="exact"/>
              <w:ind w:left="206" w:right="0"/>
              <w:jc w:val="center"/>
              <w:rPr>
                <w:rFonts w:ascii="Times New Roman" w:hAnsi="Times New Roman" w:cs="Times New Roman" w:eastAsia="Times New Roman" w:hint="default"/>
                <w:sz w:val="18"/>
                <w:szCs w:val="18"/>
              </w:rPr>
            </w:pPr>
            <w:r>
              <w:rPr>
                <w:rFonts w:ascii="Times New Roman"/>
                <w:sz w:val="18"/>
              </w:rPr>
              <w:t>56.84</w:t>
            </w:r>
          </w:p>
        </w:tc>
      </w:tr>
      <w:tr>
        <w:trPr>
          <w:trHeight w:val="50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48" w:right="0"/>
              <w:jc w:val="left"/>
              <w:rPr>
                <w:rFonts w:ascii="Times New Roman" w:hAnsi="Times New Roman" w:cs="Times New Roman" w:eastAsia="Times New Roman" w:hint="default"/>
                <w:sz w:val="18"/>
                <w:szCs w:val="18"/>
              </w:rPr>
            </w:pPr>
            <w:r>
              <w:rPr>
                <w:rFonts w:ascii="Times New Roman"/>
                <w:sz w:val="18"/>
              </w:rPr>
              <w:t>802,290</w:t>
            </w:r>
          </w:p>
          <w:p>
            <w:pPr>
              <w:pStyle w:val="TableParagraph"/>
              <w:spacing w:line="207" w:lineRule="exact"/>
              <w:ind w:left="408" w:right="0"/>
              <w:jc w:val="left"/>
              <w:rPr>
                <w:rFonts w:ascii="Times New Roman" w:hAnsi="Times New Roman" w:cs="Times New Roman" w:eastAsia="Times New Roman" w:hint="default"/>
                <w:sz w:val="18"/>
                <w:szCs w:val="18"/>
              </w:rPr>
            </w:pPr>
            <w:r>
              <w:rPr>
                <w:rFonts w:ascii="Times New Roman"/>
                <w:sz w:val="18"/>
              </w:rPr>
              <w:t>.12</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35" w:right="0"/>
              <w:jc w:val="center"/>
              <w:rPr>
                <w:rFonts w:ascii="Times New Roman" w:hAnsi="Times New Roman" w:cs="Times New Roman" w:eastAsia="Times New Roman" w:hint="default"/>
                <w:sz w:val="18"/>
                <w:szCs w:val="18"/>
              </w:rPr>
            </w:pPr>
            <w:r>
              <w:rPr>
                <w:rFonts w:ascii="Times New Roman"/>
                <w:sz w:val="18"/>
              </w:rPr>
              <w:t>-11,062,</w:t>
            </w:r>
          </w:p>
          <w:p>
            <w:pPr>
              <w:pStyle w:val="TableParagraph"/>
              <w:spacing w:line="207" w:lineRule="exact"/>
              <w:ind w:left="138" w:right="0"/>
              <w:jc w:val="center"/>
              <w:rPr>
                <w:rFonts w:ascii="Times New Roman" w:hAnsi="Times New Roman" w:cs="Times New Roman" w:eastAsia="Times New Roman" w:hint="default"/>
                <w:sz w:val="18"/>
                <w:szCs w:val="18"/>
              </w:rPr>
            </w:pPr>
            <w:r>
              <w:rPr>
                <w:rFonts w:ascii="Times New Roman"/>
                <w:sz w:val="18"/>
              </w:rPr>
              <w:t>492.60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6" w:right="0"/>
              <w:jc w:val="center"/>
              <w:rPr>
                <w:rFonts w:ascii="Times New Roman" w:hAnsi="Times New Roman" w:cs="Times New Roman" w:eastAsia="Times New Roman" w:hint="default"/>
                <w:sz w:val="18"/>
                <w:szCs w:val="18"/>
              </w:rPr>
            </w:pPr>
            <w:r>
              <w:rPr>
                <w:rFonts w:ascii="Times New Roman"/>
                <w:sz w:val="18"/>
              </w:rPr>
              <w:t>-10,260,</w:t>
            </w:r>
          </w:p>
          <w:p>
            <w:pPr>
              <w:pStyle w:val="TableParagraph"/>
              <w:spacing w:line="207" w:lineRule="exact"/>
              <w:ind w:left="115" w:right="0"/>
              <w:jc w:val="center"/>
              <w:rPr>
                <w:rFonts w:ascii="Times New Roman" w:hAnsi="Times New Roman" w:cs="Times New Roman" w:eastAsia="Times New Roman" w:hint="default"/>
                <w:sz w:val="18"/>
                <w:szCs w:val="18"/>
              </w:rPr>
            </w:pPr>
            <w:r>
              <w:rPr>
                <w:rFonts w:ascii="Times New Roman"/>
                <w:sz w:val="18"/>
              </w:rPr>
              <w:t>202.48</w:t>
            </w:r>
          </w:p>
        </w:tc>
      </w:tr>
      <w:tr>
        <w:trPr>
          <w:trHeight w:val="5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8" w:right="0"/>
              <w:jc w:val="left"/>
              <w:rPr>
                <w:rFonts w:ascii="Times New Roman" w:hAnsi="Times New Roman" w:cs="Times New Roman" w:eastAsia="Times New Roman" w:hint="default"/>
                <w:sz w:val="18"/>
                <w:szCs w:val="18"/>
              </w:rPr>
            </w:pPr>
            <w:r>
              <w:rPr>
                <w:rFonts w:ascii="Times New Roman"/>
                <w:sz w:val="18"/>
              </w:rPr>
              <w:t>802,290</w:t>
            </w:r>
          </w:p>
          <w:p>
            <w:pPr>
              <w:pStyle w:val="TableParagraph"/>
              <w:spacing w:line="207" w:lineRule="exact"/>
              <w:ind w:left="408" w:right="0"/>
              <w:jc w:val="left"/>
              <w:rPr>
                <w:rFonts w:ascii="Times New Roman" w:hAnsi="Times New Roman" w:cs="Times New Roman" w:eastAsia="Times New Roman" w:hint="default"/>
                <w:sz w:val="18"/>
                <w:szCs w:val="18"/>
              </w:rPr>
            </w:pPr>
            <w:r>
              <w:rPr>
                <w:rFonts w:ascii="Times New Roman"/>
                <w:sz w:val="18"/>
              </w:rPr>
              <w:t>.12</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1" w:right="0"/>
              <w:jc w:val="left"/>
              <w:rPr>
                <w:rFonts w:ascii="Times New Roman" w:hAnsi="Times New Roman" w:cs="Times New Roman" w:eastAsia="Times New Roman" w:hint="default"/>
                <w:sz w:val="18"/>
                <w:szCs w:val="18"/>
              </w:rPr>
            </w:pPr>
            <w:r>
              <w:rPr>
                <w:rFonts w:ascii="Times New Roman"/>
                <w:sz w:val="18"/>
              </w:rPr>
              <w:t>-802,29</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0.12</w:t>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 w:right="0"/>
              <w:jc w:val="center"/>
              <w:rPr>
                <w:rFonts w:ascii="Times New Roman" w:hAnsi="Times New Roman" w:cs="Times New Roman" w:eastAsia="Times New Roman" w:hint="default"/>
                <w:sz w:val="18"/>
                <w:szCs w:val="18"/>
              </w:rPr>
            </w:pPr>
            <w:r>
              <w:rPr>
                <w:rFonts w:ascii="Times New Roman"/>
                <w:sz w:val="18"/>
              </w:rPr>
              <w:t>-10,260,</w:t>
            </w:r>
          </w:p>
          <w:p>
            <w:pPr>
              <w:pStyle w:val="TableParagraph"/>
              <w:spacing w:line="240" w:lineRule="auto" w:before="4"/>
              <w:ind w:left="138" w:right="0"/>
              <w:jc w:val="center"/>
              <w:rPr>
                <w:rFonts w:ascii="Times New Roman" w:hAnsi="Times New Roman" w:cs="Times New Roman" w:eastAsia="Times New Roman" w:hint="default"/>
                <w:sz w:val="18"/>
                <w:szCs w:val="18"/>
              </w:rPr>
            </w:pPr>
            <w:r>
              <w:rPr>
                <w:rFonts w:ascii="Times New Roman"/>
                <w:sz w:val="18"/>
              </w:rPr>
              <w:t>202.48</w:t>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-10,260,</w:t>
            </w:r>
          </w:p>
          <w:p>
            <w:pPr>
              <w:pStyle w:val="TableParagraph"/>
              <w:spacing w:line="240" w:lineRule="auto" w:before="4"/>
              <w:ind w:left="115" w:right="0"/>
              <w:jc w:val="center"/>
              <w:rPr>
                <w:rFonts w:ascii="Times New Roman" w:hAnsi="Times New Roman" w:cs="Times New Roman" w:eastAsia="Times New Roman" w:hint="default"/>
                <w:sz w:val="18"/>
                <w:szCs w:val="18"/>
              </w:rPr>
            </w:pPr>
            <w:r>
              <w:rPr>
                <w:rFonts w:ascii="Times New Roman"/>
                <w:sz w:val="18"/>
              </w:rPr>
              <w:t>202.48</w:t>
            </w:r>
          </w:p>
        </w:tc>
      </w:tr>
      <w:tr>
        <w:trPr>
          <w:trHeight w:val="32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9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2"/>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3" w:right="0"/>
              <w:jc w:val="left"/>
              <w:rPr>
                <w:rFonts w:ascii="Times New Roman" w:hAnsi="Times New Roman" w:cs="Times New Roman" w:eastAsia="Times New Roman" w:hint="default"/>
                <w:sz w:val="18"/>
                <w:szCs w:val="18"/>
              </w:rPr>
            </w:pPr>
            <w:r>
              <w:rPr>
                <w:rFonts w:ascii="Times New Roman"/>
                <w:sz w:val="18"/>
              </w:rPr>
              <w:t>706,64</w:t>
            </w:r>
          </w:p>
          <w:p>
            <w:pPr>
              <w:pStyle w:val="TableParagraph"/>
              <w:spacing w:line="206" w:lineRule="exact"/>
              <w:ind w:left="76" w:right="0"/>
              <w:jc w:val="left"/>
              <w:rPr>
                <w:rFonts w:ascii="Times New Roman" w:hAnsi="Times New Roman" w:cs="Times New Roman" w:eastAsia="Times New Roman" w:hint="default"/>
                <w:sz w:val="18"/>
                <w:szCs w:val="18"/>
              </w:rPr>
            </w:pPr>
            <w:r>
              <w:rPr>
                <w:rFonts w:ascii="Times New Roman"/>
                <w:sz w:val="18"/>
              </w:rPr>
              <w:t>0,535.</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8" w:right="0"/>
              <w:jc w:val="left"/>
              <w:rPr>
                <w:rFonts w:ascii="Times New Roman" w:hAnsi="Times New Roman" w:cs="Times New Roman" w:eastAsia="Times New Roman" w:hint="default"/>
                <w:sz w:val="18"/>
                <w:szCs w:val="18"/>
              </w:rPr>
            </w:pPr>
            <w:r>
              <w:rPr>
                <w:rFonts w:ascii="Times New Roman"/>
                <w:sz w:val="18"/>
              </w:rPr>
              <w:t>375,571</w:t>
            </w:r>
          </w:p>
          <w:p>
            <w:pPr>
              <w:pStyle w:val="TableParagraph"/>
              <w:spacing w:line="240" w:lineRule="auto" w:before="4"/>
              <w:ind w:left="96" w:right="0"/>
              <w:jc w:val="left"/>
              <w:rPr>
                <w:rFonts w:ascii="Times New Roman" w:hAnsi="Times New Roman" w:cs="Times New Roman" w:eastAsia="Times New Roman" w:hint="default"/>
                <w:sz w:val="18"/>
                <w:szCs w:val="18"/>
              </w:rPr>
            </w:pPr>
            <w:r>
              <w:rPr>
                <w:rFonts w:ascii="Times New Roman"/>
                <w:sz w:val="18"/>
              </w:rPr>
              <w:t>,417.21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3" w:right="0"/>
              <w:jc w:val="left"/>
              <w:rPr>
                <w:rFonts w:ascii="Times New Roman" w:hAnsi="Times New Roman" w:cs="Times New Roman" w:eastAsia="Times New Roman" w:hint="default"/>
                <w:sz w:val="18"/>
                <w:szCs w:val="18"/>
              </w:rPr>
            </w:pPr>
            <w:r>
              <w:rPr>
                <w:rFonts w:ascii="Times New Roman"/>
                <w:sz w:val="18"/>
              </w:rPr>
              <w:t>-4,579,2</w:t>
            </w:r>
          </w:p>
          <w:p>
            <w:pPr>
              <w:pStyle w:val="TableParagraph"/>
              <w:spacing w:line="240" w:lineRule="auto" w:before="4"/>
              <w:ind w:left="235" w:right="0"/>
              <w:jc w:val="left"/>
              <w:rPr>
                <w:rFonts w:ascii="Times New Roman" w:hAnsi="Times New Roman" w:cs="Times New Roman" w:eastAsia="Times New Roman" w:hint="default"/>
                <w:sz w:val="18"/>
                <w:szCs w:val="18"/>
              </w:rPr>
            </w:pPr>
            <w:r>
              <w:rPr>
                <w:rFonts w:ascii="Times New Roman"/>
                <w:sz w:val="18"/>
              </w:rPr>
              <w:t>11.51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6" w:right="0"/>
              <w:jc w:val="left"/>
              <w:rPr>
                <w:rFonts w:ascii="Times New Roman" w:hAnsi="Times New Roman" w:cs="Times New Roman" w:eastAsia="Times New Roman" w:hint="default"/>
                <w:sz w:val="18"/>
                <w:szCs w:val="18"/>
              </w:rPr>
            </w:pPr>
            <w:r>
              <w:rPr>
                <w:rFonts w:ascii="Times New Roman"/>
                <w:sz w:val="18"/>
              </w:rPr>
              <w:t>26,181,</w:t>
            </w:r>
          </w:p>
          <w:p>
            <w:pPr>
              <w:pStyle w:val="TableParagraph"/>
              <w:spacing w:line="240" w:lineRule="auto" w:before="4"/>
              <w:ind w:left="139" w:right="0"/>
              <w:jc w:val="left"/>
              <w:rPr>
                <w:rFonts w:ascii="Times New Roman" w:hAnsi="Times New Roman" w:cs="Times New Roman" w:eastAsia="Times New Roman" w:hint="default"/>
                <w:sz w:val="18"/>
                <w:szCs w:val="18"/>
              </w:rPr>
            </w:pPr>
            <w:r>
              <w:rPr>
                <w:rFonts w:ascii="Times New Roman"/>
                <w:sz w:val="18"/>
              </w:rPr>
              <w:t>022.91</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2" w:right="0"/>
              <w:jc w:val="left"/>
              <w:rPr>
                <w:rFonts w:ascii="Times New Roman" w:hAnsi="Times New Roman" w:cs="Times New Roman" w:eastAsia="Times New Roman" w:hint="default"/>
                <w:sz w:val="18"/>
                <w:szCs w:val="18"/>
              </w:rPr>
            </w:pPr>
            <w:r>
              <w:rPr>
                <w:rFonts w:ascii="Times New Roman"/>
                <w:sz w:val="18"/>
              </w:rPr>
              <w:t>219,302</w:t>
            </w:r>
          </w:p>
          <w:p>
            <w:pPr>
              <w:pStyle w:val="TableParagraph"/>
              <w:spacing w:line="240" w:lineRule="auto" w:before="4"/>
              <w:ind w:left="110" w:right="0"/>
              <w:jc w:val="left"/>
              <w:rPr>
                <w:rFonts w:ascii="Times New Roman" w:hAnsi="Times New Roman" w:cs="Times New Roman" w:eastAsia="Times New Roman" w:hint="default"/>
                <w:sz w:val="18"/>
                <w:szCs w:val="18"/>
              </w:rPr>
            </w:pPr>
            <w:r>
              <w:rPr>
                <w:rFonts w:ascii="Times New Roman"/>
                <w:sz w:val="18"/>
              </w:rPr>
              <w:t>,589.49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81" w:right="0"/>
              <w:jc w:val="left"/>
              <w:rPr>
                <w:rFonts w:ascii="Times New Roman" w:hAnsi="Times New Roman" w:cs="Times New Roman" w:eastAsia="Times New Roman" w:hint="default"/>
                <w:sz w:val="18"/>
                <w:szCs w:val="18"/>
              </w:rPr>
            </w:pPr>
            <w:r>
              <w:rPr>
                <w:rFonts w:ascii="Times New Roman"/>
                <w:sz w:val="18"/>
              </w:rPr>
              <w:t>28,705,</w:t>
            </w:r>
          </w:p>
          <w:p>
            <w:pPr>
              <w:pStyle w:val="TableParagraph"/>
              <w:spacing w:line="240" w:lineRule="auto" w:before="4"/>
              <w:ind w:left="124" w:right="0"/>
              <w:jc w:val="left"/>
              <w:rPr>
                <w:rFonts w:ascii="Times New Roman" w:hAnsi="Times New Roman" w:cs="Times New Roman" w:eastAsia="Times New Roman" w:hint="default"/>
                <w:sz w:val="18"/>
                <w:szCs w:val="18"/>
              </w:rPr>
            </w:pPr>
            <w:r>
              <w:rPr>
                <w:rFonts w:ascii="Times New Roman"/>
                <w:sz w:val="18"/>
              </w:rPr>
              <w:t>049.76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spacing w:val="-1"/>
                <w:sz w:val="18"/>
              </w:rPr>
              <w:t>1,351,8</w:t>
            </w:r>
          </w:p>
          <w:p>
            <w:pPr>
              <w:pStyle w:val="TableParagraph"/>
              <w:spacing w:line="206" w:lineRule="exact"/>
              <w:ind w:right="20"/>
              <w:jc w:val="right"/>
              <w:rPr>
                <w:rFonts w:ascii="Times New Roman" w:hAnsi="Times New Roman" w:cs="Times New Roman" w:eastAsia="Times New Roman" w:hint="default"/>
                <w:sz w:val="18"/>
                <w:szCs w:val="18"/>
              </w:rPr>
            </w:pPr>
            <w:r>
              <w:rPr>
                <w:rFonts w:ascii="Times New Roman"/>
                <w:spacing w:val="-2"/>
                <w:sz w:val="18"/>
              </w:rPr>
              <w:t>21,402.</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86</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right="1055"/>
        <w:jc w:val="left"/>
      </w:pPr>
      <w:r>
        <w:rPr/>
        <w:t>本期金额</w:t>
      </w:r>
    </w:p>
    <w:p>
      <w:pPr>
        <w:pStyle w:val="BodyText"/>
        <w:spacing w:line="240" w:lineRule="auto" w:before="38"/>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41"/>
        <w:gridCol w:w="8135"/>
      </w:tblGrid>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22" w:hRule="exact"/>
        </w:trPr>
        <w:tc>
          <w:tcPr>
            <w:tcW w:w="1441" w:type="dxa"/>
            <w:vMerge w:val="restart"/>
            <w:tcBorders>
              <w:top w:val="single" w:sz="4" w:space="0" w:color="000000"/>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326"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50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6" w:right="0"/>
              <w:jc w:val="center"/>
              <w:rPr>
                <w:rFonts w:ascii="Times New Roman" w:hAnsi="Times New Roman" w:cs="Times New Roman" w:eastAsia="Times New Roman" w:hint="default"/>
                <w:sz w:val="18"/>
                <w:szCs w:val="18"/>
              </w:rPr>
            </w:pPr>
            <w:r>
              <w:rPr>
                <w:rFonts w:ascii="Times New Roman"/>
                <w:sz w:val="18"/>
              </w:rPr>
              <w:t>706,640,</w:t>
            </w:r>
          </w:p>
          <w:p>
            <w:pPr>
              <w:pStyle w:val="TableParagraph"/>
              <w:spacing w:line="207" w:lineRule="exact"/>
              <w:ind w:left="143" w:right="0"/>
              <w:jc w:val="center"/>
              <w:rPr>
                <w:rFonts w:ascii="Times New Roman" w:hAnsi="Times New Roman" w:cs="Times New Roman" w:eastAsia="Times New Roman" w:hint="default"/>
                <w:sz w:val="18"/>
                <w:szCs w:val="18"/>
              </w:rPr>
            </w:pPr>
            <w:r>
              <w:rPr>
                <w:rFonts w:ascii="Times New Roman"/>
                <w:sz w:val="18"/>
              </w:rPr>
              <w:t>535.00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43" w:right="0"/>
              <w:jc w:val="left"/>
              <w:rPr>
                <w:rFonts w:ascii="Times New Roman" w:hAnsi="Times New Roman" w:cs="Times New Roman" w:eastAsia="Times New Roman" w:hint="default"/>
                <w:sz w:val="18"/>
                <w:szCs w:val="18"/>
              </w:rPr>
            </w:pPr>
            <w:r>
              <w:rPr>
                <w:rFonts w:ascii="Times New Roman"/>
                <w:sz w:val="18"/>
              </w:rPr>
              <w:t>375,571,4</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17.21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81" w:right="0"/>
              <w:jc w:val="left"/>
              <w:rPr>
                <w:rFonts w:ascii="Times New Roman" w:hAnsi="Times New Roman" w:cs="Times New Roman" w:eastAsia="Times New Roman" w:hint="default"/>
                <w:sz w:val="18"/>
                <w:szCs w:val="18"/>
              </w:rPr>
            </w:pPr>
            <w:r>
              <w:rPr>
                <w:rFonts w:ascii="Times New Roman"/>
                <w:sz w:val="18"/>
              </w:rPr>
              <w:t>-4,579,21</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43" w:right="0"/>
              <w:jc w:val="left"/>
              <w:rPr>
                <w:rFonts w:ascii="Times New Roman" w:hAnsi="Times New Roman" w:cs="Times New Roman" w:eastAsia="Times New Roman" w:hint="default"/>
                <w:sz w:val="18"/>
                <w:szCs w:val="18"/>
              </w:rPr>
            </w:pPr>
            <w:r>
              <w:rPr>
                <w:rFonts w:ascii="Times New Roman"/>
                <w:sz w:val="18"/>
              </w:rPr>
              <w:t>24,094,30</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7.38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57" w:right="0"/>
              <w:jc w:val="left"/>
              <w:rPr>
                <w:rFonts w:ascii="Times New Roman" w:hAnsi="Times New Roman" w:cs="Times New Roman" w:eastAsia="Times New Roman" w:hint="default"/>
                <w:sz w:val="18"/>
                <w:szCs w:val="18"/>
              </w:rPr>
            </w:pPr>
            <w:r>
              <w:rPr>
                <w:rFonts w:ascii="Times New Roman"/>
                <w:sz w:val="18"/>
              </w:rPr>
              <w:t>108,466</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,264.03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8" w:right="0"/>
              <w:jc w:val="center"/>
              <w:rPr>
                <w:rFonts w:ascii="Times New Roman" w:hAnsi="Times New Roman" w:cs="Times New Roman" w:eastAsia="Times New Roman" w:hint="default"/>
                <w:sz w:val="18"/>
                <w:szCs w:val="18"/>
              </w:rPr>
            </w:pPr>
            <w:r>
              <w:rPr>
                <w:rFonts w:ascii="Times New Roman"/>
                <w:sz w:val="18"/>
              </w:rPr>
              <w:t>1,210,193</w:t>
            </w:r>
          </w:p>
          <w:p>
            <w:pPr>
              <w:pStyle w:val="TableParagraph"/>
              <w:spacing w:line="207" w:lineRule="exact"/>
              <w:ind w:left="196" w:right="0"/>
              <w:jc w:val="center"/>
              <w:rPr>
                <w:rFonts w:ascii="Times New Roman" w:hAnsi="Times New Roman" w:cs="Times New Roman" w:eastAsia="Times New Roman" w:hint="default"/>
                <w:sz w:val="18"/>
                <w:szCs w:val="18"/>
              </w:rPr>
            </w:pPr>
            <w:r>
              <w:rPr>
                <w:rFonts w:ascii="Times New Roman"/>
                <w:sz w:val="18"/>
              </w:rPr>
              <w:t>,312.11</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5"/>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 w:right="0"/>
              <w:jc w:val="center"/>
              <w:rPr>
                <w:rFonts w:ascii="Times New Roman" w:hAnsi="Times New Roman" w:cs="Times New Roman" w:eastAsia="Times New Roman" w:hint="default"/>
                <w:sz w:val="18"/>
                <w:szCs w:val="18"/>
              </w:rPr>
            </w:pPr>
            <w:r>
              <w:rPr>
                <w:rFonts w:ascii="Times New Roman"/>
                <w:sz w:val="18"/>
              </w:rPr>
              <w:t>706,640,</w:t>
            </w:r>
          </w:p>
          <w:p>
            <w:pPr>
              <w:pStyle w:val="TableParagraph"/>
              <w:spacing w:line="240" w:lineRule="auto" w:before="4"/>
              <w:ind w:left="143" w:right="0"/>
              <w:jc w:val="center"/>
              <w:rPr>
                <w:rFonts w:ascii="Times New Roman" w:hAnsi="Times New Roman" w:cs="Times New Roman" w:eastAsia="Times New Roman" w:hint="default"/>
                <w:sz w:val="18"/>
                <w:szCs w:val="18"/>
              </w:rPr>
            </w:pPr>
            <w:r>
              <w:rPr>
                <w:rFonts w:ascii="Times New Roman"/>
                <w:sz w:val="18"/>
              </w:rPr>
              <w:t>535.00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 w:right="0"/>
              <w:jc w:val="left"/>
              <w:rPr>
                <w:rFonts w:ascii="Times New Roman" w:hAnsi="Times New Roman" w:cs="Times New Roman" w:eastAsia="Times New Roman" w:hint="default"/>
                <w:sz w:val="18"/>
                <w:szCs w:val="18"/>
              </w:rPr>
            </w:pPr>
            <w:r>
              <w:rPr>
                <w:rFonts w:ascii="Times New Roman"/>
                <w:sz w:val="18"/>
              </w:rPr>
              <w:t>375,571,4</w:t>
            </w:r>
          </w:p>
          <w:p>
            <w:pPr>
              <w:pStyle w:val="TableParagraph"/>
              <w:spacing w:line="240" w:lineRule="auto" w:before="4"/>
              <w:ind w:left="360" w:right="0"/>
              <w:jc w:val="left"/>
              <w:rPr>
                <w:rFonts w:ascii="Times New Roman" w:hAnsi="Times New Roman" w:cs="Times New Roman" w:eastAsia="Times New Roman" w:hint="default"/>
                <w:sz w:val="18"/>
                <w:szCs w:val="18"/>
              </w:rPr>
            </w:pPr>
            <w:r>
              <w:rPr>
                <w:rFonts w:ascii="Times New Roman"/>
                <w:sz w:val="18"/>
              </w:rPr>
              <w:t>17.21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1" w:right="0"/>
              <w:jc w:val="left"/>
              <w:rPr>
                <w:rFonts w:ascii="Times New Roman" w:hAnsi="Times New Roman" w:cs="Times New Roman" w:eastAsia="Times New Roman" w:hint="default"/>
                <w:sz w:val="18"/>
                <w:szCs w:val="18"/>
              </w:rPr>
            </w:pPr>
            <w:r>
              <w:rPr>
                <w:rFonts w:ascii="Times New Roman"/>
                <w:sz w:val="18"/>
              </w:rPr>
              <w:t>-4,579,21</w:t>
            </w:r>
          </w:p>
          <w:p>
            <w:pPr>
              <w:pStyle w:val="TableParagraph"/>
              <w:spacing w:line="240" w:lineRule="auto" w:before="4"/>
              <w:ind w:left="446" w:right="0"/>
              <w:jc w:val="lef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 w:right="0"/>
              <w:jc w:val="left"/>
              <w:rPr>
                <w:rFonts w:ascii="Times New Roman" w:hAnsi="Times New Roman" w:cs="Times New Roman" w:eastAsia="Times New Roman" w:hint="default"/>
                <w:sz w:val="18"/>
                <w:szCs w:val="18"/>
              </w:rPr>
            </w:pPr>
            <w:r>
              <w:rPr>
                <w:rFonts w:ascii="Times New Roman"/>
                <w:sz w:val="18"/>
              </w:rPr>
              <w:t>24,094,30</w:t>
            </w:r>
          </w:p>
          <w:p>
            <w:pPr>
              <w:pStyle w:val="TableParagraph"/>
              <w:spacing w:line="240" w:lineRule="auto" w:before="4"/>
              <w:ind w:left="446" w:right="0"/>
              <w:jc w:val="left"/>
              <w:rPr>
                <w:rFonts w:ascii="Times New Roman" w:hAnsi="Times New Roman" w:cs="Times New Roman" w:eastAsia="Times New Roman" w:hint="default"/>
                <w:sz w:val="18"/>
                <w:szCs w:val="18"/>
              </w:rPr>
            </w:pPr>
            <w:r>
              <w:rPr>
                <w:rFonts w:ascii="Times New Roman"/>
                <w:sz w:val="18"/>
              </w:rPr>
              <w:t>7.38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7" w:right="0"/>
              <w:jc w:val="left"/>
              <w:rPr>
                <w:rFonts w:ascii="Times New Roman" w:hAnsi="Times New Roman" w:cs="Times New Roman" w:eastAsia="Times New Roman" w:hint="default"/>
                <w:sz w:val="18"/>
                <w:szCs w:val="18"/>
              </w:rPr>
            </w:pPr>
            <w:r>
              <w:rPr>
                <w:rFonts w:ascii="Times New Roman"/>
                <w:sz w:val="18"/>
              </w:rPr>
              <w:t>108,466</w:t>
            </w:r>
          </w:p>
          <w:p>
            <w:pPr>
              <w:pStyle w:val="TableParagraph"/>
              <w:spacing w:line="240" w:lineRule="auto" w:before="4"/>
              <w:ind w:left="105" w:right="0"/>
              <w:jc w:val="left"/>
              <w:rPr>
                <w:rFonts w:ascii="Times New Roman" w:hAnsi="Times New Roman" w:cs="Times New Roman" w:eastAsia="Times New Roman" w:hint="default"/>
                <w:sz w:val="18"/>
                <w:szCs w:val="18"/>
              </w:rPr>
            </w:pPr>
            <w:r>
              <w:rPr>
                <w:rFonts w:ascii="Times New Roman"/>
                <w:sz w:val="18"/>
              </w:rPr>
              <w:t>,264.03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 w:right="0"/>
              <w:jc w:val="center"/>
              <w:rPr>
                <w:rFonts w:ascii="Times New Roman" w:hAnsi="Times New Roman" w:cs="Times New Roman" w:eastAsia="Times New Roman" w:hint="default"/>
                <w:sz w:val="18"/>
                <w:szCs w:val="18"/>
              </w:rPr>
            </w:pPr>
            <w:r>
              <w:rPr>
                <w:rFonts w:ascii="Times New Roman"/>
                <w:sz w:val="18"/>
              </w:rPr>
              <w:t>1,210,193</w:t>
            </w:r>
          </w:p>
          <w:p>
            <w:pPr>
              <w:pStyle w:val="TableParagraph"/>
              <w:spacing w:line="240" w:lineRule="auto" w:before="4"/>
              <w:ind w:left="196" w:right="0"/>
              <w:jc w:val="center"/>
              <w:rPr>
                <w:rFonts w:ascii="Times New Roman" w:hAnsi="Times New Roman" w:cs="Times New Roman" w:eastAsia="Times New Roman" w:hint="default"/>
                <w:sz w:val="18"/>
                <w:szCs w:val="18"/>
              </w:rPr>
            </w:pPr>
            <w:r>
              <w:rPr>
                <w:rFonts w:ascii="Times New Roman"/>
                <w:sz w:val="18"/>
              </w:rPr>
              <w:t>,312.11</w:t>
            </w:r>
          </w:p>
        </w:tc>
      </w:tr>
      <w:tr>
        <w:trPr>
          <w:trHeight w:val="79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6"/>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-8,009,12</w:t>
            </w:r>
          </w:p>
          <w:p>
            <w:pPr>
              <w:pStyle w:val="TableParagraph"/>
              <w:spacing w:line="240" w:lineRule="auto" w:before="4"/>
              <w:ind w:left="446" w:right="0"/>
              <w:jc w:val="left"/>
              <w:rPr>
                <w:rFonts w:ascii="Times New Roman" w:hAnsi="Times New Roman" w:cs="Times New Roman" w:eastAsia="Times New Roman" w:hint="default"/>
                <w:sz w:val="18"/>
                <w:szCs w:val="18"/>
              </w:rPr>
            </w:pPr>
            <w:r>
              <w:rPr>
                <w:rFonts w:ascii="Times New Roman"/>
                <w:sz w:val="18"/>
              </w:rPr>
              <w:t>4.90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1,640,380</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14,763,</w:t>
            </w:r>
          </w:p>
          <w:p>
            <w:pPr>
              <w:pStyle w:val="TableParagraph"/>
              <w:spacing w:line="240" w:lineRule="auto" w:before="4"/>
              <w:ind w:left="148" w:right="0"/>
              <w:jc w:val="left"/>
              <w:rPr>
                <w:rFonts w:ascii="Times New Roman" w:hAnsi="Times New Roman" w:cs="Times New Roman" w:eastAsia="Times New Roman" w:hint="default"/>
                <w:sz w:val="18"/>
                <w:szCs w:val="18"/>
              </w:rPr>
            </w:pPr>
            <w:r>
              <w:rPr>
                <w:rFonts w:ascii="Times New Roman"/>
                <w:sz w:val="18"/>
              </w:rPr>
              <w:t>423.14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8,803,012</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.59</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1" w:right="0"/>
              <w:jc w:val="left"/>
              <w:rPr>
                <w:rFonts w:ascii="Times New Roman" w:hAnsi="Times New Roman" w:cs="Times New Roman" w:eastAsia="Times New Roman" w:hint="default"/>
                <w:sz w:val="18"/>
                <w:szCs w:val="18"/>
              </w:rPr>
            </w:pPr>
            <w:r>
              <w:rPr>
                <w:rFonts w:ascii="Times New Roman"/>
                <w:sz w:val="18"/>
              </w:rPr>
              <w:t>-8,009,12</w:t>
            </w:r>
          </w:p>
          <w:p>
            <w:pPr>
              <w:pStyle w:val="TableParagraph"/>
              <w:spacing w:line="240" w:lineRule="auto" w:before="4"/>
              <w:ind w:left="446" w:right="0"/>
              <w:jc w:val="left"/>
              <w:rPr>
                <w:rFonts w:ascii="Times New Roman" w:hAnsi="Times New Roman" w:cs="Times New Roman" w:eastAsia="Times New Roman" w:hint="default"/>
                <w:sz w:val="18"/>
                <w:szCs w:val="18"/>
              </w:rPr>
            </w:pPr>
            <w:r>
              <w:rPr>
                <w:rFonts w:ascii="Times New Roman"/>
                <w:sz w:val="18"/>
              </w:rPr>
              <w:t>4.90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4"/>
              <w:ind w:left="148" w:right="0"/>
              <w:jc w:val="left"/>
              <w:rPr>
                <w:rFonts w:ascii="Times New Roman" w:hAnsi="Times New Roman" w:cs="Times New Roman" w:eastAsia="Times New Roman" w:hint="default"/>
                <w:sz w:val="18"/>
                <w:szCs w:val="18"/>
              </w:rPr>
            </w:pPr>
            <w:r>
              <w:rPr>
                <w:rFonts w:ascii="Times New Roman"/>
                <w:sz w:val="18"/>
              </w:rPr>
              <w:t>803.49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8,394,678</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.59</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6"/>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right="17"/>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right="17"/>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right="17"/>
              <w:jc w:val="right"/>
              <w:rPr>
                <w:rFonts w:ascii="Times New Roman" w:hAnsi="Times New Roman" w:cs="Times New Roman" w:eastAsia="Times New Roman" w:hint="default"/>
                <w:sz w:val="18"/>
                <w:szCs w:val="18"/>
              </w:rPr>
            </w:pPr>
            <w:r>
              <w:rPr>
                <w:rFonts w:ascii="Times New Roman"/>
                <w:spacing w:val="-1"/>
                <w:sz w:val="18"/>
              </w:rPr>
              <w:t>1,640,380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23"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07" w:lineRule="exact"/>
              <w:ind w:left="220" w:right="0"/>
              <w:jc w:val="center"/>
              <w:rPr>
                <w:rFonts w:ascii="Times New Roman" w:hAnsi="Times New Roman" w:cs="Times New Roman" w:eastAsia="Times New Roman" w:hint="default"/>
                <w:sz w:val="18"/>
                <w:szCs w:val="18"/>
              </w:rPr>
            </w:pPr>
            <w:r>
              <w:rPr>
                <w:rFonts w:ascii="Times New Roman"/>
                <w:sz w:val="18"/>
              </w:rPr>
              <w:t>80.35</w:t>
            </w: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right="17"/>
              <w:jc w:val="right"/>
              <w:rPr>
                <w:rFonts w:ascii="Times New Roman" w:hAnsi="Times New Roman" w:cs="Times New Roman" w:eastAsia="Times New Roman" w:hint="default"/>
                <w:sz w:val="18"/>
                <w:szCs w:val="18"/>
              </w:rPr>
            </w:pPr>
            <w:r>
              <w:rPr>
                <w:rFonts w:ascii="Times New Roman"/>
                <w:spacing w:val="-1"/>
                <w:sz w:val="18"/>
              </w:rPr>
              <w:t>1,640,380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3"/>
              <w:ind w:left="23" w:right="0"/>
              <w:jc w:val="center"/>
              <w:rPr>
                <w:rFonts w:ascii="Times New Roman" w:hAnsi="Times New Roman" w:cs="Times New Roman" w:eastAsia="Times New Roman" w:hint="default"/>
                <w:sz w:val="18"/>
                <w:szCs w:val="18"/>
              </w:rPr>
            </w:pPr>
            <w:r>
              <w:rPr>
                <w:rFonts w:ascii="Times New Roman"/>
                <w:sz w:val="18"/>
              </w:rPr>
              <w:t>-1,640,3</w:t>
            </w:r>
          </w:p>
          <w:p>
            <w:pPr>
              <w:pStyle w:val="TableParagraph"/>
              <w:spacing w:line="207" w:lineRule="exact"/>
              <w:ind w:left="220" w:right="0"/>
              <w:jc w:val="center"/>
              <w:rPr>
                <w:rFonts w:ascii="Times New Roman" w:hAnsi="Times New Roman" w:cs="Times New Roman" w:eastAsia="Times New Roman" w:hint="default"/>
                <w:sz w:val="18"/>
                <w:szCs w:val="18"/>
              </w:rPr>
            </w:pPr>
            <w:r>
              <w:rPr>
                <w:rFonts w:ascii="Times New Roman"/>
                <w:sz w:val="18"/>
              </w:rPr>
              <w:t>80.35</w:t>
            </w: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3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4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706,640,</w:t>
            </w:r>
          </w:p>
          <w:p>
            <w:pPr>
              <w:pStyle w:val="TableParagraph"/>
              <w:spacing w:line="240" w:lineRule="auto" w:before="4"/>
              <w:ind w:left="143" w:right="0"/>
              <w:jc w:val="center"/>
              <w:rPr>
                <w:rFonts w:ascii="Times New Roman" w:hAnsi="Times New Roman" w:cs="Times New Roman" w:eastAsia="Times New Roman" w:hint="default"/>
                <w:sz w:val="18"/>
                <w:szCs w:val="18"/>
              </w:rPr>
            </w:pPr>
            <w:r>
              <w:rPr>
                <w:rFonts w:ascii="Times New Roman"/>
                <w:sz w:val="18"/>
              </w:rPr>
              <w:t>535.00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 w:right="0"/>
              <w:jc w:val="left"/>
              <w:rPr>
                <w:rFonts w:ascii="Times New Roman" w:hAnsi="Times New Roman" w:cs="Times New Roman" w:eastAsia="Times New Roman" w:hint="default"/>
                <w:sz w:val="18"/>
                <w:szCs w:val="18"/>
              </w:rPr>
            </w:pPr>
            <w:r>
              <w:rPr>
                <w:rFonts w:ascii="Times New Roman"/>
                <w:sz w:val="18"/>
              </w:rPr>
              <w:t>375,979,7</w:t>
            </w:r>
          </w:p>
          <w:p>
            <w:pPr>
              <w:pStyle w:val="TableParagraph"/>
              <w:spacing w:line="240" w:lineRule="auto" w:before="4"/>
              <w:ind w:left="360" w:right="0"/>
              <w:jc w:val="left"/>
              <w:rPr>
                <w:rFonts w:ascii="Times New Roman" w:hAnsi="Times New Roman" w:cs="Times New Roman" w:eastAsia="Times New Roman" w:hint="default"/>
                <w:sz w:val="18"/>
                <w:szCs w:val="18"/>
              </w:rPr>
            </w:pPr>
            <w:r>
              <w:rPr>
                <w:rFonts w:ascii="Times New Roman"/>
                <w:sz w:val="18"/>
              </w:rPr>
              <w:t>51.21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0"/>
              <w:jc w:val="left"/>
              <w:rPr>
                <w:rFonts w:ascii="Times New Roman" w:hAnsi="Times New Roman" w:cs="Times New Roman" w:eastAsia="Times New Roman" w:hint="default"/>
                <w:sz w:val="18"/>
                <w:szCs w:val="18"/>
              </w:rPr>
            </w:pPr>
            <w:r>
              <w:rPr>
                <w:rFonts w:ascii="Times New Roman"/>
                <w:sz w:val="18"/>
              </w:rPr>
              <w:t>-12,588,3</w:t>
            </w:r>
          </w:p>
          <w:p>
            <w:pPr>
              <w:pStyle w:val="TableParagraph"/>
              <w:spacing w:line="240" w:lineRule="auto" w:before="4"/>
              <w:ind w:left="359" w:right="0"/>
              <w:jc w:val="left"/>
              <w:rPr>
                <w:rFonts w:ascii="Times New Roman" w:hAnsi="Times New Roman" w:cs="Times New Roman" w:eastAsia="Times New Roman" w:hint="default"/>
                <w:sz w:val="18"/>
                <w:szCs w:val="18"/>
              </w:rPr>
            </w:pPr>
            <w:r>
              <w:rPr>
                <w:rFonts w:ascii="Times New Roman"/>
                <w:sz w:val="18"/>
              </w:rPr>
              <w:t>36.41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 w:right="0"/>
              <w:jc w:val="left"/>
              <w:rPr>
                <w:rFonts w:ascii="Times New Roman" w:hAnsi="Times New Roman" w:cs="Times New Roman" w:eastAsia="Times New Roman" w:hint="default"/>
                <w:sz w:val="18"/>
                <w:szCs w:val="18"/>
              </w:rPr>
            </w:pPr>
            <w:r>
              <w:rPr>
                <w:rFonts w:ascii="Times New Roman"/>
                <w:sz w:val="18"/>
              </w:rPr>
              <w:t>25,734,68</w:t>
            </w:r>
          </w:p>
          <w:p>
            <w:pPr>
              <w:pStyle w:val="TableParagraph"/>
              <w:spacing w:line="240" w:lineRule="auto" w:before="4"/>
              <w:ind w:left="446" w:right="0"/>
              <w:jc w:val="left"/>
              <w:rPr>
                <w:rFonts w:ascii="Times New Roman" w:hAnsi="Times New Roman" w:cs="Times New Roman" w:eastAsia="Times New Roman" w:hint="default"/>
                <w:sz w:val="18"/>
                <w:szCs w:val="18"/>
              </w:rPr>
            </w:pPr>
            <w:r>
              <w:rPr>
                <w:rFonts w:ascii="Times New Roman"/>
                <w:sz w:val="18"/>
              </w:rPr>
              <w:t>7.73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7" w:right="0"/>
              <w:jc w:val="left"/>
              <w:rPr>
                <w:rFonts w:ascii="Times New Roman" w:hAnsi="Times New Roman" w:cs="Times New Roman" w:eastAsia="Times New Roman" w:hint="default"/>
                <w:sz w:val="18"/>
                <w:szCs w:val="18"/>
              </w:rPr>
            </w:pPr>
            <w:r>
              <w:rPr>
                <w:rFonts w:ascii="Times New Roman"/>
                <w:sz w:val="18"/>
              </w:rPr>
              <w:t>123,229</w:t>
            </w:r>
          </w:p>
          <w:p>
            <w:pPr>
              <w:pStyle w:val="TableParagraph"/>
              <w:spacing w:line="240" w:lineRule="auto" w:before="4"/>
              <w:ind w:left="105" w:right="0"/>
              <w:jc w:val="left"/>
              <w:rPr>
                <w:rFonts w:ascii="Times New Roman" w:hAnsi="Times New Roman" w:cs="Times New Roman" w:eastAsia="Times New Roman" w:hint="default"/>
                <w:sz w:val="18"/>
                <w:szCs w:val="18"/>
              </w:rPr>
            </w:pPr>
            <w:r>
              <w:rPr>
                <w:rFonts w:ascii="Times New Roman"/>
                <w:sz w:val="18"/>
              </w:rPr>
              <w:t>,687.17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 w:right="0"/>
              <w:jc w:val="center"/>
              <w:rPr>
                <w:rFonts w:ascii="Times New Roman" w:hAnsi="Times New Roman" w:cs="Times New Roman" w:eastAsia="Times New Roman" w:hint="default"/>
                <w:sz w:val="18"/>
                <w:szCs w:val="18"/>
              </w:rPr>
            </w:pPr>
            <w:r>
              <w:rPr>
                <w:rFonts w:ascii="Times New Roman"/>
                <w:sz w:val="18"/>
              </w:rPr>
              <w:t>1,218,996</w:t>
            </w:r>
          </w:p>
          <w:p>
            <w:pPr>
              <w:pStyle w:val="TableParagraph"/>
              <w:spacing w:line="240" w:lineRule="auto" w:before="4"/>
              <w:ind w:left="191" w:right="0"/>
              <w:jc w:val="center"/>
              <w:rPr>
                <w:rFonts w:ascii="Times New Roman" w:hAnsi="Times New Roman" w:cs="Times New Roman" w:eastAsia="Times New Roman" w:hint="default"/>
                <w:sz w:val="18"/>
                <w:szCs w:val="18"/>
              </w:rPr>
            </w:pPr>
            <w:r>
              <w:rPr>
                <w:rFonts w:ascii="Times New Roman"/>
                <w:sz w:val="18"/>
              </w:rPr>
              <w:t>,324.70</w:t>
            </w:r>
          </w:p>
        </w:tc>
      </w:tr>
    </w:tbl>
    <w:p>
      <w:pPr>
        <w:pStyle w:val="BodyText"/>
        <w:spacing w:line="240" w:lineRule="auto" w:before="10"/>
        <w:ind w:right="1055"/>
        <w:jc w:val="left"/>
      </w:pPr>
      <w:r>
        <w:rPr/>
        <w:t>上期金额</w:t>
      </w:r>
    </w:p>
    <w:p>
      <w:pPr>
        <w:pStyle w:val="BodyText"/>
        <w:spacing w:line="240" w:lineRule="auto" w:before="33"/>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2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1441"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32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6" w:right="0"/>
              <w:jc w:val="center"/>
              <w:rPr>
                <w:rFonts w:ascii="Times New Roman" w:hAnsi="Times New Roman" w:cs="Times New Roman" w:eastAsia="Times New Roman" w:hint="default"/>
                <w:sz w:val="18"/>
                <w:szCs w:val="18"/>
              </w:rPr>
            </w:pPr>
            <w:r>
              <w:rPr>
                <w:rFonts w:ascii="Times New Roman"/>
                <w:sz w:val="18"/>
              </w:rPr>
              <w:t>684,013,</w:t>
            </w:r>
          </w:p>
          <w:p>
            <w:pPr>
              <w:pStyle w:val="TableParagraph"/>
              <w:spacing w:line="207" w:lineRule="exact"/>
              <w:ind w:left="144" w:right="0"/>
              <w:jc w:val="center"/>
              <w:rPr>
                <w:rFonts w:ascii="Times New Roman" w:hAnsi="Times New Roman" w:cs="Times New Roman" w:eastAsia="Times New Roman" w:hint="default"/>
                <w:sz w:val="18"/>
                <w:szCs w:val="18"/>
              </w:rPr>
            </w:pPr>
            <w:r>
              <w:rPr>
                <w:rFonts w:ascii="Times New Roman"/>
                <w:sz w:val="18"/>
              </w:rPr>
              <w:t>769.00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43" w:right="0"/>
              <w:jc w:val="left"/>
              <w:rPr>
                <w:rFonts w:ascii="Times New Roman" w:hAnsi="Times New Roman" w:cs="Times New Roman" w:eastAsia="Times New Roman" w:hint="default"/>
                <w:sz w:val="18"/>
                <w:szCs w:val="18"/>
              </w:rPr>
            </w:pPr>
            <w:r>
              <w:rPr>
                <w:rFonts w:ascii="Times New Roman"/>
                <w:sz w:val="18"/>
              </w:rPr>
              <w:t>50,886,10</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5.90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right="19"/>
              <w:jc w:val="right"/>
              <w:rPr>
                <w:rFonts w:ascii="Times New Roman" w:hAnsi="Times New Roman" w:cs="Times New Roman" w:eastAsia="Times New Roman" w:hint="default"/>
                <w:sz w:val="18"/>
                <w:szCs w:val="18"/>
              </w:rPr>
            </w:pPr>
            <w:r>
              <w:rPr>
                <w:rFonts w:ascii="Times New Roman"/>
                <w:spacing w:val="-1"/>
                <w:sz w:val="18"/>
              </w:rPr>
              <w:t>-552,176.</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43" w:right="0"/>
              <w:jc w:val="left"/>
              <w:rPr>
                <w:rFonts w:ascii="Times New Roman" w:hAnsi="Times New Roman" w:cs="Times New Roman" w:eastAsia="Times New Roman" w:hint="default"/>
                <w:sz w:val="18"/>
                <w:szCs w:val="18"/>
              </w:rPr>
            </w:pPr>
            <w:r>
              <w:rPr>
                <w:rFonts w:ascii="Times New Roman"/>
                <w:sz w:val="18"/>
              </w:rPr>
              <w:t>23,292,01</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7.26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7" w:right="0"/>
              <w:jc w:val="center"/>
              <w:rPr>
                <w:rFonts w:ascii="Times New Roman" w:hAnsi="Times New Roman" w:cs="Times New Roman" w:eastAsia="Times New Roman" w:hint="default"/>
                <w:sz w:val="18"/>
                <w:szCs w:val="18"/>
              </w:rPr>
            </w:pPr>
            <w:r>
              <w:rPr>
                <w:rFonts w:ascii="Times New Roman"/>
                <w:spacing w:val="-3"/>
                <w:sz w:val="18"/>
              </w:rPr>
              <w:t>111,505,</w:t>
            </w:r>
          </w:p>
          <w:p>
            <w:pPr>
              <w:pStyle w:val="TableParagraph"/>
              <w:spacing w:line="207" w:lineRule="exact"/>
              <w:ind w:left="129" w:right="0"/>
              <w:jc w:val="center"/>
              <w:rPr>
                <w:rFonts w:ascii="Times New Roman" w:hAnsi="Times New Roman" w:cs="Times New Roman" w:eastAsia="Times New Roman" w:hint="default"/>
                <w:sz w:val="18"/>
                <w:szCs w:val="18"/>
              </w:rPr>
            </w:pPr>
            <w:r>
              <w:rPr>
                <w:rFonts w:ascii="Times New Roman"/>
                <w:sz w:val="18"/>
              </w:rPr>
              <w:t>855.40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8"/>
              <w:ind w:left="28" w:right="0"/>
              <w:jc w:val="left"/>
              <w:rPr>
                <w:rFonts w:ascii="Times New Roman" w:hAnsi="Times New Roman" w:cs="Times New Roman" w:eastAsia="Times New Roman" w:hint="default"/>
                <w:sz w:val="18"/>
                <w:szCs w:val="18"/>
              </w:rPr>
            </w:pPr>
            <w:r>
              <w:rPr>
                <w:rFonts w:ascii="Times New Roman"/>
                <w:sz w:val="18"/>
              </w:rPr>
              <w:t>869,145,5</w:t>
            </w:r>
          </w:p>
          <w:p>
            <w:pPr>
              <w:pStyle w:val="TableParagraph"/>
              <w:spacing w:line="207" w:lineRule="exact"/>
              <w:ind w:left="346" w:right="0"/>
              <w:jc w:val="left"/>
              <w:rPr>
                <w:rFonts w:ascii="Times New Roman" w:hAnsi="Times New Roman" w:cs="Times New Roman" w:eastAsia="Times New Roman" w:hint="default"/>
                <w:sz w:val="18"/>
                <w:szCs w:val="18"/>
              </w:rPr>
            </w:pPr>
            <w:r>
              <w:rPr>
                <w:rFonts w:ascii="Times New Roman"/>
                <w:sz w:val="18"/>
              </w:rPr>
              <w:t>71.16</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6" w:right="0"/>
              <w:jc w:val="center"/>
              <w:rPr>
                <w:rFonts w:ascii="Times New Roman" w:hAnsi="Times New Roman" w:cs="Times New Roman" w:eastAsia="Times New Roman" w:hint="default"/>
                <w:sz w:val="18"/>
                <w:szCs w:val="18"/>
              </w:rPr>
            </w:pPr>
            <w:r>
              <w:rPr>
                <w:rFonts w:ascii="Times New Roman"/>
                <w:sz w:val="18"/>
              </w:rPr>
              <w:t>684,013,</w:t>
            </w:r>
          </w:p>
          <w:p>
            <w:pPr>
              <w:pStyle w:val="TableParagraph"/>
              <w:spacing w:line="207" w:lineRule="exact"/>
              <w:ind w:left="143" w:right="0"/>
              <w:jc w:val="center"/>
              <w:rPr>
                <w:rFonts w:ascii="Times New Roman" w:hAnsi="Times New Roman" w:cs="Times New Roman" w:eastAsia="Times New Roman" w:hint="default"/>
                <w:sz w:val="18"/>
                <w:szCs w:val="18"/>
              </w:rPr>
            </w:pPr>
            <w:r>
              <w:rPr>
                <w:rFonts w:ascii="Times New Roman"/>
                <w:sz w:val="18"/>
              </w:rPr>
              <w:t>769.00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50,886,10</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5.90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-552,176.</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23,292,01</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7.26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 w:right="0"/>
              <w:jc w:val="center"/>
              <w:rPr>
                <w:rFonts w:ascii="Times New Roman" w:hAnsi="Times New Roman" w:cs="Times New Roman" w:eastAsia="Times New Roman" w:hint="default"/>
                <w:sz w:val="18"/>
                <w:szCs w:val="18"/>
              </w:rPr>
            </w:pPr>
            <w:r>
              <w:rPr>
                <w:rFonts w:ascii="Times New Roman"/>
                <w:spacing w:val="-3"/>
                <w:sz w:val="18"/>
              </w:rPr>
              <w:t>111,505,</w:t>
            </w:r>
          </w:p>
          <w:p>
            <w:pPr>
              <w:pStyle w:val="TableParagraph"/>
              <w:spacing w:line="207" w:lineRule="exact"/>
              <w:ind w:left="129" w:right="0"/>
              <w:jc w:val="center"/>
              <w:rPr>
                <w:rFonts w:ascii="Times New Roman" w:hAnsi="Times New Roman" w:cs="Times New Roman" w:eastAsia="Times New Roman" w:hint="default"/>
                <w:sz w:val="18"/>
                <w:szCs w:val="18"/>
              </w:rPr>
            </w:pPr>
            <w:r>
              <w:rPr>
                <w:rFonts w:ascii="Times New Roman"/>
                <w:sz w:val="18"/>
              </w:rPr>
              <w:t>855.40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8" w:right="0"/>
              <w:jc w:val="left"/>
              <w:rPr>
                <w:rFonts w:ascii="Times New Roman" w:hAnsi="Times New Roman" w:cs="Times New Roman" w:eastAsia="Times New Roman" w:hint="default"/>
                <w:sz w:val="18"/>
                <w:szCs w:val="18"/>
              </w:rPr>
            </w:pPr>
            <w:r>
              <w:rPr>
                <w:rFonts w:ascii="Times New Roman"/>
                <w:sz w:val="18"/>
              </w:rPr>
              <w:t>869,145,5</w:t>
            </w:r>
          </w:p>
          <w:p>
            <w:pPr>
              <w:pStyle w:val="TableParagraph"/>
              <w:spacing w:line="207" w:lineRule="exact"/>
              <w:ind w:left="346" w:right="0"/>
              <w:jc w:val="left"/>
              <w:rPr>
                <w:rFonts w:ascii="Times New Roman" w:hAnsi="Times New Roman" w:cs="Times New Roman" w:eastAsia="Times New Roman" w:hint="default"/>
                <w:sz w:val="18"/>
                <w:szCs w:val="18"/>
              </w:rPr>
            </w:pPr>
            <w:r>
              <w:rPr>
                <w:rFonts w:ascii="Times New Roman"/>
                <w:sz w:val="18"/>
              </w:rPr>
              <w:t>71.16</w:t>
            </w:r>
          </w:p>
        </w:tc>
      </w:tr>
      <w:tr>
        <w:trPr>
          <w:trHeight w:val="79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22,626,7</w:t>
            </w:r>
          </w:p>
          <w:p>
            <w:pPr>
              <w:pStyle w:val="TableParagraph"/>
              <w:spacing w:line="207" w:lineRule="exact"/>
              <w:ind w:left="254" w:right="0"/>
              <w:jc w:val="left"/>
              <w:rPr>
                <w:rFonts w:ascii="Times New Roman" w:hAnsi="Times New Roman" w:cs="Times New Roman" w:eastAsia="Times New Roman" w:hint="default"/>
                <w:sz w:val="18"/>
                <w:szCs w:val="18"/>
              </w:rPr>
            </w:pPr>
            <w:r>
              <w:rPr>
                <w:rFonts w:ascii="Times New Roman"/>
                <w:sz w:val="18"/>
              </w:rPr>
              <w:t>66.00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324,685,3</w:t>
            </w:r>
          </w:p>
          <w:p>
            <w:pPr>
              <w:pStyle w:val="TableParagraph"/>
              <w:spacing w:line="207" w:lineRule="exact"/>
              <w:ind w:left="365" w:right="0"/>
              <w:jc w:val="left"/>
              <w:rPr>
                <w:rFonts w:ascii="Times New Roman" w:hAnsi="Times New Roman" w:cs="Times New Roman" w:eastAsia="Times New Roman" w:hint="default"/>
                <w:sz w:val="18"/>
                <w:szCs w:val="18"/>
              </w:rPr>
            </w:pPr>
            <w:r>
              <w:rPr>
                <w:rFonts w:ascii="Times New Roman"/>
                <w:sz w:val="18"/>
              </w:rPr>
              <w:t>11.31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07" w:lineRule="exact"/>
              <w:ind w:left="455" w:right="0"/>
              <w:jc w:val="left"/>
              <w:rPr>
                <w:rFonts w:ascii="Times New Roman" w:hAnsi="Times New Roman" w:cs="Times New Roman" w:eastAsia="Times New Roman" w:hint="default"/>
                <w:sz w:val="18"/>
                <w:szCs w:val="18"/>
              </w:rPr>
            </w:pPr>
            <w:r>
              <w:rPr>
                <w:rFonts w:ascii="Times New Roman"/>
                <w:sz w:val="18"/>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802,290.1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23" w:right="0"/>
              <w:jc w:val="center"/>
              <w:rPr>
                <w:rFonts w:ascii="Times New Roman" w:hAnsi="Times New Roman" w:cs="Times New Roman" w:eastAsia="Times New Roman" w:hint="default"/>
                <w:sz w:val="18"/>
                <w:szCs w:val="18"/>
              </w:rPr>
            </w:pPr>
            <w:r>
              <w:rPr>
                <w:rFonts w:ascii="Times New Roman"/>
                <w:sz w:val="18"/>
              </w:rPr>
              <w:t>-3,039,5</w:t>
            </w:r>
          </w:p>
          <w:p>
            <w:pPr>
              <w:pStyle w:val="TableParagraph"/>
              <w:spacing w:line="207" w:lineRule="exact"/>
              <w:ind w:left="220" w:right="0"/>
              <w:jc w:val="center"/>
              <w:rPr>
                <w:rFonts w:ascii="Times New Roman" w:hAnsi="Times New Roman" w:cs="Times New Roman" w:eastAsia="Times New Roman" w:hint="default"/>
                <w:sz w:val="18"/>
                <w:szCs w:val="18"/>
              </w:rPr>
            </w:pPr>
            <w:r>
              <w:rPr>
                <w:rFonts w:ascii="Times New Roman"/>
                <w:sz w:val="18"/>
              </w:rPr>
              <w:t>91.37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341,047,7</w:t>
            </w:r>
          </w:p>
          <w:p>
            <w:pPr>
              <w:pStyle w:val="TableParagraph"/>
              <w:spacing w:line="207" w:lineRule="exact"/>
              <w:ind w:left="346" w:right="0"/>
              <w:jc w:val="left"/>
              <w:rPr>
                <w:rFonts w:ascii="Times New Roman" w:hAnsi="Times New Roman" w:cs="Times New Roman" w:eastAsia="Times New Roman" w:hint="default"/>
                <w:sz w:val="18"/>
                <w:szCs w:val="18"/>
              </w:rPr>
            </w:pPr>
            <w:r>
              <w:rPr>
                <w:rFonts w:ascii="Times New Roman"/>
                <w:sz w:val="18"/>
              </w:rPr>
              <w:t>40.95</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sz w:val="18"/>
              </w:rPr>
              <w:t>-4,027,03</w:t>
            </w:r>
          </w:p>
          <w:p>
            <w:pPr>
              <w:pStyle w:val="TableParagraph"/>
              <w:spacing w:line="240" w:lineRule="auto" w:before="4"/>
              <w:ind w:left="455" w:right="0"/>
              <w:jc w:val="left"/>
              <w:rPr>
                <w:rFonts w:ascii="Times New Roman" w:hAnsi="Times New Roman" w:cs="Times New Roman" w:eastAsia="Times New Roman" w:hint="default"/>
                <w:sz w:val="18"/>
                <w:szCs w:val="18"/>
              </w:rPr>
            </w:pPr>
            <w:r>
              <w:rPr>
                <w:rFonts w:ascii="Times New Roman"/>
                <w:sz w:val="18"/>
              </w:rPr>
              <w:t>5.11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6" w:right="0"/>
              <w:jc w:val="center"/>
              <w:rPr>
                <w:rFonts w:ascii="Times New Roman" w:hAnsi="Times New Roman" w:cs="Times New Roman" w:eastAsia="Times New Roman" w:hint="default"/>
                <w:sz w:val="18"/>
                <w:szCs w:val="18"/>
              </w:rPr>
            </w:pPr>
            <w:r>
              <w:rPr>
                <w:rFonts w:ascii="Times New Roman"/>
                <w:sz w:val="18"/>
              </w:rPr>
              <w:t>8,022,9</w:t>
            </w:r>
          </w:p>
          <w:p>
            <w:pPr>
              <w:pStyle w:val="TableParagraph"/>
              <w:spacing w:line="240" w:lineRule="auto" w:before="4"/>
              <w:ind w:left="220" w:right="0"/>
              <w:jc w:val="center"/>
              <w:rPr>
                <w:rFonts w:ascii="Times New Roman" w:hAnsi="Times New Roman" w:cs="Times New Roman" w:eastAsia="Times New Roman" w:hint="default"/>
                <w:sz w:val="18"/>
                <w:szCs w:val="18"/>
              </w:rPr>
            </w:pPr>
            <w:r>
              <w:rPr>
                <w:rFonts w:ascii="Times New Roman"/>
                <w:sz w:val="18"/>
              </w:rPr>
              <w:t>01.23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pacing w:val="-1"/>
                <w:sz w:val="18"/>
              </w:rPr>
              <w:t>3,995,866</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.12</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22,626,7</w:t>
            </w:r>
          </w:p>
          <w:p>
            <w:pPr>
              <w:pStyle w:val="TableParagraph"/>
              <w:spacing w:line="240" w:lineRule="auto" w:before="4"/>
              <w:ind w:left="254" w:right="0"/>
              <w:jc w:val="left"/>
              <w:rPr>
                <w:rFonts w:ascii="Times New Roman" w:hAnsi="Times New Roman" w:cs="Times New Roman" w:eastAsia="Times New Roman" w:hint="default"/>
                <w:sz w:val="18"/>
                <w:szCs w:val="18"/>
              </w:rPr>
            </w:pPr>
            <w:r>
              <w:rPr>
                <w:rFonts w:ascii="Times New Roman"/>
                <w:sz w:val="18"/>
              </w:rPr>
              <w:t>66.00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 w:right="0"/>
              <w:jc w:val="left"/>
              <w:rPr>
                <w:rFonts w:ascii="Times New Roman" w:hAnsi="Times New Roman" w:cs="Times New Roman" w:eastAsia="Times New Roman" w:hint="default"/>
                <w:sz w:val="18"/>
                <w:szCs w:val="18"/>
              </w:rPr>
            </w:pPr>
            <w:r>
              <w:rPr>
                <w:rFonts w:ascii="Times New Roman"/>
                <w:sz w:val="18"/>
              </w:rPr>
              <w:t>324,685,3</w:t>
            </w:r>
          </w:p>
          <w:p>
            <w:pPr>
              <w:pStyle w:val="TableParagraph"/>
              <w:spacing w:line="240" w:lineRule="auto" w:before="4"/>
              <w:ind w:left="365" w:right="0"/>
              <w:jc w:val="left"/>
              <w:rPr>
                <w:rFonts w:ascii="Times New Roman" w:hAnsi="Times New Roman" w:cs="Times New Roman" w:eastAsia="Times New Roman" w:hint="default"/>
                <w:sz w:val="18"/>
                <w:szCs w:val="18"/>
              </w:rPr>
            </w:pPr>
            <w:r>
              <w:rPr>
                <w:rFonts w:ascii="Times New Roman"/>
                <w:sz w:val="18"/>
              </w:rPr>
              <w:t>11.31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347,312,0</w:t>
            </w:r>
          </w:p>
          <w:p>
            <w:pPr>
              <w:pStyle w:val="TableParagraph"/>
              <w:spacing w:line="240" w:lineRule="auto" w:before="4"/>
              <w:ind w:left="346" w:right="0"/>
              <w:jc w:val="left"/>
              <w:rPr>
                <w:rFonts w:ascii="Times New Roman" w:hAnsi="Times New Roman" w:cs="Times New Roman" w:eastAsia="Times New Roman" w:hint="default"/>
                <w:sz w:val="18"/>
                <w:szCs w:val="18"/>
              </w:rPr>
            </w:pPr>
            <w:r>
              <w:rPr>
                <w:rFonts w:ascii="Times New Roman"/>
                <w:sz w:val="18"/>
              </w:rPr>
              <w:t>77.31</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22,626,7</w:t>
            </w:r>
          </w:p>
          <w:p>
            <w:pPr>
              <w:pStyle w:val="TableParagraph"/>
              <w:spacing w:line="240" w:lineRule="auto" w:before="4"/>
              <w:ind w:left="254" w:right="0"/>
              <w:jc w:val="left"/>
              <w:rPr>
                <w:rFonts w:ascii="Times New Roman" w:hAnsi="Times New Roman" w:cs="Times New Roman" w:eastAsia="Times New Roman" w:hint="default"/>
                <w:sz w:val="18"/>
                <w:szCs w:val="18"/>
              </w:rPr>
            </w:pPr>
            <w:r>
              <w:rPr>
                <w:rFonts w:ascii="Times New Roman"/>
                <w:sz w:val="18"/>
              </w:rPr>
              <w:t>66.00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 w:right="0"/>
              <w:jc w:val="left"/>
              <w:rPr>
                <w:rFonts w:ascii="Times New Roman" w:hAnsi="Times New Roman" w:cs="Times New Roman" w:eastAsia="Times New Roman" w:hint="default"/>
                <w:sz w:val="18"/>
                <w:szCs w:val="18"/>
              </w:rPr>
            </w:pPr>
            <w:r>
              <w:rPr>
                <w:rFonts w:ascii="Times New Roman"/>
                <w:sz w:val="18"/>
              </w:rPr>
              <w:t>323,165,8</w:t>
            </w:r>
          </w:p>
          <w:p>
            <w:pPr>
              <w:pStyle w:val="TableParagraph"/>
              <w:spacing w:line="240" w:lineRule="auto" w:before="4"/>
              <w:ind w:left="360" w:right="0"/>
              <w:jc w:val="left"/>
              <w:rPr>
                <w:rFonts w:ascii="Times New Roman" w:hAnsi="Times New Roman" w:cs="Times New Roman" w:eastAsia="Times New Roman" w:hint="default"/>
                <w:sz w:val="18"/>
                <w:szCs w:val="18"/>
              </w:rPr>
            </w:pPr>
            <w:r>
              <w:rPr>
                <w:rFonts w:ascii="Times New Roman"/>
                <w:sz w:val="18"/>
              </w:rPr>
              <w:t>54.47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345,792,6</w:t>
            </w:r>
          </w:p>
          <w:p>
            <w:pPr>
              <w:pStyle w:val="TableParagraph"/>
              <w:spacing w:line="240" w:lineRule="auto" w:before="4"/>
              <w:ind w:left="346" w:right="0"/>
              <w:jc w:val="left"/>
              <w:rPr>
                <w:rFonts w:ascii="Times New Roman" w:hAnsi="Times New Roman" w:cs="Times New Roman" w:eastAsia="Times New Roman" w:hint="default"/>
                <w:sz w:val="18"/>
                <w:szCs w:val="18"/>
              </w:rPr>
            </w:pPr>
            <w:r>
              <w:rPr>
                <w:rFonts w:ascii="Times New Roman"/>
                <w:sz w:val="18"/>
              </w:rPr>
              <w:t>20.47</w:t>
            </w: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1,519,456</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1,519,456</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.84</w:t>
            </w: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802,290.1</w:t>
            </w:r>
          </w:p>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center"/>
              <w:rPr>
                <w:rFonts w:ascii="Times New Roman" w:hAnsi="Times New Roman" w:cs="Times New Roman" w:eastAsia="Times New Roman" w:hint="default"/>
                <w:sz w:val="18"/>
                <w:szCs w:val="18"/>
              </w:rPr>
            </w:pPr>
            <w:r>
              <w:rPr>
                <w:rFonts w:ascii="Times New Roman"/>
                <w:sz w:val="18"/>
              </w:rPr>
              <w:t>-11,062,</w:t>
            </w:r>
          </w:p>
          <w:p>
            <w:pPr>
              <w:pStyle w:val="TableParagraph"/>
              <w:spacing w:line="240" w:lineRule="auto" w:before="4"/>
              <w:ind w:left="129" w:right="0"/>
              <w:jc w:val="center"/>
              <w:rPr>
                <w:rFonts w:ascii="Times New Roman" w:hAnsi="Times New Roman" w:cs="Times New Roman" w:eastAsia="Times New Roman" w:hint="default"/>
                <w:sz w:val="18"/>
                <w:szCs w:val="18"/>
              </w:rPr>
            </w:pPr>
            <w:r>
              <w:rPr>
                <w:rFonts w:ascii="Times New Roman"/>
                <w:sz w:val="18"/>
              </w:rPr>
              <w:t>492.60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7" w:right="0"/>
              <w:jc w:val="left"/>
              <w:rPr>
                <w:rFonts w:ascii="Times New Roman" w:hAnsi="Times New Roman" w:cs="Times New Roman" w:eastAsia="Times New Roman" w:hint="default"/>
                <w:sz w:val="18"/>
                <w:szCs w:val="18"/>
              </w:rPr>
            </w:pPr>
            <w:r>
              <w:rPr>
                <w:rFonts w:ascii="Times New Roman"/>
                <w:sz w:val="18"/>
              </w:rPr>
              <w:t>-10,260,2</w:t>
            </w:r>
          </w:p>
          <w:p>
            <w:pPr>
              <w:pStyle w:val="TableParagraph"/>
              <w:spacing w:line="240" w:lineRule="auto" w:before="4"/>
              <w:ind w:left="346" w:right="0"/>
              <w:jc w:val="left"/>
              <w:rPr>
                <w:rFonts w:ascii="Times New Roman" w:hAnsi="Times New Roman" w:cs="Times New Roman" w:eastAsia="Times New Roman" w:hint="default"/>
                <w:sz w:val="18"/>
                <w:szCs w:val="18"/>
              </w:rPr>
            </w:pPr>
            <w:r>
              <w:rPr>
                <w:rFonts w:ascii="Times New Roman"/>
                <w:sz w:val="18"/>
              </w:rPr>
              <w:t>02.48</w:t>
            </w:r>
          </w:p>
        </w:tc>
      </w:tr>
      <w:tr>
        <w:trPr>
          <w:trHeight w:val="50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802,290.1</w:t>
            </w:r>
          </w:p>
          <w:p>
            <w:pPr>
              <w:pStyle w:val="TableParagraph"/>
              <w:spacing w:line="240" w:lineRule="auto" w:before="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6" w:right="0"/>
              <w:jc w:val="left"/>
              <w:rPr>
                <w:rFonts w:ascii="Times New Roman" w:hAnsi="Times New Roman" w:cs="Times New Roman" w:eastAsia="Times New Roman" w:hint="default"/>
                <w:sz w:val="18"/>
                <w:szCs w:val="18"/>
              </w:rPr>
            </w:pPr>
            <w:r>
              <w:rPr>
                <w:rFonts w:ascii="Times New Roman"/>
                <w:sz w:val="18"/>
              </w:rPr>
              <w:t>-802,29</w:t>
            </w:r>
          </w:p>
          <w:p>
            <w:pPr>
              <w:pStyle w:val="TableParagraph"/>
              <w:spacing w:line="240" w:lineRule="auto" w:before="5"/>
              <w:ind w:left="326" w:right="0"/>
              <w:jc w:val="left"/>
              <w:rPr>
                <w:rFonts w:ascii="Times New Roman" w:hAnsi="Times New Roman" w:cs="Times New Roman" w:eastAsia="Times New Roman" w:hint="default"/>
                <w:sz w:val="18"/>
                <w:szCs w:val="18"/>
              </w:rPr>
            </w:pPr>
            <w:r>
              <w:rPr>
                <w:rFonts w:ascii="Times New Roman"/>
                <w:sz w:val="18"/>
              </w:rPr>
              <w:t>0.12</w:t>
            </w: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21" w:right="0"/>
              <w:jc w:val="center"/>
              <w:rPr>
                <w:rFonts w:ascii="Times New Roman" w:hAnsi="Times New Roman" w:cs="Times New Roman" w:eastAsia="Times New Roman" w:hint="default"/>
                <w:sz w:val="18"/>
                <w:szCs w:val="18"/>
              </w:rPr>
            </w:pPr>
            <w:r>
              <w:rPr>
                <w:rFonts w:ascii="Times New Roman"/>
                <w:sz w:val="18"/>
              </w:rPr>
              <w:t>-10,260,</w:t>
            </w:r>
          </w:p>
          <w:p>
            <w:pPr>
              <w:pStyle w:val="TableParagraph"/>
              <w:spacing w:line="207" w:lineRule="exact"/>
              <w:ind w:left="129" w:right="0"/>
              <w:jc w:val="center"/>
              <w:rPr>
                <w:rFonts w:ascii="Times New Roman" w:hAnsi="Times New Roman" w:cs="Times New Roman" w:eastAsia="Times New Roman" w:hint="default"/>
                <w:sz w:val="18"/>
                <w:szCs w:val="18"/>
              </w:rPr>
            </w:pPr>
            <w:r>
              <w:rPr>
                <w:rFonts w:ascii="Times New Roman"/>
                <w:sz w:val="18"/>
              </w:rPr>
              <w:t>202.48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57" w:right="0"/>
              <w:jc w:val="left"/>
              <w:rPr>
                <w:rFonts w:ascii="Times New Roman" w:hAnsi="Times New Roman" w:cs="Times New Roman" w:eastAsia="Times New Roman" w:hint="default"/>
                <w:sz w:val="18"/>
                <w:szCs w:val="18"/>
              </w:rPr>
            </w:pPr>
            <w:r>
              <w:rPr>
                <w:rFonts w:ascii="Times New Roman"/>
                <w:sz w:val="18"/>
              </w:rPr>
              <w:t>-10,260,2</w:t>
            </w:r>
          </w:p>
          <w:p>
            <w:pPr>
              <w:pStyle w:val="TableParagraph"/>
              <w:spacing w:line="207" w:lineRule="exact"/>
              <w:ind w:left="346" w:right="0"/>
              <w:jc w:val="left"/>
              <w:rPr>
                <w:rFonts w:ascii="Times New Roman" w:hAnsi="Times New Roman" w:cs="Times New Roman" w:eastAsia="Times New Roman" w:hint="default"/>
                <w:sz w:val="18"/>
                <w:szCs w:val="18"/>
              </w:rPr>
            </w:pPr>
            <w:r>
              <w:rPr>
                <w:rFonts w:ascii="Times New Roman"/>
                <w:sz w:val="18"/>
              </w:rPr>
              <w:t>02.48</w:t>
            </w:r>
          </w:p>
        </w:tc>
      </w:tr>
      <w:tr>
        <w:trPr>
          <w:trHeight w:val="3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6" w:right="0"/>
              <w:jc w:val="center"/>
              <w:rPr>
                <w:rFonts w:ascii="Times New Roman" w:hAnsi="Times New Roman" w:cs="Times New Roman" w:eastAsia="Times New Roman" w:hint="default"/>
                <w:sz w:val="18"/>
                <w:szCs w:val="18"/>
              </w:rPr>
            </w:pPr>
            <w:r>
              <w:rPr>
                <w:rFonts w:ascii="Times New Roman"/>
                <w:sz w:val="18"/>
              </w:rPr>
              <w:t>706,640,</w:t>
            </w:r>
          </w:p>
          <w:p>
            <w:pPr>
              <w:pStyle w:val="TableParagraph"/>
              <w:spacing w:line="207" w:lineRule="exact"/>
              <w:ind w:left="143" w:right="0"/>
              <w:jc w:val="center"/>
              <w:rPr>
                <w:rFonts w:ascii="Times New Roman" w:hAnsi="Times New Roman" w:cs="Times New Roman" w:eastAsia="Times New Roman" w:hint="default"/>
                <w:sz w:val="18"/>
                <w:szCs w:val="18"/>
              </w:rPr>
            </w:pPr>
            <w:r>
              <w:rPr>
                <w:rFonts w:ascii="Times New Roman"/>
                <w:sz w:val="18"/>
              </w:rPr>
              <w:t>535.00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375,571,4</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17.21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1" w:right="0"/>
              <w:jc w:val="left"/>
              <w:rPr>
                <w:rFonts w:ascii="Times New Roman" w:hAnsi="Times New Roman" w:cs="Times New Roman" w:eastAsia="Times New Roman" w:hint="default"/>
                <w:sz w:val="18"/>
                <w:szCs w:val="18"/>
              </w:rPr>
            </w:pPr>
            <w:r>
              <w:rPr>
                <w:rFonts w:ascii="Times New Roman"/>
                <w:sz w:val="18"/>
              </w:rPr>
              <w:t>-4,579,21</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24,094,30</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7.38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7" w:right="0"/>
              <w:jc w:val="left"/>
              <w:rPr>
                <w:rFonts w:ascii="Times New Roman" w:hAnsi="Times New Roman" w:cs="Times New Roman" w:eastAsia="Times New Roman" w:hint="default"/>
                <w:sz w:val="18"/>
                <w:szCs w:val="18"/>
              </w:rPr>
            </w:pPr>
            <w:r>
              <w:rPr>
                <w:rFonts w:ascii="Times New Roman"/>
                <w:sz w:val="18"/>
              </w:rPr>
              <w:t>108,466</w:t>
            </w:r>
          </w:p>
          <w:p>
            <w:pPr>
              <w:pStyle w:val="TableParagraph"/>
              <w:spacing w:line="207" w:lineRule="exact"/>
              <w:ind w:left="105" w:right="0"/>
              <w:jc w:val="left"/>
              <w:rPr>
                <w:rFonts w:ascii="Times New Roman" w:hAnsi="Times New Roman" w:cs="Times New Roman" w:eastAsia="Times New Roman" w:hint="default"/>
                <w:sz w:val="18"/>
                <w:szCs w:val="18"/>
              </w:rPr>
            </w:pPr>
            <w:r>
              <w:rPr>
                <w:rFonts w:ascii="Times New Roman"/>
                <w:sz w:val="18"/>
              </w:rPr>
              <w:t>,264.03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 w:right="0"/>
              <w:jc w:val="center"/>
              <w:rPr>
                <w:rFonts w:ascii="Times New Roman" w:hAnsi="Times New Roman" w:cs="Times New Roman" w:eastAsia="Times New Roman" w:hint="default"/>
                <w:sz w:val="18"/>
                <w:szCs w:val="18"/>
              </w:rPr>
            </w:pPr>
            <w:r>
              <w:rPr>
                <w:rFonts w:ascii="Times New Roman"/>
                <w:sz w:val="18"/>
              </w:rPr>
              <w:t>1,210,193</w:t>
            </w:r>
          </w:p>
          <w:p>
            <w:pPr>
              <w:pStyle w:val="TableParagraph"/>
              <w:spacing w:line="207" w:lineRule="exact"/>
              <w:ind w:left="196" w:right="0"/>
              <w:jc w:val="center"/>
              <w:rPr>
                <w:rFonts w:ascii="Times New Roman" w:hAnsi="Times New Roman" w:cs="Times New Roman" w:eastAsia="Times New Roman" w:hint="default"/>
                <w:sz w:val="18"/>
                <w:szCs w:val="18"/>
              </w:rPr>
            </w:pPr>
            <w:r>
              <w:rPr>
                <w:rFonts w:ascii="Times New Roman"/>
                <w:sz w:val="18"/>
              </w:rPr>
              <w:t>,312.11</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r>
        <w:rPr/>
        <w:t>三、公司基本情况</w:t>
      </w:r>
      <w:r>
        <w:rPr>
          <w:b w:val="0"/>
          <w:bCs w:val="0"/>
        </w:rPr>
      </w:r>
    </w:p>
    <w:p>
      <w:pPr>
        <w:spacing w:line="240" w:lineRule="auto" w:before="7"/>
        <w:rPr>
          <w:rFonts w:ascii="宋体" w:hAnsi="宋体" w:cs="宋体" w:eastAsia="宋体" w:hint="default"/>
          <w:b/>
          <w:bCs/>
          <w:sz w:val="23"/>
          <w:szCs w:val="23"/>
        </w:rPr>
      </w:pPr>
    </w:p>
    <w:p>
      <w:pPr>
        <w:pStyle w:val="BodyText"/>
        <w:spacing w:line="357" w:lineRule="auto"/>
        <w:ind w:right="1121" w:firstLine="360"/>
        <w:jc w:val="left"/>
      </w:pPr>
      <w:r>
        <w:rPr>
          <w:spacing w:val="-4"/>
        </w:rPr>
        <w:t>深圳市银之杰科技股份有限公司（以下简称“本公司”或“公司”）前身为深圳市银之杰科技有限公司。</w:t>
      </w:r>
      <w:r>
        <w:rPr>
          <w:rFonts w:ascii="宋体" w:hAnsi="宋体" w:cs="宋体" w:eastAsia="宋体" w:hint="default"/>
          <w:spacing w:val="-4"/>
        </w:rPr>
        <w:t>2007</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28</w:t>
      </w:r>
      <w:r>
        <w:rPr>
          <w:rFonts w:ascii="宋体" w:hAnsi="宋体" w:cs="宋体" w:eastAsia="宋体" w:hint="default"/>
          <w:w w:val="101"/>
        </w:rPr>
        <w:t> </w:t>
      </w:r>
      <w:r>
        <w:rPr>
          <w:spacing w:val="-3"/>
        </w:rPr>
        <w:t>日，经公司临时股东会决议，公司整体变更为股份有限公司，于</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25</w:t>
      </w:r>
      <w:r>
        <w:rPr>
          <w:spacing w:val="-3"/>
        </w:rPr>
        <w:t>日在深圳市市场监督管理局登记注册。</w:t>
      </w:r>
      <w:r>
        <w:rPr>
          <w:rFonts w:ascii="宋体" w:hAnsi="宋体" w:cs="宋体" w:eastAsia="宋体" w:hint="default"/>
          <w:spacing w:val="-3"/>
        </w:rPr>
        <w:t>2010</w:t>
      </w:r>
      <w:r>
        <w:rPr>
          <w:rFonts w:ascii="宋体" w:hAnsi="宋体" w:cs="宋体" w:eastAsia="宋体" w:hint="default"/>
          <w:spacing w:val="-2"/>
        </w:rPr>
        <w:t> </w:t>
      </w:r>
      <w:r>
        <w:rPr>
          <w:rFonts w:ascii="宋体" w:hAnsi="宋体" w:cs="宋体" w:eastAsia="宋体" w:hint="default"/>
          <w:spacing w:val="-2"/>
        </w:rPr>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4</w:t>
      </w:r>
      <w:r>
        <w:rPr>
          <w:spacing w:val="-3"/>
        </w:rPr>
        <w:t>日，经中国证券监督管理委员会“证监许可</w:t>
      </w:r>
      <w:r>
        <w:rPr>
          <w:rFonts w:ascii="宋体" w:hAnsi="宋体" w:cs="宋体" w:eastAsia="宋体" w:hint="default"/>
          <w:spacing w:val="-3"/>
        </w:rPr>
        <w:t>[2010]548</w:t>
      </w:r>
      <w:r>
        <w:rPr>
          <w:spacing w:val="-3"/>
        </w:rPr>
        <w:t>号”文核准和深圳证券交易所《关于深圳市银之杰科技股份有</w:t>
      </w:r>
      <w:r>
        <w:rPr>
          <w:spacing w:val="-2"/>
        </w:rPr>
        <w:t> </w:t>
      </w:r>
      <w:r>
        <w:rPr>
          <w:spacing w:val="-2"/>
        </w:rPr>
      </w:r>
      <w:r>
        <w:rPr>
          <w:spacing w:val="-3"/>
        </w:rPr>
        <w:t>限公司人民币普通股股票在创业板上市的通知》（深证上</w:t>
      </w:r>
      <w:r>
        <w:rPr>
          <w:rFonts w:ascii="宋体" w:hAnsi="宋体" w:cs="宋体" w:eastAsia="宋体" w:hint="default"/>
          <w:spacing w:val="-3"/>
        </w:rPr>
        <w:t>[2010]165</w:t>
      </w:r>
      <w:r>
        <w:rPr>
          <w:spacing w:val="-3"/>
        </w:rPr>
        <w:t>号）同意，本公司发行的人民币普通股股票于</w:t>
      </w:r>
      <w:r>
        <w:rPr>
          <w:rFonts w:ascii="宋体" w:hAnsi="宋体" w:cs="宋体" w:eastAsia="宋体" w:hint="default"/>
          <w:spacing w:val="-3"/>
        </w:rPr>
        <w:t>2010</w:t>
      </w:r>
      <w:r>
        <w:rPr>
          <w:spacing w:val="-3"/>
        </w:rPr>
        <w:t>年</w:t>
      </w:r>
      <w:r>
        <w:rPr>
          <w:rFonts w:ascii="宋体" w:hAnsi="宋体" w:cs="宋体" w:eastAsia="宋体" w:hint="default"/>
          <w:spacing w:val="-3"/>
        </w:rPr>
        <w:t>5</w:t>
      </w:r>
      <w:r>
        <w:rPr>
          <w:rFonts w:ascii="宋体" w:hAnsi="宋体" w:cs="宋体" w:eastAsia="宋体" w:hint="default"/>
          <w:spacing w:val="2"/>
        </w:rPr>
        <w:t> </w:t>
      </w:r>
      <w:r>
        <w:rPr>
          <w:spacing w:val="-4"/>
        </w:rPr>
        <w:t>月</w:t>
      </w:r>
      <w:r>
        <w:rPr>
          <w:rFonts w:ascii="宋体" w:hAnsi="宋体" w:cs="宋体" w:eastAsia="宋体" w:hint="default"/>
          <w:spacing w:val="-4"/>
        </w:rPr>
        <w:t>26</w:t>
      </w:r>
      <w:r>
        <w:rPr>
          <w:spacing w:val="-4"/>
        </w:rPr>
        <w:t>日在深圳证券交易所上市，股票简称“银之杰”，股票代码“</w:t>
      </w:r>
      <w:r>
        <w:rPr>
          <w:rFonts w:ascii="宋体" w:hAnsi="宋体" w:cs="宋体" w:eastAsia="宋体" w:hint="default"/>
          <w:spacing w:val="-4"/>
        </w:rPr>
        <w:t>300085</w:t>
      </w:r>
      <w:r>
        <w:rPr>
          <w:spacing w:val="-4"/>
        </w:rPr>
        <w:t>”。公司总部位于广东省深圳市福田区沙头街道天</w:t>
      </w:r>
      <w:r>
        <w:rPr>
          <w:spacing w:val="57"/>
        </w:rPr>
        <w:t> </w:t>
      </w:r>
      <w:r>
        <w:rPr>
          <w:spacing w:val="57"/>
        </w:rPr>
      </w:r>
      <w:r>
        <w:rPr/>
        <w:t>安社区泰然五路天安数码城天祥大厦</w:t>
      </w:r>
      <w:r>
        <w:rPr>
          <w:rFonts w:ascii="宋体" w:hAnsi="宋体" w:cs="宋体" w:eastAsia="宋体" w:hint="default"/>
        </w:rPr>
        <w:t>10A-1</w:t>
      </w:r>
      <w:r>
        <w:rPr/>
        <w:t>，企业统一社会信用代码为</w:t>
      </w:r>
      <w:r>
        <w:rPr>
          <w:rFonts w:ascii="宋体" w:hAnsi="宋体" w:cs="宋体" w:eastAsia="宋体" w:hint="default"/>
        </w:rPr>
        <w:t>91440300708458455M</w:t>
      </w:r>
      <w:r>
        <w:rPr/>
        <w:t>。</w:t>
      </w:r>
    </w:p>
    <w:p>
      <w:pPr>
        <w:pStyle w:val="BodyText"/>
        <w:spacing w:line="357" w:lineRule="auto" w:before="26"/>
        <w:ind w:right="1055" w:firstLine="360"/>
        <w:jc w:val="left"/>
      </w:pPr>
      <w:r>
        <w:rPr>
          <w:spacing w:val="-4"/>
        </w:rPr>
        <w:t>截至</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日止，公司总股本为</w:t>
      </w:r>
      <w:r>
        <w:rPr>
          <w:rFonts w:ascii="宋体" w:hAnsi="宋体" w:cs="宋体" w:eastAsia="宋体" w:hint="default"/>
          <w:spacing w:val="-4"/>
        </w:rPr>
        <w:t>706,640,535</w:t>
      </w:r>
      <w:r>
        <w:rPr>
          <w:spacing w:val="-4"/>
        </w:rPr>
        <w:t>股。其中，有限售条件的流通股</w:t>
      </w:r>
      <w:r>
        <w:rPr>
          <w:rFonts w:ascii="宋体" w:hAnsi="宋体" w:cs="宋体" w:eastAsia="宋体" w:hint="default"/>
          <w:spacing w:val="-4"/>
        </w:rPr>
        <w:t>291,578,928</w:t>
      </w:r>
      <w:r>
        <w:rPr>
          <w:spacing w:val="-4"/>
        </w:rPr>
        <w:t>股；无限售条件的流通</w:t>
      </w:r>
      <w:r>
        <w:rPr>
          <w:w w:val="101"/>
        </w:rPr>
        <w:t> </w:t>
      </w:r>
      <w:r>
        <w:rPr/>
        <w:t>股份</w:t>
      </w:r>
      <w:r>
        <w:rPr>
          <w:rFonts w:ascii="宋体" w:hAnsi="宋体" w:cs="宋体" w:eastAsia="宋体" w:hint="default"/>
        </w:rPr>
        <w:t>415,061,607</w:t>
      </w:r>
      <w:r>
        <w:rPr/>
        <w:t>股。</w:t>
      </w:r>
    </w:p>
    <w:p>
      <w:pPr>
        <w:pStyle w:val="BodyText"/>
        <w:spacing w:line="357" w:lineRule="auto" w:before="26"/>
        <w:ind w:right="1124" w:firstLine="360"/>
        <w:jc w:val="both"/>
      </w:pPr>
      <w:r>
        <w:rPr>
          <w:spacing w:val="-4"/>
        </w:rPr>
        <w:t>本公司属于软件和信息技术服务业。公司及各子公司主营业务是为银行等金融机构提供软件产品、软件开发、金融专用</w:t>
      </w:r>
      <w:r>
        <w:rPr>
          <w:w w:val="101"/>
        </w:rPr>
        <w:t> </w:t>
      </w:r>
      <w:r>
        <w:rPr>
          <w:spacing w:val="-4"/>
        </w:rPr>
        <w:t>设备和技术服务；为企业提供移动信息服务、流量服务、大数据运营服务；电子商务；金融信息咨询和金融中介服务；投资</w:t>
      </w:r>
      <w:r>
        <w:rPr>
          <w:spacing w:val="40"/>
        </w:rPr>
        <w:t> </w:t>
      </w:r>
      <w:r>
        <w:rPr>
          <w:spacing w:val="40"/>
        </w:rPr>
      </w:r>
      <w:r>
        <w:rPr>
          <w:spacing w:val="-3"/>
        </w:rPr>
        <w:t>发展支票自助结算金融服务和企业移动支付业务；投资发展个人征信及相关业务、互联网保险业务、证券业务。</w:t>
      </w:r>
    </w:p>
    <w:p>
      <w:pPr>
        <w:pStyle w:val="BodyText"/>
        <w:spacing w:line="352" w:lineRule="auto" w:before="26"/>
        <w:ind w:left="513" w:right="1055"/>
        <w:jc w:val="left"/>
      </w:pPr>
      <w:r>
        <w:rPr>
          <w:spacing w:val="-3"/>
        </w:rPr>
        <w:t>本公司财务报表及财务报表附注于</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22</w:t>
      </w:r>
      <w:r>
        <w:rPr>
          <w:spacing w:val="-3"/>
        </w:rPr>
        <w:t>日经公司第四届董事会第十六次会议审议批准报出。</w:t>
      </w:r>
      <w:r>
        <w:rPr>
          <w:spacing w:val="50"/>
        </w:rPr>
        <w:t> </w:t>
      </w:r>
      <w:r>
        <w:rPr>
          <w:spacing w:val="50"/>
        </w:rPr>
      </w:r>
      <w:r>
        <w:rPr>
          <w:spacing w:val="-4"/>
        </w:rPr>
        <w:t>本公司</w:t>
      </w:r>
      <w:r>
        <w:rPr>
          <w:rFonts w:ascii="宋体" w:hAnsi="宋体" w:cs="宋体" w:eastAsia="宋体" w:hint="default"/>
          <w:spacing w:val="-4"/>
        </w:rPr>
        <w:t>2018</w:t>
      </w:r>
      <w:r>
        <w:rPr>
          <w:spacing w:val="-4"/>
        </w:rPr>
        <w:t>年度将深圳银之杰拓扑技术有限公司、深圳银之杰智慧科技有限公司（曾用名深圳市银之杰技术开发有限公</w:t>
      </w:r>
    </w:p>
    <w:p>
      <w:pPr>
        <w:pStyle w:val="BodyText"/>
        <w:spacing w:line="357" w:lineRule="auto" w:before="30"/>
        <w:ind w:right="1122"/>
        <w:jc w:val="both"/>
      </w:pPr>
      <w:r>
        <w:rPr>
          <w:spacing w:val="-4"/>
        </w:rPr>
        <w:t>司）、北京亿美软通科技有限公司、安科创新（深圳）有限公司（曾用名深圳市科安数字有限公司）、深圳银之杰资产管理</w:t>
      </w:r>
      <w:r>
        <w:rPr>
          <w:spacing w:val="40"/>
        </w:rPr>
        <w:t> </w:t>
      </w:r>
      <w:r>
        <w:rPr>
          <w:spacing w:val="40"/>
        </w:rPr>
      </w:r>
      <w:r>
        <w:rPr>
          <w:spacing w:val="-5"/>
        </w:rPr>
        <w:t>有限公司、共</w:t>
      </w:r>
      <w:r>
        <w:rPr>
          <w:rFonts w:ascii="宋体" w:hAnsi="宋体" w:cs="宋体" w:eastAsia="宋体" w:hint="default"/>
          <w:spacing w:val="-5"/>
        </w:rPr>
        <w:t>5</w:t>
      </w:r>
      <w:r>
        <w:rPr>
          <w:spacing w:val="-5"/>
        </w:rPr>
        <w:t>家子公司纳入本期合并财务报表范围，详见本附注八“在其他主体中的权益”。 </w:t>
      </w:r>
      <w:r>
        <w:rPr>
          <w:spacing w:val="-3"/>
        </w:rPr>
        <w:t>本公司新增控股子公司深圳</w:t>
      </w:r>
      <w:r>
        <w:rPr>
          <w:spacing w:val="-8"/>
        </w:rPr>
        <w:t> </w:t>
      </w:r>
      <w:r>
        <w:rPr>
          <w:spacing w:val="-8"/>
        </w:rPr>
      </w:r>
      <w:r>
        <w:rPr>
          <w:spacing w:val="-4"/>
        </w:rPr>
        <w:t>银之杰拓扑技术有限公司，原控股子公司深圳市银之杰金融设备有限公司变更为深圳银之杰智慧科技有限公司子公司，详见</w:t>
      </w:r>
      <w:r>
        <w:rPr>
          <w:spacing w:val="43"/>
        </w:rPr>
        <w:t> </w:t>
      </w:r>
      <w:r>
        <w:rPr>
          <w:spacing w:val="43"/>
        </w:rPr>
      </w:r>
      <w:r>
        <w:rPr>
          <w:spacing w:val="-3"/>
        </w:rPr>
        <w:t>本附注七“合并范围的变更”。</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spacing w:val="-6"/>
        </w:rPr>
        <w:t>本公司财务报表以持续经营假设为基础，根据实际发生的交易和事项，按照财政部发布的《企业会计准则——基本准则》</w:t>
      </w:r>
    </w:p>
    <w:p>
      <w:pPr>
        <w:pStyle w:val="BodyText"/>
        <w:spacing w:line="357" w:lineRule="auto" w:before="115"/>
        <w:ind w:right="1122"/>
        <w:jc w:val="both"/>
      </w:pPr>
      <w:r>
        <w:rPr>
          <w:spacing w:val="-3"/>
        </w:rPr>
        <w:t>（财政部令第</w:t>
      </w:r>
      <w:r>
        <w:rPr>
          <w:rFonts w:ascii="宋体" w:hAnsi="宋体" w:cs="宋体" w:eastAsia="宋体" w:hint="default"/>
          <w:spacing w:val="-3"/>
        </w:rPr>
        <w:t>33</w:t>
      </w:r>
      <w:r>
        <w:rPr>
          <w:spacing w:val="-3"/>
        </w:rPr>
        <w:t>号发布、财政部令第</w:t>
      </w:r>
      <w:r>
        <w:rPr>
          <w:rFonts w:ascii="宋体" w:hAnsi="宋体" w:cs="宋体" w:eastAsia="宋体" w:hint="default"/>
          <w:spacing w:val="-3"/>
        </w:rPr>
        <w:t>76</w:t>
      </w:r>
      <w:r>
        <w:rPr>
          <w:spacing w:val="-3"/>
        </w:rPr>
        <w:t>号修订）、于</w:t>
      </w:r>
      <w:r>
        <w:rPr>
          <w:rFonts w:ascii="宋体" w:hAnsi="宋体" w:cs="宋体" w:eastAsia="宋体" w:hint="default"/>
          <w:spacing w:val="-3"/>
        </w:rPr>
        <w:t>2006</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15</w:t>
      </w:r>
      <w:r>
        <w:rPr>
          <w:spacing w:val="-3"/>
        </w:rPr>
        <w:t>日及其后颁布和修订的</w:t>
      </w:r>
      <w:r>
        <w:rPr>
          <w:rFonts w:ascii="宋体" w:hAnsi="宋体" w:cs="宋体" w:eastAsia="宋体" w:hint="default"/>
          <w:spacing w:val="-3"/>
        </w:rPr>
        <w:t>42</w:t>
      </w:r>
      <w:r>
        <w:rPr>
          <w:spacing w:val="-3"/>
        </w:rPr>
        <w:t>项具体会计准则、企业会计准则</w:t>
      </w:r>
      <w:r>
        <w:rPr/>
        <w:t> </w:t>
      </w:r>
      <w:r>
        <w:rPr/>
      </w:r>
      <w:r>
        <w:rPr>
          <w:spacing w:val="-4"/>
        </w:rPr>
        <w:t>应用指南、企业会计准则解释及其他相关规定（以下合称“企业会计准则”），以及中国证券监督管理委员会《公开发行证</w:t>
      </w:r>
      <w:r>
        <w:rPr>
          <w:spacing w:val="41"/>
        </w:rPr>
        <w:t> </w:t>
      </w:r>
      <w:r>
        <w:rPr>
          <w:spacing w:val="41"/>
        </w:rPr>
      </w:r>
      <w:r>
        <w:rPr>
          <w:spacing w:val="-3"/>
        </w:rPr>
        <w:t>券的公司信息披露编报规则第</w:t>
      </w:r>
      <w:r>
        <w:rPr>
          <w:rFonts w:ascii="宋体" w:hAnsi="宋体" w:cs="宋体" w:eastAsia="宋体" w:hint="default"/>
          <w:spacing w:val="-3"/>
        </w:rPr>
        <w:t>15</w:t>
      </w:r>
      <w:r>
        <w:rPr>
          <w:spacing w:val="-3"/>
        </w:rPr>
        <w:t>号——财务报告的一般规定》（</w:t>
      </w:r>
      <w:r>
        <w:rPr>
          <w:rFonts w:ascii="宋体" w:hAnsi="宋体" w:cs="宋体" w:eastAsia="宋体" w:hint="default"/>
          <w:spacing w:val="-3"/>
        </w:rPr>
        <w:t>2014</w:t>
      </w:r>
      <w:r>
        <w:rPr>
          <w:spacing w:val="-3"/>
        </w:rPr>
        <w:t>年修订）的披露规定编制。</w:t>
      </w:r>
    </w:p>
    <w:p>
      <w:pPr>
        <w:pStyle w:val="BodyText"/>
        <w:spacing w:line="357" w:lineRule="auto" w:before="26"/>
        <w:ind w:right="1055" w:firstLine="360"/>
        <w:jc w:val="left"/>
      </w:pPr>
      <w:r>
        <w:rPr>
          <w:spacing w:val="-4"/>
        </w:rPr>
        <w:t>根据企业会计准则的相关规定，本公司会计核算以权责发生制为基础。除某些金融工具外，本财务报表均以历史成本为</w:t>
      </w:r>
      <w:r>
        <w:rPr>
          <w:w w:val="101"/>
        </w:rPr>
        <w:t> </w:t>
      </w:r>
      <w:r>
        <w:rPr>
          <w:spacing w:val="-3"/>
        </w:rPr>
        <w:t>计量基础。资产如果发生减值，则按照相关规定计提相应的减值准备。</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3" w:right="1055"/>
        <w:jc w:val="left"/>
      </w:pPr>
      <w:r>
        <w:rPr>
          <w:spacing w:val="-4"/>
        </w:rPr>
        <w:t>本公司编制的财务报表符合企业会计准则的要求，真实、完整地反映了本公司</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日的财务状况及</w:t>
      </w:r>
      <w:r>
        <w:rPr>
          <w:rFonts w:ascii="宋体" w:hAnsi="宋体" w:cs="宋体" w:eastAsia="宋体" w:hint="default"/>
          <w:spacing w:val="-4"/>
        </w:rPr>
        <w:t>2018</w:t>
      </w:r>
      <w:r>
        <w:rPr>
          <w:spacing w:val="-4"/>
        </w:rPr>
        <w:t>年度的</w:t>
      </w:r>
    </w:p>
    <w:p>
      <w:pPr>
        <w:spacing w:after="0" w:line="240" w:lineRule="auto"/>
        <w:jc w:val="left"/>
        <w:sectPr>
          <w:footerReference w:type="default" r:id="rId25"/>
          <w:pgSz w:w="11910" w:h="16840"/>
          <w:pgMar w:footer="1186" w:header="871"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right="1055"/>
        <w:jc w:val="left"/>
      </w:pPr>
      <w:r>
        <w:rPr>
          <w:spacing w:val="-4"/>
        </w:rPr>
        <w:t>经营成果和现金流量等有关信息。此外，本公司的财务报表在所有重大方面符合中国证券监督管理委员会</w:t>
      </w:r>
      <w:r>
        <w:rPr>
          <w:rFonts w:ascii="宋体" w:hAnsi="宋体" w:cs="宋体" w:eastAsia="宋体" w:hint="default"/>
          <w:spacing w:val="-4"/>
        </w:rPr>
        <w:t>2014</w:t>
      </w:r>
      <w:r>
        <w:rPr>
          <w:spacing w:val="-4"/>
        </w:rPr>
        <w:t>年修订的《公</w:t>
      </w:r>
      <w:r>
        <w:rPr>
          <w:spacing w:val="52"/>
        </w:rPr>
        <w:t> </w:t>
      </w:r>
      <w:r>
        <w:rPr>
          <w:spacing w:val="52"/>
        </w:rPr>
      </w:r>
      <w:r>
        <w:rPr>
          <w:spacing w:val="-3"/>
        </w:rPr>
        <w:t>开发行证券的公司信息披露编报规则第</w:t>
      </w:r>
      <w:r>
        <w:rPr>
          <w:rFonts w:ascii="宋体" w:hAnsi="宋体" w:cs="宋体" w:eastAsia="宋体" w:hint="default"/>
          <w:spacing w:val="-3"/>
        </w:rPr>
        <w:t>15</w:t>
      </w:r>
      <w:r>
        <w:rPr>
          <w:spacing w:val="-3"/>
        </w:rPr>
        <w:t>号－财务报告的一般规定》有关财务报表及其附注的披露要求。</w:t>
      </w:r>
    </w:p>
    <w:p>
      <w:pPr>
        <w:spacing w:line="240" w:lineRule="auto" w:before="3"/>
        <w:rPr>
          <w:rFonts w:ascii="宋体" w:hAnsi="宋体" w:cs="宋体" w:eastAsia="宋体" w:hint="default"/>
          <w:sz w:val="24"/>
          <w:szCs w:val="24"/>
        </w:rPr>
      </w:pPr>
    </w:p>
    <w:p>
      <w:pPr>
        <w:pStyle w:val="Heading2"/>
        <w:spacing w:line="240" w:lineRule="auto"/>
        <w:ind w:right="1055"/>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7602"/>
        <w:jc w:val="left"/>
      </w:pPr>
      <w:r>
        <w:rPr>
          <w:spacing w:val="-3"/>
        </w:rPr>
        <w:t>公司是否需要遵守特殊行业的披露要求</w:t>
      </w:r>
      <w:r>
        <w:rPr>
          <w:spacing w:val="-39"/>
        </w:rPr>
        <w:t> </w:t>
      </w:r>
      <w:r>
        <w:rPr>
          <w:spacing w:val="-39"/>
        </w:rPr>
      </w:r>
      <w:r>
        <w:rPr/>
        <w:t>是</w:t>
      </w:r>
    </w:p>
    <w:p>
      <w:pPr>
        <w:pStyle w:val="BodyText"/>
        <w:spacing w:line="278" w:lineRule="auto" w:before="9"/>
        <w:ind w:right="8069"/>
        <w:jc w:val="left"/>
      </w:pPr>
      <w:r>
        <w:rPr/>
        <w:t>电子商务业</w:t>
      </w:r>
      <w:r>
        <w:rPr>
          <w:w w:val="101"/>
        </w:rPr>
        <w:t> </w:t>
      </w:r>
      <w:r>
        <w:rPr>
          <w:spacing w:val="-3"/>
        </w:rPr>
        <w:t>具体会计政策和会计估计提示：</w:t>
      </w:r>
    </w:p>
    <w:p>
      <w:pPr>
        <w:pStyle w:val="BodyText"/>
        <w:spacing w:line="357" w:lineRule="auto" w:before="9"/>
        <w:ind w:right="1122" w:firstLine="360"/>
        <w:jc w:val="both"/>
      </w:pPr>
      <w:r>
        <w:rPr>
          <w:spacing w:val="-4"/>
        </w:rPr>
        <w:t>本公司及各子公司根据实际生产经营特点，依据相关企业会计准则的规定，对收入确认、研究开发支出等交易和事项制</w:t>
      </w:r>
      <w:r>
        <w:rPr>
          <w:w w:val="101"/>
        </w:rPr>
        <w:t> </w:t>
      </w:r>
      <w:r>
        <w:rPr>
          <w:spacing w:val="-4"/>
        </w:rPr>
        <w:t>定了若干项具体会计政策和会计估计，详见本附注五、</w:t>
      </w:r>
      <w:r>
        <w:rPr>
          <w:rFonts w:ascii="宋体" w:hAnsi="宋体" w:cs="宋体" w:eastAsia="宋体" w:hint="default"/>
          <w:spacing w:val="-4"/>
        </w:rPr>
        <w:t>25</w:t>
      </w:r>
      <w:r>
        <w:rPr>
          <w:spacing w:val="-4"/>
        </w:rPr>
        <w:t>“收入”（</w:t>
      </w:r>
      <w:r>
        <w:rPr>
          <w:rFonts w:ascii="宋体" w:hAnsi="宋体" w:cs="宋体" w:eastAsia="宋体" w:hint="default"/>
          <w:spacing w:val="-4"/>
        </w:rPr>
        <w:t>2</w:t>
      </w:r>
      <w:r>
        <w:rPr>
          <w:spacing w:val="-4"/>
        </w:rPr>
        <w:t>）及</w:t>
      </w:r>
      <w:r>
        <w:rPr>
          <w:rFonts w:ascii="宋体" w:hAnsi="宋体" w:cs="宋体" w:eastAsia="宋体" w:hint="default"/>
          <w:spacing w:val="-4"/>
        </w:rPr>
        <w:t>19</w:t>
      </w:r>
      <w:r>
        <w:rPr>
          <w:spacing w:val="-4"/>
        </w:rPr>
        <w:t>、“无形资产”、（</w:t>
      </w:r>
      <w:r>
        <w:rPr>
          <w:rFonts w:ascii="宋体" w:hAnsi="宋体" w:cs="宋体" w:eastAsia="宋体" w:hint="default"/>
          <w:spacing w:val="-4"/>
        </w:rPr>
        <w:t>2</w:t>
      </w:r>
      <w:r>
        <w:rPr>
          <w:spacing w:val="-4"/>
        </w:rPr>
        <w:t>）各项描述。关于管理层</w:t>
      </w:r>
      <w:r>
        <w:rPr>
          <w:spacing w:val="53"/>
        </w:rPr>
        <w:t> </w:t>
      </w:r>
      <w:r>
        <w:rPr>
          <w:spacing w:val="53"/>
        </w:rPr>
      </w:r>
      <w:r>
        <w:rPr>
          <w:spacing w:val="-3"/>
        </w:rPr>
        <w:t>所作出的重大会计判断和估计的说明，请参阅附注五、30“重大会计判断和估计”。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2" w:firstLine="360"/>
        <w:jc w:val="both"/>
      </w:pPr>
      <w:r>
        <w:rPr>
          <w:spacing w:val="-4"/>
        </w:rPr>
        <w:t>本公司编制的财务报表符合企业会计准则的要求，真实、完整地反映了本公司</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日的财务状况及</w:t>
      </w:r>
      <w:r>
        <w:rPr>
          <w:rFonts w:ascii="宋体" w:hAnsi="宋体" w:cs="宋体" w:eastAsia="宋体" w:hint="default"/>
          <w:spacing w:val="-4"/>
        </w:rPr>
        <w:t>2018</w:t>
      </w:r>
      <w:r>
        <w:rPr>
          <w:spacing w:val="-4"/>
        </w:rPr>
        <w:t>年度的</w:t>
      </w:r>
      <w:r>
        <w:rPr>
          <w:w w:val="101"/>
        </w:rPr>
        <w:t> </w:t>
      </w:r>
      <w:r>
        <w:rPr>
          <w:spacing w:val="-4"/>
        </w:rPr>
        <w:t>经营成果和现金流量等有关信息。此外，本公司的财务报表在所有重大方面符合中国证券监督管理委员会</w:t>
      </w:r>
      <w:r>
        <w:rPr>
          <w:rFonts w:ascii="宋体" w:hAnsi="宋体" w:cs="宋体" w:eastAsia="宋体" w:hint="default"/>
          <w:spacing w:val="-4"/>
        </w:rPr>
        <w:t>2014</w:t>
      </w:r>
      <w:r>
        <w:rPr>
          <w:spacing w:val="-4"/>
        </w:rPr>
        <w:t>年修订的《公</w:t>
      </w:r>
      <w:r>
        <w:rPr>
          <w:spacing w:val="51"/>
        </w:rPr>
        <w:t> </w:t>
      </w:r>
      <w:r>
        <w:rPr>
          <w:spacing w:val="51"/>
        </w:rPr>
      </w:r>
      <w:r>
        <w:rPr>
          <w:spacing w:val="-3"/>
        </w:rPr>
        <w:t>开发行证券的公司信息披露编报规则第</w:t>
      </w:r>
      <w:r>
        <w:rPr>
          <w:rFonts w:ascii="宋体" w:hAnsi="宋体" w:cs="宋体" w:eastAsia="宋体" w:hint="default"/>
          <w:spacing w:val="-3"/>
        </w:rPr>
        <w:t>15</w:t>
      </w:r>
      <w:r>
        <w:rPr>
          <w:spacing w:val="-3"/>
        </w:rPr>
        <w:t>号－财务报告的一般规定》有关财务报表及其附注的披露要求。</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047" w:firstLine="360"/>
        <w:jc w:val="both"/>
      </w:pPr>
      <w:r>
        <w:rPr>
          <w:spacing w:val="-3"/>
        </w:rPr>
        <w:t>本公司的会计期间分为年度和中期，会计中期指短于一个完整的会计年度的报告期间。本公司会计年度采用公历年度，</w:t>
      </w:r>
      <w:r>
        <w:rPr>
          <w:w w:val="101"/>
        </w:rPr>
        <w:t> </w:t>
      </w:r>
      <w:r>
        <w:rPr/>
        <w:t>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222" w:firstLine="360"/>
        <w:jc w:val="both"/>
      </w:pPr>
      <w:r>
        <w:rPr>
          <w:spacing w:val="-3"/>
        </w:rPr>
        <w:t>正常营业周期是指本公司从购买用于加工的资产起至实现现金或现金等价物的期间。本公司以</w:t>
      </w:r>
      <w:r>
        <w:rPr>
          <w:rFonts w:ascii="宋体" w:hAnsi="宋体" w:cs="宋体" w:eastAsia="宋体" w:hint="default"/>
          <w:spacing w:val="-3"/>
        </w:rPr>
        <w:t>12</w:t>
      </w:r>
      <w:r>
        <w:rPr>
          <w:spacing w:val="-3"/>
        </w:rPr>
        <w:t>个月作为一个营业周</w:t>
      </w:r>
      <w:r>
        <w:rPr>
          <w:w w:val="101"/>
        </w:rPr>
        <w:t> </w:t>
      </w:r>
      <w:r>
        <w:rPr>
          <w:spacing w:val="-3"/>
        </w:rPr>
        <w:t>期，并以其作为资产和负债的流动性划分标准。</w:t>
      </w:r>
    </w:p>
    <w:p>
      <w:pPr>
        <w:spacing w:line="240" w:lineRule="auto" w:before="5"/>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2"/>
          <w:szCs w:val="22"/>
        </w:rPr>
      </w:pPr>
    </w:p>
    <w:p>
      <w:pPr>
        <w:pStyle w:val="BodyText"/>
        <w:spacing w:line="355" w:lineRule="auto"/>
        <w:ind w:right="1127" w:firstLine="360"/>
        <w:jc w:val="both"/>
      </w:pPr>
      <w:r>
        <w:rPr>
          <w:spacing w:val="-5"/>
        </w:rPr>
        <w:t>人民币为本公司及境内子公司经营所处的主要经济环境中的货币，本公司及境内子公司以人民币为记账本位币。本公司</w:t>
      </w:r>
      <w:r>
        <w:rPr>
          <w:w w:val="101"/>
        </w:rPr>
        <w:t> </w:t>
      </w:r>
      <w:r>
        <w:rPr>
          <w:spacing w:val="-4"/>
          <w:w w:val="101"/>
        </w:rPr>
        <w:t>之境外子公司根据其经营所处的主要经济环境中的货币确定人民币为其记账本位币。本公司编制本财务报表时所采用的货币</w:t>
      </w:r>
      <w:r>
        <w:rPr>
          <w:w w:val="101"/>
        </w:rPr>
        <w:t> </w:t>
      </w:r>
      <w:r>
        <w:rPr/>
        <w:t>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3"/>
        <w:spacing w:line="240" w:lineRule="auto"/>
        <w:ind w:right="105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4" w:firstLine="360"/>
        <w:jc w:val="both"/>
      </w:pPr>
      <w:r>
        <w:rPr>
          <w:spacing w:val="-4"/>
        </w:rPr>
        <w:t>企业合并，是指将两个或两个以上单独的企业合并形成一个报告主体的交易或事项。企业合并分为同一控制下企业合并</w:t>
      </w:r>
      <w:r>
        <w:rPr>
          <w:w w:val="101"/>
        </w:rPr>
        <w:t> </w:t>
      </w:r>
      <w:r>
        <w:rPr>
          <w:spacing w:val="-3"/>
        </w:rPr>
        <w:t>和非同一控制下企业合并。</w:t>
      </w:r>
    </w:p>
    <w:p>
      <w:pPr>
        <w:pStyle w:val="BodyText"/>
        <w:spacing w:line="357" w:lineRule="auto" w:before="22"/>
        <w:ind w:left="513" w:right="1055"/>
        <w:jc w:val="left"/>
      </w:pPr>
      <w:r>
        <w:rPr>
          <w:spacing w:val="-3"/>
        </w:rPr>
        <w:t>（</w:t>
      </w:r>
      <w:r>
        <w:rPr>
          <w:rFonts w:ascii="宋体" w:hAnsi="宋体" w:cs="宋体" w:eastAsia="宋体" w:hint="default"/>
          <w:spacing w:val="-3"/>
        </w:rPr>
        <w:t>1</w:t>
      </w:r>
      <w:r>
        <w:rPr>
          <w:spacing w:val="-3"/>
        </w:rPr>
        <w:t>）同一控制下企业合并</w:t>
      </w:r>
      <w:r>
        <w:rPr>
          <w:spacing w:val="-52"/>
        </w:rPr>
        <w:t> </w:t>
      </w:r>
      <w:r>
        <w:rPr>
          <w:spacing w:val="-52"/>
        </w:rPr>
      </w:r>
      <w:r>
        <w:rPr>
          <w:spacing w:val="-5"/>
        </w:rPr>
        <w:t>参与合并的企业在合并前后均受同一方或相同的多方最终控制，且该控制并非暂时性的，为同一控制下的企业合并。同</w:t>
      </w:r>
    </w:p>
    <w:p>
      <w:pPr>
        <w:spacing w:after="0" w:line="357" w:lineRule="auto"/>
        <w:jc w:val="left"/>
        <w:sectPr>
          <w:footerReference w:type="default" r:id="rId26"/>
          <w:pgSz w:w="11910" w:h="16840"/>
          <w:pgMar w:footer="1186" w:header="871" w:top="1100" w:bottom="1380" w:left="980" w:right="0"/>
          <w:pgNumType w:start="101"/>
        </w:sectPr>
      </w:pPr>
    </w:p>
    <w:p>
      <w:pPr>
        <w:spacing w:line="240" w:lineRule="auto" w:before="7"/>
        <w:rPr>
          <w:rFonts w:ascii="宋体" w:hAnsi="宋体" w:cs="宋体" w:eastAsia="宋体" w:hint="default"/>
          <w:sz w:val="18"/>
          <w:szCs w:val="18"/>
        </w:rPr>
      </w:pPr>
    </w:p>
    <w:p>
      <w:pPr>
        <w:pStyle w:val="BodyText"/>
        <w:spacing w:line="357" w:lineRule="auto" w:before="46"/>
        <w:ind w:right="1055"/>
        <w:jc w:val="left"/>
      </w:pPr>
      <w:r>
        <w:rPr>
          <w:spacing w:val="-6"/>
        </w:rPr>
        <w:t>一控制下的企业合并，在合并日取得对其他参与合并企业控制权的一方为合并方，参与合并的其他企业为被合并方。合并日，</w:t>
      </w:r>
      <w:r>
        <w:rPr>
          <w:spacing w:val="62"/>
        </w:rPr>
        <w:t> </w:t>
      </w:r>
      <w:r>
        <w:rPr>
          <w:spacing w:val="62"/>
        </w:rPr>
      </w:r>
      <w:r>
        <w:rPr>
          <w:spacing w:val="-3"/>
        </w:rPr>
        <w:t>是指合并方实际取得对被合并方控制权的日期。</w:t>
      </w:r>
    </w:p>
    <w:p>
      <w:pPr>
        <w:pStyle w:val="BodyText"/>
        <w:spacing w:line="357" w:lineRule="auto" w:before="26"/>
        <w:ind w:right="1047" w:firstLine="360"/>
        <w:jc w:val="both"/>
      </w:pPr>
      <w:r>
        <w:rPr>
          <w:spacing w:val="-5"/>
          <w:w w:val="101"/>
        </w:rPr>
        <w:t>合并方取得的资产和负债均按合并日在被合并方的账面价值计量。合并方取得的净资产账面价值与支付的合并对价账面</w:t>
      </w:r>
      <w:r>
        <w:rPr>
          <w:w w:val="101"/>
        </w:rPr>
        <w:t> </w:t>
      </w:r>
      <w:r>
        <w:rPr>
          <w:spacing w:val="-3"/>
        </w:rPr>
        <w:t>价值（或发行股份面值总额）的差额，调整资本公积（股本溢价）；资本公积（股本溢价）不足以冲减的，调整留存收益。</w:t>
      </w:r>
    </w:p>
    <w:p>
      <w:pPr>
        <w:pStyle w:val="BodyText"/>
        <w:spacing w:line="240" w:lineRule="auto" w:before="26"/>
        <w:ind w:left="513" w:right="1055"/>
        <w:jc w:val="left"/>
      </w:pPr>
      <w:r>
        <w:rPr>
          <w:spacing w:val="-3"/>
        </w:rPr>
        <w:t>合并方为进行企业合并发生的各项直接费用，于发生时计入当期损益。</w:t>
      </w:r>
    </w:p>
    <w:p>
      <w:pPr>
        <w:pStyle w:val="BodyText"/>
        <w:spacing w:line="357" w:lineRule="auto" w:before="115"/>
        <w:ind w:left="513" w:right="1055"/>
        <w:jc w:val="left"/>
      </w:pPr>
      <w:r>
        <w:rPr/>
        <w:t>（</w:t>
      </w:r>
      <w:r>
        <w:rPr>
          <w:rFonts w:ascii="宋体" w:hAnsi="宋体" w:cs="宋体" w:eastAsia="宋体" w:hint="default"/>
        </w:rPr>
        <w:t>2</w:t>
      </w:r>
      <w:r>
        <w:rPr/>
        <w:t>）非同一控制下企业合并</w:t>
      </w:r>
      <w:r>
        <w:rPr>
          <w:spacing w:val="-85"/>
        </w:rPr>
        <w:t> </w:t>
      </w:r>
      <w:r>
        <w:rPr>
          <w:spacing w:val="-85"/>
        </w:rPr>
      </w:r>
      <w:r>
        <w:rPr>
          <w:spacing w:val="-5"/>
        </w:rPr>
        <w:t>参与合并的企业在合并前后不受同一方或相同的多方最终控制的，为非同一控制下的企业合并。非同一控制下的企业合</w:t>
      </w:r>
    </w:p>
    <w:p>
      <w:pPr>
        <w:pStyle w:val="BodyText"/>
        <w:spacing w:line="357" w:lineRule="auto" w:before="26"/>
        <w:ind w:right="1055"/>
        <w:jc w:val="left"/>
      </w:pPr>
      <w:r>
        <w:rPr>
          <w:spacing w:val="-4"/>
        </w:rPr>
        <w:t>并，在购买日取得对其他参与合并企业控制权的一方为购买方，参与合并的其他企业为被购买方。购买日，是指为购买方实</w:t>
      </w:r>
      <w:r>
        <w:rPr>
          <w:spacing w:val="40"/>
        </w:rPr>
        <w:t> </w:t>
      </w:r>
      <w:r>
        <w:rPr>
          <w:spacing w:val="40"/>
        </w:rPr>
      </w:r>
      <w:r>
        <w:rPr>
          <w:spacing w:val="-3"/>
        </w:rPr>
        <w:t>际取得对被购买方控制权的日期。</w:t>
      </w:r>
    </w:p>
    <w:p>
      <w:pPr>
        <w:pStyle w:val="BodyText"/>
        <w:spacing w:line="357" w:lineRule="auto" w:before="26"/>
        <w:ind w:right="1122" w:firstLine="360"/>
        <w:jc w:val="both"/>
      </w:pPr>
      <w:r>
        <w:rPr>
          <w:spacing w:val="-4"/>
        </w:rPr>
        <w:t>对于非同一控制下的企业合并，合并成本包含购买日购买方为取得对被购买方的控制权而付出的资产、发生或承担的负</w:t>
      </w:r>
      <w:r>
        <w:rPr>
          <w:w w:val="101"/>
        </w:rPr>
        <w:t> </w:t>
      </w:r>
      <w:r>
        <w:rPr>
          <w:spacing w:val="-4"/>
        </w:rPr>
        <w:t>债以及发行的权益性证券的公允价值，为企业合并发生的审计、法律服务、评估咨询等中介费用以及其他管理费用于发生时</w:t>
      </w:r>
      <w:r>
        <w:rPr>
          <w:spacing w:val="43"/>
        </w:rPr>
        <w:t> </w:t>
      </w:r>
      <w:r>
        <w:rPr>
          <w:spacing w:val="43"/>
        </w:rPr>
      </w:r>
      <w:r>
        <w:rPr>
          <w:spacing w:val="-4"/>
        </w:rPr>
        <w:t>计入当期损益。购买方作为合并对价发行的权益性证券或债务性证券的交易费用，计入权益性证券或债务性证券的初始确认</w:t>
      </w:r>
      <w:r>
        <w:rPr>
          <w:spacing w:val="44"/>
        </w:rPr>
        <w:t> </w:t>
      </w:r>
      <w:r>
        <w:rPr>
          <w:spacing w:val="44"/>
        </w:rPr>
      </w:r>
      <w:r>
        <w:rPr>
          <w:spacing w:val="-4"/>
        </w:rPr>
        <w:t>金额。所涉及的或有对价按其在购买日的公允价值计入合并成本，购买日后</w:t>
      </w:r>
      <w:r>
        <w:rPr>
          <w:rFonts w:ascii="宋体" w:hAnsi="宋体" w:cs="宋体" w:eastAsia="宋体" w:hint="default"/>
          <w:spacing w:val="-4"/>
        </w:rPr>
        <w:t>12</w:t>
      </w:r>
      <w:r>
        <w:rPr>
          <w:spacing w:val="-4"/>
        </w:rPr>
        <w:t>个月内出现对购买日已存在情况的新的或进一</w:t>
      </w:r>
      <w:r>
        <w:rPr>
          <w:spacing w:val="48"/>
        </w:rPr>
        <w:t> </w:t>
      </w:r>
      <w:r>
        <w:rPr>
          <w:spacing w:val="48"/>
        </w:rPr>
      </w:r>
      <w:r>
        <w:rPr>
          <w:spacing w:val="-5"/>
        </w:rPr>
        <w:t>步证据而需要调整或有对价的，相应调整合并商誉。购买方发生的合并成本及在合并中取得的可辨认净资产按购买日的公允</w:t>
      </w:r>
      <w:r>
        <w:rPr>
          <w:spacing w:val="6"/>
        </w:rPr>
        <w:t> </w:t>
      </w:r>
      <w:r>
        <w:rPr>
          <w:spacing w:val="6"/>
        </w:rPr>
      </w:r>
      <w:r>
        <w:rPr>
          <w:spacing w:val="-4"/>
        </w:rPr>
        <w:t>价值计量。合并成本大于合并中取得的被购买方于购买日可辨认净资产公允价值份额的差额，确认为商誉。合并成本小于合</w:t>
      </w:r>
      <w:r>
        <w:rPr>
          <w:spacing w:val="43"/>
        </w:rPr>
        <w:t> </w:t>
      </w:r>
      <w:r>
        <w:rPr>
          <w:spacing w:val="43"/>
        </w:rPr>
      </w:r>
      <w:r>
        <w:rPr>
          <w:spacing w:val="-4"/>
        </w:rPr>
        <w:t>并中取得的被购买方可辨认净资产公允价值份额的，首先对取得的被购买方各项可辨认资产、负债及或有负债的公允价值以</w:t>
      </w:r>
      <w:r>
        <w:rPr>
          <w:spacing w:val="43"/>
        </w:rPr>
        <w:t> </w:t>
      </w:r>
      <w:r>
        <w:rPr>
          <w:spacing w:val="43"/>
        </w:rPr>
      </w:r>
      <w:r>
        <w:rPr>
          <w:spacing w:val="-4"/>
        </w:rPr>
        <w:t>及合并成本的计量进行复核，复核后合并成本仍小于合并中取得的被购买方可辨认净资产公允价值份额的，其差额计入当期</w:t>
      </w:r>
      <w:r>
        <w:rPr>
          <w:spacing w:val="44"/>
        </w:rPr>
        <w:t> </w:t>
      </w:r>
      <w:r>
        <w:rPr>
          <w:spacing w:val="44"/>
        </w:rPr>
      </w:r>
      <w:r>
        <w:rPr/>
        <w:t>损益。</w:t>
      </w:r>
    </w:p>
    <w:p>
      <w:pPr>
        <w:pStyle w:val="BodyText"/>
        <w:spacing w:line="357" w:lineRule="auto" w:before="27"/>
        <w:ind w:right="1055" w:firstLine="360"/>
        <w:jc w:val="left"/>
      </w:pPr>
      <w:r>
        <w:rPr>
          <w:spacing w:val="-3"/>
        </w:rPr>
        <w:t>购买方取得被购买方的可抵扣暂时性差异，在购买日因不符合递延所得税资产确认条件而未予确认的，在购买日后</w:t>
      </w:r>
      <w:r>
        <w:rPr>
          <w:rFonts w:ascii="宋体" w:hAnsi="宋体" w:cs="宋体" w:eastAsia="宋体" w:hint="default"/>
          <w:spacing w:val="-3"/>
        </w:rPr>
        <w:t>12</w:t>
      </w:r>
      <w:r>
        <w:rPr>
          <w:rFonts w:ascii="宋体" w:hAnsi="宋体" w:cs="宋体" w:eastAsia="宋体" w:hint="default"/>
          <w:w w:val="101"/>
        </w:rPr>
        <w:t> </w:t>
      </w:r>
      <w:r>
        <w:rPr>
          <w:spacing w:val="-4"/>
        </w:rPr>
        <w:t>个月内，如取得新的或进一步的信息表明购买日的相关情况已经存在，预期被购买方在购买日可抵扣暂时性差异带来的经济</w:t>
      </w:r>
      <w:r>
        <w:rPr>
          <w:spacing w:val="42"/>
        </w:rPr>
        <w:t> </w:t>
      </w:r>
      <w:r>
        <w:rPr>
          <w:spacing w:val="42"/>
        </w:rPr>
      </w:r>
      <w:r>
        <w:rPr>
          <w:spacing w:val="-4"/>
        </w:rPr>
        <w:t>利益能够实现的，则确认相关的递延所得税资产，同时减少商誉，商誉不足冲减的，差额部分确认为当期损益；除上述情况</w:t>
      </w:r>
      <w:r>
        <w:rPr>
          <w:spacing w:val="40"/>
        </w:rPr>
        <w:t> </w:t>
      </w:r>
      <w:r>
        <w:rPr>
          <w:spacing w:val="40"/>
        </w:rPr>
      </w:r>
      <w:r>
        <w:rPr>
          <w:spacing w:val="-3"/>
        </w:rPr>
        <w:t>以外，确认与企业合并相关的递延所得税资产的，计入当期损益。</w:t>
      </w:r>
    </w:p>
    <w:p>
      <w:pPr>
        <w:pStyle w:val="BodyText"/>
        <w:spacing w:line="357" w:lineRule="auto" w:before="26"/>
        <w:ind w:right="1024" w:firstLine="360"/>
        <w:jc w:val="left"/>
      </w:pPr>
      <w:r>
        <w:rPr>
          <w:spacing w:val="-7"/>
          <w:w w:val="101"/>
        </w:rPr>
        <w:t>通过多次交易分步实现的非同一控制下企业合并，根据《财政部关于印发企业会计准则解释第</w:t>
      </w:r>
      <w:r>
        <w:rPr>
          <w:rFonts w:ascii="宋体" w:hAnsi="宋体" w:cs="宋体" w:eastAsia="宋体" w:hint="default"/>
          <w:spacing w:val="-7"/>
          <w:w w:val="101"/>
        </w:rPr>
        <w:t>5</w:t>
      </w:r>
      <w:r>
        <w:rPr>
          <w:spacing w:val="-7"/>
          <w:w w:val="101"/>
        </w:rPr>
        <w:t>号的通知》（财会〔</w:t>
      </w:r>
      <w:r>
        <w:rPr>
          <w:rFonts w:ascii="宋体" w:hAnsi="宋体" w:cs="宋体" w:eastAsia="宋体" w:hint="default"/>
          <w:spacing w:val="-7"/>
          <w:w w:val="101"/>
        </w:rPr>
        <w:t>2012</w:t>
      </w:r>
      <w:r>
        <w:rPr>
          <w:spacing w:val="-7"/>
          <w:w w:val="101"/>
        </w:rPr>
        <w:t>〕</w:t>
      </w:r>
      <w:r>
        <w:rPr>
          <w:w w:val="101"/>
        </w:rPr>
        <w:t> </w:t>
      </w:r>
      <w:r>
        <w:rPr>
          <w:rFonts w:ascii="宋体" w:hAnsi="宋体" w:cs="宋体" w:eastAsia="宋体" w:hint="default"/>
          <w:spacing w:val="-6"/>
        </w:rPr>
        <w:t>19</w:t>
      </w:r>
      <w:r>
        <w:rPr>
          <w:spacing w:val="-6"/>
        </w:rPr>
        <w:t>号）和《企业会计准则第</w:t>
      </w:r>
      <w:r>
        <w:rPr>
          <w:rFonts w:ascii="宋体" w:hAnsi="宋体" w:cs="宋体" w:eastAsia="宋体" w:hint="default"/>
          <w:spacing w:val="-6"/>
        </w:rPr>
        <w:t>33</w:t>
      </w:r>
      <w:r>
        <w:rPr>
          <w:spacing w:val="-6"/>
        </w:rPr>
        <w:t>号——合并财务报表》第五十一条关于“一揽子交易”的判断标准（参见本附注五、</w:t>
      </w:r>
      <w:r>
        <w:rPr>
          <w:rFonts w:ascii="宋体" w:hAnsi="宋体" w:cs="宋体" w:eastAsia="宋体" w:hint="default"/>
          <w:spacing w:val="-6"/>
        </w:rPr>
        <w:t>6</w:t>
      </w:r>
      <w:r>
        <w:rPr>
          <w:spacing w:val="-6"/>
        </w:rPr>
        <w:t>（</w:t>
      </w:r>
      <w:r>
        <w:rPr>
          <w:rFonts w:ascii="宋体" w:hAnsi="宋体" w:cs="宋体" w:eastAsia="宋体" w:hint="default"/>
          <w:spacing w:val="-6"/>
        </w:rPr>
        <w:t>2</w:t>
      </w:r>
      <w:r>
        <w:rPr>
          <w:spacing w:val="-6"/>
        </w:rPr>
        <w:t>）），</w:t>
      </w:r>
      <w:r>
        <w:rPr>
          <w:spacing w:val="-3"/>
        </w:rPr>
        <w:t> </w:t>
      </w:r>
      <w:r>
        <w:rPr>
          <w:spacing w:val="-3"/>
        </w:rPr>
      </w:r>
      <w:r>
        <w:rPr>
          <w:spacing w:val="-4"/>
        </w:rPr>
        <w:t>判断该多次交易是否属于“一揽子交易”。属于“一揽子交易”的，参考本部分前面各段描述及本附注五、</w:t>
      </w:r>
      <w:r>
        <w:rPr>
          <w:rFonts w:ascii="宋体" w:hAnsi="宋体" w:cs="宋体" w:eastAsia="宋体" w:hint="default"/>
          <w:spacing w:val="-4"/>
        </w:rPr>
        <w:t>14</w:t>
      </w:r>
      <w:r>
        <w:rPr>
          <w:spacing w:val="-4"/>
        </w:rPr>
        <w:t>“长期股权投</w:t>
      </w:r>
      <w:r>
        <w:rPr>
          <w:spacing w:val="47"/>
        </w:rPr>
        <w:t> </w:t>
      </w:r>
      <w:r>
        <w:rPr>
          <w:spacing w:val="47"/>
        </w:rPr>
      </w:r>
      <w:r>
        <w:rPr>
          <w:spacing w:val="-3"/>
        </w:rPr>
        <w:t>资”进行会计处理；不属于“一揽子交易”的，区分个别财务报表和合并财务报表进行相关会计处理：</w:t>
      </w:r>
    </w:p>
    <w:p>
      <w:pPr>
        <w:pStyle w:val="BodyText"/>
        <w:spacing w:line="357" w:lineRule="auto" w:before="26"/>
        <w:ind w:right="1122" w:firstLine="360"/>
        <w:jc w:val="both"/>
      </w:pPr>
      <w:r>
        <w:rPr>
          <w:spacing w:val="-4"/>
        </w:rPr>
        <w:t>在个别财务报表中，以购买日之前所持被购买方的股权投资的账面价值与购买日新增投资成本之和，作为该项投资的初</w:t>
      </w:r>
      <w:r>
        <w:rPr>
          <w:w w:val="101"/>
        </w:rPr>
        <w:t> </w:t>
      </w:r>
      <w:r>
        <w:rPr>
          <w:spacing w:val="-4"/>
        </w:rPr>
        <w:t>始投资成本；购买日之前持有的被购买方的股权涉及其他综合收益的，在处置该项投资时将与其相关的其他综合收益采用与</w:t>
      </w:r>
      <w:r>
        <w:rPr>
          <w:spacing w:val="43"/>
        </w:rPr>
        <w:t> </w:t>
      </w:r>
      <w:r>
        <w:rPr>
          <w:spacing w:val="43"/>
        </w:rPr>
      </w:r>
      <w:r>
        <w:rPr>
          <w:spacing w:val="-4"/>
        </w:rPr>
        <w:t>被购买方直接处置相关资产或负债相同的基础进行会计处理（即，除了按照权益法核算的在被购买方重新计量设定受益计划</w:t>
      </w:r>
      <w:r>
        <w:rPr>
          <w:spacing w:val="42"/>
        </w:rPr>
        <w:t> </w:t>
      </w:r>
      <w:r>
        <w:rPr>
          <w:spacing w:val="42"/>
        </w:rPr>
      </w:r>
      <w:r>
        <w:rPr>
          <w:spacing w:val="-3"/>
        </w:rPr>
        <w:t>净负债或净资产导致的变动中的相应份额以外，其余转入当期投资收益）。</w:t>
      </w:r>
    </w:p>
    <w:p>
      <w:pPr>
        <w:pStyle w:val="BodyText"/>
        <w:spacing w:line="357" w:lineRule="auto" w:before="22"/>
        <w:ind w:right="1124" w:firstLine="360"/>
        <w:jc w:val="both"/>
      </w:pPr>
      <w:r>
        <w:rPr>
          <w:spacing w:val="-4"/>
        </w:rPr>
        <w:t>在合并财务报表中，对于购买日之前持有的被购买方的股权，按照该股权在购买日的公允价值进行重新计量，公允价值</w:t>
      </w:r>
      <w:r>
        <w:rPr>
          <w:w w:val="101"/>
        </w:rPr>
        <w:t> </w:t>
      </w:r>
      <w:r>
        <w:rPr>
          <w:spacing w:val="-4"/>
        </w:rPr>
        <w:t>与其账面价值的差额计入当期投资收益；购买日之前持有的被购买方的股权涉及其他综合收益的，与其相关的其他综合收益</w:t>
      </w:r>
      <w:r>
        <w:rPr>
          <w:spacing w:val="42"/>
        </w:rPr>
        <w:t> </w:t>
      </w:r>
      <w:r>
        <w:rPr>
          <w:spacing w:val="42"/>
        </w:rPr>
      </w:r>
      <w:r>
        <w:rPr>
          <w:spacing w:val="-4"/>
        </w:rPr>
        <w:t>应当采用与被购买方直接处置相关资产或负债相同的基础进行会计处理（即，除了按照权益法核算的在被购买方重新计量设</w:t>
      </w:r>
      <w:r>
        <w:rPr>
          <w:spacing w:val="39"/>
        </w:rPr>
        <w:t> </w:t>
      </w:r>
      <w:r>
        <w:rPr>
          <w:spacing w:val="39"/>
        </w:rPr>
      </w:r>
      <w:r>
        <w:rPr>
          <w:spacing w:val="-3"/>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left="513" w:right="1055"/>
        <w:jc w:val="left"/>
      </w:pPr>
      <w:r>
        <w:rPr>
          <w:spacing w:val="-3"/>
        </w:rPr>
        <w:t>（</w:t>
      </w:r>
      <w:r>
        <w:rPr>
          <w:rFonts w:ascii="宋体" w:hAnsi="宋体" w:cs="宋体" w:eastAsia="宋体" w:hint="default"/>
          <w:spacing w:val="-3"/>
        </w:rPr>
        <w:t>1</w:t>
      </w:r>
      <w:r>
        <w:rPr>
          <w:spacing w:val="-3"/>
        </w:rPr>
        <w:t>）合并财务报表范围的确定原则</w:t>
      </w:r>
      <w:r>
        <w:rPr>
          <w:spacing w:val="-40"/>
        </w:rPr>
        <w:t> </w:t>
      </w:r>
      <w:r>
        <w:rPr>
          <w:spacing w:val="-40"/>
        </w:rPr>
      </w:r>
      <w:r>
        <w:rPr>
          <w:spacing w:val="-4"/>
        </w:rPr>
        <w:t>合并财务报表的合并范围以控制为基础予以确定。控制是指本公司拥有对被投资方的权力，通过参与被投资方的相关活</w:t>
      </w:r>
    </w:p>
    <w:p>
      <w:pPr>
        <w:pStyle w:val="BodyText"/>
        <w:spacing w:line="240" w:lineRule="auto" w:before="26"/>
        <w:ind w:right="1055"/>
        <w:jc w:val="left"/>
      </w:pPr>
      <w:r>
        <w:rPr>
          <w:spacing w:val="-4"/>
        </w:rPr>
        <w:t>动而享有可变回报，并且有能力运用对被投资方的权力影响该回报金额。合并范围包括本公司及全部子公司。子公司，是指</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left="513" w:right="1641" w:hanging="360"/>
        <w:jc w:val="left"/>
      </w:pPr>
      <w:r>
        <w:rPr/>
        <w:t>被本公司控制的主体。</w:t>
      </w:r>
      <w:r>
        <w:rPr>
          <w:spacing w:val="-86"/>
        </w:rPr>
        <w:t> </w:t>
      </w:r>
      <w:r>
        <w:rPr>
          <w:spacing w:val="-86"/>
        </w:rPr>
      </w:r>
      <w:r>
        <w:rPr>
          <w:spacing w:val="-3"/>
        </w:rPr>
        <w:t>一旦相关事实和情况的变化导致上述控制定义涉及的相关要素发生了变化，本公司将进行重新评估。</w:t>
      </w:r>
    </w:p>
    <w:p>
      <w:pPr>
        <w:pStyle w:val="BodyText"/>
        <w:spacing w:line="357" w:lineRule="auto" w:before="26"/>
        <w:ind w:left="513" w:right="1055"/>
        <w:jc w:val="left"/>
      </w:pPr>
      <w:r>
        <w:rPr>
          <w:spacing w:val="-3"/>
        </w:rPr>
        <w:t>（</w:t>
      </w:r>
      <w:r>
        <w:rPr>
          <w:rFonts w:ascii="宋体" w:hAnsi="宋体" w:cs="宋体" w:eastAsia="宋体" w:hint="default"/>
          <w:spacing w:val="-3"/>
        </w:rPr>
        <w:t>2</w:t>
      </w:r>
      <w:r>
        <w:rPr>
          <w:spacing w:val="-3"/>
        </w:rPr>
        <w:t>）合并财务报表编制的方法</w:t>
      </w:r>
      <w:r>
        <w:rPr>
          <w:spacing w:val="-46"/>
        </w:rPr>
        <w:t> </w:t>
      </w:r>
      <w:r>
        <w:rPr>
          <w:spacing w:val="-46"/>
        </w:rPr>
      </w:r>
      <w:r>
        <w:rPr>
          <w:spacing w:val="-4"/>
        </w:rPr>
        <w:t>从取得子公司的净资产和生产经营决策的实际控制权之日起，本公司开始将其纳入合并范围；从丧失实际控制权之日起</w:t>
      </w:r>
    </w:p>
    <w:p>
      <w:pPr>
        <w:pStyle w:val="BodyText"/>
        <w:spacing w:line="357" w:lineRule="auto" w:before="26"/>
        <w:ind w:right="1004"/>
        <w:jc w:val="left"/>
      </w:pPr>
      <w:r>
        <w:rPr>
          <w:spacing w:val="-6"/>
          <w:w w:val="101"/>
        </w:rPr>
        <w:t>停止纳入合并范围。对于处置的子公司，处置日前的经营成果和现金流量已经适当地包括在合并利润表和合并现金流量表中；</w:t>
      </w:r>
      <w:r>
        <w:rPr>
          <w:spacing w:val="-66"/>
          <w:w w:val="101"/>
        </w:rPr>
        <w:t> </w:t>
      </w:r>
      <w:r>
        <w:rPr>
          <w:spacing w:val="-66"/>
          <w:w w:val="101"/>
        </w:rPr>
      </w:r>
      <w:r>
        <w:rPr>
          <w:spacing w:val="-4"/>
        </w:rPr>
        <w:t>当期处置的子公司，不调整合并资产负债表的期初数。非同一控制下企业合并增加的子公司，其购买日后的经营成果及现金</w:t>
      </w:r>
      <w:r>
        <w:rPr>
          <w:spacing w:val="43"/>
        </w:rPr>
        <w:t> </w:t>
      </w:r>
      <w:r>
        <w:rPr>
          <w:spacing w:val="43"/>
        </w:rPr>
      </w:r>
      <w:r>
        <w:rPr>
          <w:spacing w:val="-4"/>
        </w:rPr>
        <w:t>流量已经适当地包括在合并利润表和合并现金流量表中，且不调整合并财务报表的期初数和对比数。同一控制下企业合并增</w:t>
      </w:r>
      <w:r>
        <w:rPr>
          <w:spacing w:val="44"/>
        </w:rPr>
        <w:t> </w:t>
      </w:r>
      <w:r>
        <w:rPr>
          <w:spacing w:val="44"/>
        </w:rPr>
      </w:r>
      <w:r>
        <w:rPr>
          <w:spacing w:val="-4"/>
          <w:w w:val="101"/>
        </w:rPr>
        <w:t>加的子公司及吸收合并下的被合并方，其自合并当期期初至合并日的经营成果和现金流量已经适当地包括在合并利润表和合</w:t>
      </w:r>
      <w:r>
        <w:rPr>
          <w:w w:val="101"/>
        </w:rPr>
        <w:t> </w:t>
      </w:r>
      <w:r>
        <w:rPr>
          <w:spacing w:val="-3"/>
        </w:rPr>
        <w:t>并现金流量表中，并且同时调整合并财务报表的对比数。</w:t>
      </w:r>
    </w:p>
    <w:p>
      <w:pPr>
        <w:pStyle w:val="BodyText"/>
        <w:spacing w:line="355" w:lineRule="auto" w:before="26"/>
        <w:ind w:right="1124" w:firstLine="360"/>
        <w:jc w:val="both"/>
      </w:pPr>
      <w:r>
        <w:rPr>
          <w:spacing w:val="-4"/>
        </w:rPr>
        <w:t>在编制合并财务报表时，子公司与本公司采用的会计政策或会计期间不一致的，按照本公司的会计政策和会计期间对子</w:t>
      </w:r>
      <w:r>
        <w:rPr>
          <w:w w:val="101"/>
        </w:rPr>
        <w:t> </w:t>
      </w:r>
      <w:r>
        <w:rPr>
          <w:spacing w:val="-4"/>
        </w:rPr>
        <w:t>公司财务报表进行必要的调整。对于非同一控制下企业合并取得的子公司，以购买日可辨认净资产公允价值为基础对其财务</w:t>
      </w:r>
      <w:r>
        <w:rPr>
          <w:spacing w:val="42"/>
        </w:rPr>
        <w:t> </w:t>
      </w:r>
      <w:r>
        <w:rPr>
          <w:spacing w:val="42"/>
        </w:rPr>
      </w:r>
      <w:r>
        <w:rPr>
          <w:spacing w:val="-3"/>
        </w:rPr>
        <w:t>报表进行调整。</w:t>
      </w:r>
    </w:p>
    <w:p>
      <w:pPr>
        <w:pStyle w:val="BodyText"/>
        <w:spacing w:line="357" w:lineRule="auto" w:before="28"/>
        <w:ind w:left="513" w:right="1055"/>
        <w:jc w:val="left"/>
      </w:pPr>
      <w:r>
        <w:rPr>
          <w:spacing w:val="-3"/>
        </w:rPr>
        <w:t>公司内所有重大往来余额、交易及未实现利润在合并财务报表编制时予以抵销。</w:t>
      </w:r>
      <w:r>
        <w:rPr>
          <w:spacing w:val="13"/>
        </w:rPr>
        <w:t> </w:t>
      </w:r>
      <w:r>
        <w:rPr>
          <w:spacing w:val="13"/>
        </w:rPr>
      </w:r>
      <w:r>
        <w:rPr>
          <w:spacing w:val="-3"/>
        </w:rPr>
        <w:t>子公司的股东权益及当期净损益中不属于本公司所拥有的部分分别作为少数股东权益及少数股东损益在合并财务报表</w:t>
      </w:r>
    </w:p>
    <w:p>
      <w:pPr>
        <w:pStyle w:val="BodyText"/>
        <w:spacing w:line="357" w:lineRule="auto" w:before="26"/>
        <w:ind w:right="1121"/>
        <w:jc w:val="both"/>
      </w:pPr>
      <w:r>
        <w:rPr>
          <w:spacing w:val="-4"/>
        </w:rPr>
        <w:t>中股东权益及净利润项下单独列示。子公司当期净损益中属于少数股东权益的份额，在合并利润表中净利润项目下以“少数</w:t>
      </w:r>
      <w:r>
        <w:rPr>
          <w:spacing w:val="44"/>
        </w:rPr>
        <w:t> </w:t>
      </w:r>
      <w:r>
        <w:rPr>
          <w:spacing w:val="44"/>
        </w:rPr>
      </w:r>
      <w:r>
        <w:rPr>
          <w:spacing w:val="-4"/>
        </w:rPr>
        <w:t>股东损益”项目列示。少数股东分担的子公司的亏损超过了少数股东在该子公司期初股东权益中所享有的份额，仍冲减少数</w:t>
      </w:r>
      <w:r>
        <w:rPr>
          <w:spacing w:val="42"/>
        </w:rPr>
        <w:t> </w:t>
      </w:r>
      <w:r>
        <w:rPr>
          <w:spacing w:val="42"/>
        </w:rPr>
      </w:r>
      <w:r>
        <w:rPr/>
        <w:t>股东权益。</w:t>
      </w:r>
    </w:p>
    <w:p>
      <w:pPr>
        <w:pStyle w:val="BodyText"/>
        <w:spacing w:line="357" w:lineRule="auto" w:before="26"/>
        <w:ind w:right="1121" w:firstLine="360"/>
        <w:jc w:val="both"/>
      </w:pPr>
      <w:r>
        <w:rPr>
          <w:spacing w:val="-5"/>
        </w:rPr>
        <w:t>当因处置部分股权投资或其他原因丧失了对原有子公司的控制权时，对于剩余股权，按照其在丧失控制权日的公允价值</w:t>
      </w:r>
      <w:r>
        <w:rPr>
          <w:w w:val="101"/>
        </w:rPr>
        <w:t> </w:t>
      </w:r>
      <w:r>
        <w:rPr>
          <w:spacing w:val="-4"/>
        </w:rPr>
        <w:t>进行重新计量。处置股权取得的对价与剩余股权公允价值之和，减去按原持股比例计算应享有原有子公司自购买日开始持续</w:t>
      </w:r>
      <w:r>
        <w:rPr>
          <w:spacing w:val="43"/>
        </w:rPr>
        <w:t> </w:t>
      </w:r>
      <w:r>
        <w:rPr>
          <w:spacing w:val="43"/>
        </w:rPr>
      </w:r>
      <w:r>
        <w:rPr>
          <w:spacing w:val="-4"/>
        </w:rPr>
        <w:t>计算的净资产的份额之间的差额，计入丧失控制权当期的投资收益。与原有子公司股权投资相关的其他综合收益，在丧失控</w:t>
      </w:r>
      <w:r>
        <w:rPr>
          <w:spacing w:val="45"/>
        </w:rPr>
        <w:t> </w:t>
      </w:r>
      <w:r>
        <w:rPr>
          <w:spacing w:val="45"/>
        </w:rPr>
      </w:r>
      <w:r>
        <w:rPr>
          <w:spacing w:val="-4"/>
        </w:rPr>
        <w:t>制权时采用与被购买方直接处置相关资产或负债相同的基础进行会计处理（即，除了在该原有子公司重新计量设定受益计划</w:t>
      </w:r>
      <w:r>
        <w:rPr>
          <w:spacing w:val="38"/>
        </w:rPr>
        <w:t> </w:t>
      </w:r>
      <w:r>
        <w:rPr>
          <w:spacing w:val="38"/>
        </w:rPr>
      </w:r>
      <w:r>
        <w:rPr>
          <w:spacing w:val="-3"/>
        </w:rPr>
        <w:t>净负债或净资产导致的变动以外，其余一并转为当期投资收益）。其后，对该部分剩余股权按照《企业会计准则第</w:t>
      </w:r>
      <w:r>
        <w:rPr>
          <w:rFonts w:ascii="宋体" w:hAnsi="宋体" w:cs="宋体" w:eastAsia="宋体" w:hint="default"/>
          <w:spacing w:val="-3"/>
        </w:rPr>
        <w:t>2</w:t>
      </w:r>
      <w:r>
        <w:rPr>
          <w:spacing w:val="-3"/>
        </w:rPr>
        <w:t>号——</w:t>
      </w:r>
      <w:r>
        <w:rPr>
          <w:spacing w:val="71"/>
        </w:rPr>
        <w:t> </w:t>
      </w:r>
      <w:r>
        <w:rPr>
          <w:spacing w:val="71"/>
        </w:rPr>
      </w:r>
      <w:r>
        <w:rPr>
          <w:spacing w:val="-4"/>
        </w:rPr>
        <w:t>长期股权投资》或《企业会计准则第</w:t>
      </w:r>
      <w:r>
        <w:rPr>
          <w:rFonts w:ascii="宋体" w:hAnsi="宋体" w:cs="宋体" w:eastAsia="宋体" w:hint="default"/>
          <w:spacing w:val="-4"/>
        </w:rPr>
        <w:t>22</w:t>
      </w:r>
      <w:r>
        <w:rPr>
          <w:spacing w:val="-4"/>
        </w:rPr>
        <w:t>号——金融工具确认和计量》等相关规定进行后续计量，详见本附注五、</w:t>
      </w:r>
      <w:r>
        <w:rPr>
          <w:rFonts w:ascii="宋体" w:hAnsi="宋体" w:cs="宋体" w:eastAsia="宋体" w:hint="default"/>
          <w:spacing w:val="-4"/>
        </w:rPr>
        <w:t>14</w:t>
      </w:r>
      <w:r>
        <w:rPr>
          <w:spacing w:val="-4"/>
        </w:rPr>
        <w:t>“长期股</w:t>
      </w:r>
      <w:r>
        <w:rPr>
          <w:spacing w:val="49"/>
        </w:rPr>
        <w:t> </w:t>
      </w:r>
      <w:r>
        <w:rPr>
          <w:spacing w:val="49"/>
        </w:rPr>
      </w:r>
      <w:r>
        <w:rPr>
          <w:spacing w:val="-3"/>
        </w:rPr>
        <w:t>权投资”或本附注五、</w:t>
      </w:r>
      <w:r>
        <w:rPr>
          <w:rFonts w:ascii="宋体" w:hAnsi="宋体" w:cs="宋体" w:eastAsia="宋体" w:hint="default"/>
          <w:spacing w:val="-3"/>
        </w:rPr>
        <w:t>10</w:t>
      </w:r>
      <w:r>
        <w:rPr>
          <w:spacing w:val="-3"/>
        </w:rPr>
        <w:t>“金融工具”。</w:t>
      </w:r>
    </w:p>
    <w:p>
      <w:pPr>
        <w:pStyle w:val="BodyText"/>
        <w:spacing w:line="357" w:lineRule="auto" w:before="26"/>
        <w:ind w:right="1055" w:firstLine="360"/>
        <w:jc w:val="left"/>
      </w:pPr>
      <w:r>
        <w:rPr>
          <w:spacing w:val="-5"/>
          <w:w w:val="101"/>
        </w:rPr>
        <w:t>本公司通过多次交易分步处置对子公司股权投资直至丧失控制权的，需区分处置对子公司股权投资直至丧失控制权的各</w:t>
      </w:r>
      <w:r>
        <w:rPr>
          <w:w w:val="101"/>
        </w:rPr>
        <w:t> </w:t>
      </w:r>
      <w:r>
        <w:rPr>
          <w:spacing w:val="-4"/>
        </w:rPr>
        <w:t>项交易是否属于一揽子交易。处置对子公司股权投资的各项交易的条款、条件以及经济影响符合以下一种或多种情况，通常</w:t>
      </w:r>
      <w:r>
        <w:rPr>
          <w:spacing w:val="43"/>
        </w:rPr>
        <w:t> </w:t>
      </w:r>
      <w:r>
        <w:rPr>
          <w:spacing w:val="43"/>
        </w:rPr>
      </w:r>
      <w:r>
        <w:rPr>
          <w:spacing w:val="-4"/>
        </w:rPr>
        <w:t>表明应将多次交易事项作为一揽子交易进行会计处理：①这些交易是同时或者在考虑了彼此影响的情况下订立的；②这些交</w:t>
      </w:r>
      <w:r>
        <w:rPr>
          <w:spacing w:val="43"/>
        </w:rPr>
        <w:t> </w:t>
      </w:r>
      <w:r>
        <w:rPr>
          <w:spacing w:val="43"/>
        </w:rPr>
      </w:r>
      <w:r>
        <w:rPr>
          <w:spacing w:val="-3"/>
        </w:rPr>
        <w:t>易整体才能达成一项完整的商业结果；③一项交易的发生取决于其他至少一项交易的发生；④一项交易单独看是不经济的，</w:t>
      </w:r>
      <w:r>
        <w:rPr>
          <w:spacing w:val="66"/>
        </w:rPr>
        <w:t> </w:t>
      </w:r>
      <w:r>
        <w:rPr>
          <w:spacing w:val="66"/>
        </w:rPr>
      </w:r>
      <w:r>
        <w:rPr>
          <w:spacing w:val="-4"/>
        </w:rPr>
        <w:t>但是和其他交易一并考虑时是经济的。不属于一揽子交易的，对其中的每一项交易视情况分别按照“不丧失控制权的情况下</w:t>
      </w:r>
      <w:r>
        <w:rPr>
          <w:spacing w:val="41"/>
        </w:rPr>
        <w:t> </w:t>
      </w:r>
      <w:r>
        <w:rPr>
          <w:spacing w:val="41"/>
        </w:rPr>
      </w:r>
      <w:r>
        <w:rPr>
          <w:spacing w:val="-3"/>
        </w:rPr>
        <w:t>部分处置对子公司的长期股权投资”（详见本附注五、</w:t>
      </w:r>
      <w:r>
        <w:rPr>
          <w:rFonts w:ascii="宋体" w:hAnsi="宋体" w:cs="宋体" w:eastAsia="宋体" w:hint="default"/>
          <w:spacing w:val="-3"/>
        </w:rPr>
        <w:t>14</w:t>
      </w:r>
      <w:r>
        <w:rPr>
          <w:spacing w:val="-3"/>
        </w:rPr>
        <w:t>、（</w:t>
      </w:r>
      <w:r>
        <w:rPr>
          <w:rFonts w:ascii="宋体" w:hAnsi="宋体" w:cs="宋体" w:eastAsia="宋体" w:hint="default"/>
          <w:spacing w:val="-3"/>
        </w:rPr>
        <w:t>2</w:t>
      </w:r>
      <w:r>
        <w:rPr>
          <w:spacing w:val="-3"/>
        </w:rPr>
        <w:t>）④）和“因处置部分股权投资或其他原因丧失了对原有子</w:t>
      </w:r>
      <w:r>
        <w:rPr>
          <w:spacing w:val="74"/>
        </w:rPr>
        <w:t> </w:t>
      </w:r>
      <w:r>
        <w:rPr>
          <w:spacing w:val="74"/>
        </w:rPr>
      </w:r>
      <w:r>
        <w:rPr>
          <w:spacing w:val="-4"/>
        </w:rPr>
        <w:t>公司的控制权”（详见前段）适用的原则进行会计处理。处置对子公司股权投资直至丧失控制权的各项交易属于一揽子交易</w:t>
      </w:r>
      <w:r>
        <w:rPr>
          <w:spacing w:val="38"/>
        </w:rPr>
        <w:t> </w:t>
      </w:r>
      <w:r>
        <w:rPr>
          <w:spacing w:val="38"/>
        </w:rPr>
      </w:r>
      <w:r>
        <w:rPr>
          <w:spacing w:val="-4"/>
        </w:rPr>
        <w:t>的，将各项交易作为一项处置子公司并丧失控制权的交易进行会计处理；但是，在丧失控制权之前每一次处置价款与处置投</w:t>
      </w:r>
      <w:r>
        <w:rPr>
          <w:spacing w:val="43"/>
        </w:rPr>
        <w:t> </w:t>
      </w:r>
      <w:r>
        <w:rPr>
          <w:spacing w:val="43"/>
        </w:rPr>
      </w:r>
      <w:r>
        <w:rPr>
          <w:spacing w:val="-4"/>
        </w:rPr>
        <w:t>资对应的享有该子公司净资产份额的差额，在合并财务报表中确认为其他综合收益，在丧失控制权时一并转入丧失控制权当</w:t>
      </w:r>
      <w:r>
        <w:rPr>
          <w:spacing w:val="43"/>
        </w:rPr>
        <w:t> </w:t>
      </w:r>
      <w:r>
        <w:rPr>
          <w:spacing w:val="43"/>
        </w:rPr>
      </w:r>
      <w:r>
        <w:rPr/>
        <w:t>期的损益。</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055" w:firstLine="360"/>
        <w:jc w:val="left"/>
      </w:pPr>
      <w:r>
        <w:rPr>
          <w:spacing w:val="-3"/>
        </w:rPr>
        <w:t>合营安排，是指一项由两个或两个以上的参与方共同控制的安排。本公司根据在合营安排中享有的权利和承担的义务，</w:t>
      </w:r>
      <w:r>
        <w:rPr>
          <w:w w:val="101"/>
        </w:rPr>
        <w:t> </w:t>
      </w:r>
      <w:r>
        <w:rPr>
          <w:spacing w:val="-4"/>
        </w:rPr>
        <w:t>将合营安排分为共同经营和合营企业。共同经营，是指本公司享有该安排相关资产且承担该安排相关负债的合营安排。合营</w:t>
      </w:r>
      <w:r>
        <w:rPr>
          <w:spacing w:val="43"/>
        </w:rPr>
        <w:t> </w:t>
      </w:r>
      <w:r>
        <w:rPr>
          <w:spacing w:val="43"/>
        </w:rPr>
      </w:r>
      <w:r>
        <w:rPr>
          <w:spacing w:val="-3"/>
        </w:rPr>
        <w:t>企业，是指本公司仅对该安排的净资产享有权利的合营安排。</w:t>
      </w:r>
    </w:p>
    <w:p>
      <w:pPr>
        <w:spacing w:after="0" w:line="357"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right="1131" w:firstLine="360"/>
        <w:jc w:val="both"/>
      </w:pPr>
      <w:r>
        <w:rPr>
          <w:spacing w:val="-3"/>
        </w:rPr>
        <w:t>本公司对合营企业的投资采用权益法核算，按照本附注五、</w:t>
      </w:r>
      <w:r>
        <w:rPr>
          <w:rFonts w:ascii="宋体" w:hAnsi="宋体" w:cs="宋体" w:eastAsia="宋体" w:hint="default"/>
          <w:spacing w:val="-3"/>
        </w:rPr>
        <w:t>14</w:t>
      </w:r>
      <w:r>
        <w:rPr>
          <w:spacing w:val="-3"/>
        </w:rPr>
        <w:t>（</w:t>
      </w:r>
      <w:r>
        <w:rPr>
          <w:rFonts w:ascii="宋体" w:hAnsi="宋体" w:cs="宋体" w:eastAsia="宋体" w:hint="default"/>
          <w:spacing w:val="-3"/>
        </w:rPr>
        <w:t>2</w:t>
      </w:r>
      <w:r>
        <w:rPr>
          <w:spacing w:val="-3"/>
        </w:rPr>
        <w:t>）②“权益法核算的长期股权投资”中所述的会计政</w:t>
      </w:r>
      <w:r>
        <w:rPr>
          <w:w w:val="101"/>
        </w:rPr>
        <w:t> </w:t>
      </w:r>
      <w:r>
        <w:rPr/>
        <w:t>策处理。</w:t>
      </w:r>
    </w:p>
    <w:p>
      <w:pPr>
        <w:pStyle w:val="BodyText"/>
        <w:spacing w:line="357" w:lineRule="auto" w:before="26"/>
        <w:ind w:right="1124" w:firstLine="360"/>
        <w:jc w:val="both"/>
      </w:pPr>
      <w:r>
        <w:rPr>
          <w:spacing w:val="-4"/>
        </w:rPr>
        <w:t>本公司作为合营方对共同经营，确认本公司单独持有的资产、单独所承担的负债，以及按本公司份额确认共同持有的资</w:t>
      </w:r>
      <w:r>
        <w:rPr>
          <w:w w:val="101"/>
        </w:rPr>
        <w:t> </w:t>
      </w:r>
      <w:r>
        <w:rPr>
          <w:spacing w:val="-4"/>
        </w:rPr>
        <w:t>产和共同承担的负债；确认出售本公司享有的共同经营产出份额所产生的收入；按本公司份额确认共同经营因出售产出所产</w:t>
      </w:r>
      <w:r>
        <w:rPr>
          <w:spacing w:val="42"/>
        </w:rPr>
        <w:t> </w:t>
      </w:r>
      <w:r>
        <w:rPr>
          <w:spacing w:val="42"/>
        </w:rPr>
      </w:r>
      <w:r>
        <w:rPr>
          <w:spacing w:val="-3"/>
        </w:rPr>
        <w:t>生的收入；确认本公司单独所发生的费用，以及按本公司份额确认共同经营发生的费用。</w:t>
      </w:r>
    </w:p>
    <w:p>
      <w:pPr>
        <w:pStyle w:val="BodyText"/>
        <w:spacing w:line="357" w:lineRule="auto" w:before="26"/>
        <w:ind w:right="1124" w:firstLine="360"/>
        <w:jc w:val="both"/>
      </w:pPr>
      <w:r>
        <w:rPr>
          <w:spacing w:val="-5"/>
        </w:rPr>
        <w:t>当本公司作为合营方向共同经营投出或出售资产（该资产不构成业务，下同）、或者自共同经营购买资产时，在该等资</w:t>
      </w:r>
      <w:r>
        <w:rPr>
          <w:w w:val="101"/>
        </w:rPr>
        <w:t> </w:t>
      </w:r>
      <w:r>
        <w:rPr>
          <w:spacing w:val="-4"/>
        </w:rPr>
        <w:t>产出售给第三方之前，本公司仅确认因该交易产生的损益中归属于共同经营其他参与方的部分。该等资产发生符合《企业会</w:t>
      </w:r>
      <w:r>
        <w:rPr>
          <w:spacing w:val="43"/>
        </w:rPr>
        <w:t> </w:t>
      </w:r>
      <w:r>
        <w:rPr>
          <w:spacing w:val="43"/>
        </w:rPr>
      </w:r>
      <w:r>
        <w:rPr>
          <w:spacing w:val="-3"/>
        </w:rPr>
        <w:t>计准则第</w:t>
      </w:r>
      <w:r>
        <w:rPr>
          <w:rFonts w:ascii="宋体" w:hAnsi="宋体" w:cs="宋体" w:eastAsia="宋体" w:hint="default"/>
          <w:spacing w:val="-3"/>
        </w:rPr>
        <w:t>8</w:t>
      </w:r>
      <w:r>
        <w:rPr>
          <w:spacing w:val="-3"/>
        </w:rPr>
        <w:t>号——资产减值》等规定的资产减值损失的，对于由本公司向共同经营投出或出售资产的情况，本公司全额确认</w:t>
      </w:r>
      <w:r>
        <w:rPr>
          <w:spacing w:val="70"/>
        </w:rPr>
        <w:t> </w:t>
      </w:r>
      <w:r>
        <w:rPr>
          <w:spacing w:val="70"/>
        </w:rPr>
      </w:r>
      <w:r>
        <w:rPr>
          <w:spacing w:val="-3"/>
        </w:rPr>
        <w:t>该损失；对于本公司自共同经营购买资产的情况，本公司按承担的份额确认该损失。</w:t>
      </w:r>
    </w:p>
    <w:p>
      <w:pPr>
        <w:spacing w:line="240" w:lineRule="auto" w:before="4"/>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2"/>
          <w:szCs w:val="22"/>
        </w:rPr>
      </w:pPr>
    </w:p>
    <w:p>
      <w:pPr>
        <w:pStyle w:val="BodyText"/>
        <w:spacing w:line="352" w:lineRule="auto"/>
        <w:ind w:right="1124" w:firstLine="360"/>
        <w:jc w:val="both"/>
      </w:pPr>
      <w:r>
        <w:rPr>
          <w:spacing w:val="-4"/>
        </w:rPr>
        <w:t>本公司现金及现金等价物包括库存现金、可以随时用于支付的存款以及本公司持有的期限短（一般为从购买日起三个月</w:t>
      </w:r>
      <w:r>
        <w:rPr>
          <w:w w:val="101"/>
        </w:rPr>
        <w:t> </w:t>
      </w:r>
      <w:r>
        <w:rPr>
          <w:spacing w:val="-3"/>
        </w:rPr>
        <w:t>内到期）、流动性强、易于转换为已知金额现金、价值变动风险很小的投资。</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left="513" w:right="1055"/>
        <w:jc w:val="left"/>
      </w:pPr>
      <w:r>
        <w:rPr>
          <w:spacing w:val="-3"/>
        </w:rPr>
        <w:t>（</w:t>
      </w:r>
      <w:r>
        <w:rPr>
          <w:rFonts w:ascii="宋体" w:hAnsi="宋体" w:cs="宋体" w:eastAsia="宋体" w:hint="default"/>
          <w:spacing w:val="-3"/>
        </w:rPr>
        <w:t>1</w:t>
      </w:r>
      <w:r>
        <w:rPr>
          <w:spacing w:val="-3"/>
        </w:rPr>
        <w:t>）外币交易的折算方法</w:t>
      </w:r>
      <w:r>
        <w:rPr>
          <w:spacing w:val="-52"/>
        </w:rPr>
        <w:t> </w:t>
      </w:r>
      <w:r>
        <w:rPr>
          <w:spacing w:val="-52"/>
        </w:rPr>
      </w:r>
      <w:r>
        <w:rPr>
          <w:spacing w:val="-6"/>
        </w:rPr>
        <w:t>本公司发生的外币交易在初始确认时，按交易日的即期汇率（通常指中国人民银行公布的当日外汇牌价的中间价，下同）</w:t>
      </w:r>
    </w:p>
    <w:p>
      <w:pPr>
        <w:pStyle w:val="BodyText"/>
        <w:spacing w:line="357" w:lineRule="auto" w:before="27"/>
        <w:ind w:right="1124"/>
        <w:jc w:val="both"/>
      </w:pPr>
      <w:r>
        <w:rPr>
          <w:spacing w:val="-4"/>
        </w:rPr>
        <w:t>折算为记账本位币金额，但公司发生的外币兑换业务或涉及外币兑换的交易事项，按照实际采用的汇率折算为记账本位币金</w:t>
      </w:r>
      <w:r>
        <w:rPr>
          <w:spacing w:val="44"/>
        </w:rPr>
        <w:t> </w:t>
      </w:r>
      <w:r>
        <w:rPr>
          <w:spacing w:val="44"/>
        </w:rPr>
      </w:r>
      <w:r>
        <w:rPr/>
        <w:t>额。</w:t>
      </w:r>
    </w:p>
    <w:p>
      <w:pPr>
        <w:pStyle w:val="BodyText"/>
        <w:spacing w:line="357" w:lineRule="auto" w:before="26"/>
        <w:ind w:left="513" w:right="1055"/>
        <w:jc w:val="left"/>
      </w:pPr>
      <w:r>
        <w:rPr>
          <w:spacing w:val="-3"/>
        </w:rPr>
        <w:t>（</w:t>
      </w:r>
      <w:r>
        <w:rPr>
          <w:rFonts w:ascii="宋体" w:hAnsi="宋体" w:cs="宋体" w:eastAsia="宋体" w:hint="default"/>
          <w:spacing w:val="-3"/>
        </w:rPr>
        <w:t>2</w:t>
      </w:r>
      <w:r>
        <w:rPr>
          <w:spacing w:val="-3"/>
        </w:rPr>
        <w:t>）对于外币货币性项目和外币非货币性项目的折算方法</w:t>
      </w:r>
      <w:r>
        <w:rPr>
          <w:spacing w:val="-11"/>
        </w:rPr>
        <w:t> </w:t>
      </w:r>
      <w:r>
        <w:rPr>
          <w:spacing w:val="-11"/>
        </w:rPr>
      </w:r>
      <w:r>
        <w:rPr>
          <w:spacing w:val="-4"/>
        </w:rPr>
        <w:t>资产负债表日，对于外币货币性项目采用资产负债表日即期汇率折算，由此产生的汇兑差额，除：①属于与购建符合资</w:t>
      </w:r>
    </w:p>
    <w:p>
      <w:pPr>
        <w:pStyle w:val="BodyText"/>
        <w:spacing w:line="357" w:lineRule="auto" w:before="26"/>
        <w:ind w:right="1128"/>
        <w:jc w:val="both"/>
      </w:pPr>
      <w:r>
        <w:rPr>
          <w:spacing w:val="-4"/>
          <w:w w:val="101"/>
        </w:rPr>
        <w:t>本化条件的资产相关的外币专门借款产生的汇兑差额按照借款费用资本化的原则处理；以及②可供出售的外币货币性项目除</w:t>
      </w:r>
      <w:r>
        <w:rPr>
          <w:w w:val="101"/>
        </w:rPr>
        <w:t> </w:t>
      </w:r>
      <w:r>
        <w:rPr>
          <w:spacing w:val="-3"/>
        </w:rPr>
        <w:t>摊余成本之外的其他账面余额变动产生的汇兑差额计入其他综合收益之外，均计入当期损益。</w:t>
      </w:r>
    </w:p>
    <w:p>
      <w:pPr>
        <w:pStyle w:val="BodyText"/>
        <w:spacing w:line="357" w:lineRule="auto" w:before="26"/>
        <w:ind w:right="1124" w:firstLine="360"/>
        <w:jc w:val="both"/>
      </w:pPr>
      <w:r>
        <w:rPr>
          <w:spacing w:val="-4"/>
        </w:rPr>
        <w:t>编制合并财务报表涉及境外经营的，如有实质上构成对境外经营净投资的外币货币性项目，因汇率变动而产生的汇兑差</w:t>
      </w:r>
      <w:r>
        <w:rPr>
          <w:w w:val="101"/>
        </w:rPr>
        <w:t> </w:t>
      </w:r>
      <w:r>
        <w:rPr>
          <w:spacing w:val="-3"/>
        </w:rPr>
        <w:t>额，计入其他综合收益；处置境外经营时，转入处置当期损益。</w:t>
      </w:r>
    </w:p>
    <w:p>
      <w:pPr>
        <w:pStyle w:val="BodyText"/>
        <w:spacing w:line="357" w:lineRule="auto" w:before="26"/>
        <w:ind w:right="1123" w:firstLine="360"/>
        <w:jc w:val="both"/>
      </w:pPr>
      <w:r>
        <w:rPr>
          <w:spacing w:val="-4"/>
        </w:rPr>
        <w:t>以历史成本计量的外币非货币性项目，仍采用交易发生日的即期汇率折算的记账本位币金额计量。以公允价值计量的外</w:t>
      </w:r>
      <w:r>
        <w:rPr>
          <w:w w:val="101"/>
        </w:rPr>
        <w:t> </w:t>
      </w:r>
      <w:r>
        <w:rPr>
          <w:spacing w:val="-4"/>
        </w:rPr>
        <w:t>币非货币性项目，采用公允价值确定日的即期汇率折算，折算后的记账本位币金额与原记账本位币金额的差额，作为公允价</w:t>
      </w:r>
      <w:r>
        <w:rPr>
          <w:spacing w:val="43"/>
        </w:rPr>
        <w:t> </w:t>
      </w:r>
      <w:r>
        <w:rPr>
          <w:spacing w:val="43"/>
        </w:rPr>
      </w:r>
      <w:r>
        <w:rPr>
          <w:spacing w:val="-3"/>
        </w:rPr>
        <w:t>值变动（含汇率变动）处理，计入当期损益或确认为其他综合收益。</w:t>
      </w:r>
    </w:p>
    <w:p>
      <w:pPr>
        <w:pStyle w:val="BodyText"/>
        <w:spacing w:line="357" w:lineRule="auto" w:before="26"/>
        <w:ind w:left="513" w:right="1055"/>
        <w:jc w:val="left"/>
      </w:pPr>
      <w:r>
        <w:rPr>
          <w:spacing w:val="-3"/>
        </w:rPr>
        <w:t>（</w:t>
      </w:r>
      <w:r>
        <w:rPr>
          <w:rFonts w:ascii="宋体" w:hAnsi="宋体" w:cs="宋体" w:eastAsia="宋体" w:hint="default"/>
          <w:spacing w:val="-3"/>
        </w:rPr>
        <w:t>3</w:t>
      </w:r>
      <w:r>
        <w:rPr>
          <w:spacing w:val="-3"/>
        </w:rPr>
        <w:t>）外币财务报表的折算方法</w:t>
      </w:r>
      <w:r>
        <w:rPr>
          <w:spacing w:val="-46"/>
        </w:rPr>
        <w:t> </w:t>
      </w:r>
      <w:r>
        <w:rPr>
          <w:spacing w:val="-46"/>
        </w:rPr>
      </w:r>
      <w:r>
        <w:rPr>
          <w:spacing w:val="-4"/>
        </w:rPr>
        <w:t>编制合并财务报表涉及境外经营的，如有实质上构成对境外经营净投资的外币货币性项目，因汇率变动而产生的汇兑差</w:t>
      </w:r>
    </w:p>
    <w:p>
      <w:pPr>
        <w:pStyle w:val="BodyText"/>
        <w:spacing w:line="357" w:lineRule="auto" w:before="26"/>
        <w:ind w:left="513" w:right="1055" w:hanging="360"/>
        <w:jc w:val="left"/>
      </w:pPr>
      <w:r>
        <w:rPr>
          <w:spacing w:val="-3"/>
        </w:rPr>
        <w:t>额，作为“外币报表折算差额”确认为其他综合收益；处置境外经营时，计入处置当期损益。</w:t>
      </w:r>
      <w:r>
        <w:rPr>
          <w:spacing w:val="31"/>
        </w:rPr>
        <w:t> </w:t>
      </w:r>
      <w:r>
        <w:rPr>
          <w:spacing w:val="31"/>
        </w:rPr>
      </w:r>
      <w:r>
        <w:rPr>
          <w:spacing w:val="-4"/>
        </w:rPr>
        <w:t>境外经营的外币财务报表按以下方法折算为人民币报表：资产负债表中的资产和负债项目，采用资产负债表日的即期汇</w:t>
      </w:r>
    </w:p>
    <w:p>
      <w:pPr>
        <w:pStyle w:val="BodyText"/>
        <w:spacing w:line="355" w:lineRule="auto" w:before="26"/>
        <w:ind w:right="1123"/>
        <w:jc w:val="both"/>
      </w:pPr>
      <w:r>
        <w:rPr>
          <w:spacing w:val="-4"/>
        </w:rPr>
        <w:t>率折算；股东权益类项目除“未分配利润”项目外，其他项目采用发生时的即期汇率折算。利润表中的收入和费用项目，采</w:t>
      </w:r>
      <w:r>
        <w:rPr>
          <w:spacing w:val="39"/>
        </w:rPr>
        <w:t> </w:t>
      </w:r>
      <w:r>
        <w:rPr>
          <w:spacing w:val="39"/>
        </w:rPr>
      </w:r>
      <w:r>
        <w:rPr>
          <w:spacing w:val="-4"/>
        </w:rPr>
        <w:t>用交易发生日的即期汇率折算。年初未分配利润为上一年折算后的年末未分配利润；年末未分配利润按折算后的利润分配各</w:t>
      </w:r>
      <w:r>
        <w:rPr>
          <w:spacing w:val="42"/>
        </w:rPr>
        <w:t> </w:t>
      </w:r>
      <w:r>
        <w:rPr>
          <w:spacing w:val="42"/>
        </w:rPr>
      </w:r>
      <w:r>
        <w:rPr>
          <w:spacing w:val="-4"/>
        </w:rPr>
        <w:t>项目计算列示；折算后资产类项目与负债类项目和股东权益类项目合计数的差额，作为外币报表折算差额，确认为其他综合</w:t>
      </w:r>
      <w:r>
        <w:rPr>
          <w:spacing w:val="43"/>
        </w:rPr>
        <w:t> </w:t>
      </w:r>
      <w:r>
        <w:rPr>
          <w:spacing w:val="43"/>
        </w:rPr>
      </w:r>
      <w:r>
        <w:rPr>
          <w:spacing w:val="-4"/>
        </w:rPr>
        <w:t>收益。处置境外经营并丧失控制权时，将资产负债表中股东权益项目下列示的、与该境外经营相关的外币报表折算差额，全</w:t>
      </w:r>
      <w:r>
        <w:rPr>
          <w:spacing w:val="40"/>
        </w:rPr>
        <w:t> </w:t>
      </w:r>
      <w:r>
        <w:rPr>
          <w:spacing w:val="40"/>
        </w:rPr>
      </w:r>
      <w:r>
        <w:rPr>
          <w:spacing w:val="-3"/>
        </w:rPr>
        <w:t>部或按处置该境外经营的比例转入处置当期损益。</w:t>
      </w:r>
    </w:p>
    <w:p>
      <w:pPr>
        <w:pStyle w:val="BodyText"/>
        <w:spacing w:line="357" w:lineRule="auto" w:before="28"/>
        <w:ind w:right="1122" w:firstLine="360"/>
        <w:jc w:val="both"/>
      </w:pPr>
      <w:r>
        <w:rPr>
          <w:spacing w:val="-4"/>
        </w:rPr>
        <w:t>外币现金流量以及境外子公司的现金流量，采用现金流量发生日的即期汇率折算。汇率变动对现金的影响额作为调节项</w:t>
      </w:r>
      <w:r>
        <w:rPr>
          <w:w w:val="101"/>
        </w:rPr>
        <w:t> </w:t>
      </w:r>
      <w:r>
        <w:rPr>
          <w:spacing w:val="-3"/>
        </w:rPr>
        <w:t>目，在现金流量表中单独列报。</w:t>
      </w:r>
    </w:p>
    <w:p>
      <w:pPr>
        <w:spacing w:after="0" w:line="357" w:lineRule="auto"/>
        <w:jc w:val="both"/>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left="513" w:right="1055"/>
        <w:jc w:val="left"/>
      </w:pPr>
      <w:r>
        <w:rPr>
          <w:spacing w:val="-3"/>
        </w:rPr>
        <w:t>年初数和上年实际数按照上年财务报表折算后的数额列示。</w:t>
      </w:r>
      <w:r>
        <w:rPr>
          <w:spacing w:val="-10"/>
        </w:rPr>
        <w:t> </w:t>
      </w:r>
      <w:r>
        <w:rPr>
          <w:spacing w:val="-10"/>
        </w:rPr>
      </w:r>
      <w:r>
        <w:rPr>
          <w:spacing w:val="-5"/>
          <w:w w:val="101"/>
        </w:rPr>
        <w:t>在处置本公司在境外经营的全部所有者权益或因处置部分股权投资或其他原因丧失了对境外经营控制权时，将资产负债</w:t>
      </w:r>
      <w:r>
        <w:rPr>
          <w:spacing w:val="-5"/>
        </w:rPr>
      </w:r>
    </w:p>
    <w:p>
      <w:pPr>
        <w:pStyle w:val="BodyText"/>
        <w:spacing w:line="357" w:lineRule="auto" w:before="26"/>
        <w:ind w:right="1055"/>
        <w:jc w:val="left"/>
      </w:pPr>
      <w:r>
        <w:rPr>
          <w:spacing w:val="-3"/>
        </w:rPr>
        <w:t>表中股东权益</w:t>
      </w:r>
      <w:r>
        <w:rPr>
          <w:rFonts w:ascii="宋体" w:hAnsi="宋体" w:cs="宋体" w:eastAsia="宋体" w:hint="default"/>
          <w:spacing w:val="-3"/>
        </w:rPr>
        <w:t>/</w:t>
      </w:r>
      <w:r>
        <w:rPr>
          <w:spacing w:val="-3"/>
        </w:rPr>
        <w:t>所有者权益项目下列示的、与该境外经营相关的归属于母公司所有者权益的外币报表折算差额，全部转入处</w:t>
      </w:r>
      <w:r>
        <w:rPr>
          <w:spacing w:val="70"/>
        </w:rPr>
        <w:t> </w:t>
      </w:r>
      <w:r>
        <w:rPr>
          <w:spacing w:val="70"/>
        </w:rPr>
      </w:r>
      <w:r>
        <w:rPr/>
        <w:t>置当期损益。</w:t>
      </w:r>
    </w:p>
    <w:p>
      <w:pPr>
        <w:pStyle w:val="BodyText"/>
        <w:spacing w:line="357" w:lineRule="auto" w:before="26"/>
        <w:ind w:right="1055" w:firstLine="360"/>
        <w:jc w:val="left"/>
      </w:pPr>
      <w:r>
        <w:rPr>
          <w:spacing w:val="-5"/>
          <w:w w:val="101"/>
        </w:rPr>
        <w:t>在处置部分股权投资或其他原因导致持有境外经营权益比例降低但不丧失对境外经营控制权时，与该境外经营处置部分</w:t>
      </w:r>
      <w:r>
        <w:rPr>
          <w:w w:val="101"/>
        </w:rPr>
        <w:t> </w:t>
      </w:r>
      <w:r>
        <w:rPr>
          <w:spacing w:val="-3"/>
        </w:rPr>
        <w:t>相关的外币报表折算差额将归属于少数股东权益，不转入当期损益。在处置境外经营为联营企业或合营企业的部分股权时，</w:t>
      </w:r>
      <w:r>
        <w:rPr>
          <w:spacing w:val="67"/>
        </w:rPr>
        <w:t> </w:t>
      </w:r>
      <w:r>
        <w:rPr>
          <w:spacing w:val="67"/>
        </w:rPr>
      </w:r>
      <w:r>
        <w:rPr>
          <w:spacing w:val="-3"/>
        </w:rPr>
        <w:t>与该境外经营相关的外币报表折算差额，按处置该境外经营的比例转入处置当期损益。</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055" w:firstLine="360"/>
        <w:jc w:val="left"/>
      </w:pPr>
      <w:r>
        <w:rPr>
          <w:spacing w:val="-3"/>
        </w:rPr>
        <w:t>在本公司成为金融工具合同的一方时确认一项金融资产或金融负债。金融资产和金融负债在初始确认时以公允价值计</w:t>
      </w:r>
      <w:r>
        <w:rPr>
          <w:w w:val="101"/>
        </w:rPr>
        <w:t> </w:t>
      </w:r>
      <w:r>
        <w:rPr>
          <w:spacing w:val="-4"/>
        </w:rPr>
        <w:t>量。对于以公允价值计量且其变动计入当期损益的金融资产和金融负债，相关的交易费用直接计入损益；对于其他类别的金</w:t>
      </w:r>
      <w:r>
        <w:rPr>
          <w:spacing w:val="43"/>
        </w:rPr>
        <w:t> </w:t>
      </w:r>
      <w:r>
        <w:rPr>
          <w:spacing w:val="43"/>
        </w:rPr>
      </w:r>
      <w:r>
        <w:rPr>
          <w:spacing w:val="-3"/>
        </w:rPr>
        <w:t>融资产和金融负债，相关交易费用计入初始确认金额。</w:t>
      </w:r>
    </w:p>
    <w:p>
      <w:pPr>
        <w:pStyle w:val="BodyText"/>
        <w:spacing w:line="357" w:lineRule="auto" w:before="22"/>
        <w:ind w:left="513" w:right="1055"/>
        <w:jc w:val="left"/>
      </w:pPr>
      <w:r>
        <w:rPr>
          <w:spacing w:val="-3"/>
        </w:rPr>
        <w:t>（</w:t>
      </w:r>
      <w:r>
        <w:rPr>
          <w:rFonts w:ascii="宋体" w:hAnsi="宋体" w:cs="宋体" w:eastAsia="宋体" w:hint="default"/>
          <w:spacing w:val="-3"/>
        </w:rPr>
        <w:t>1</w:t>
      </w:r>
      <w:r>
        <w:rPr>
          <w:spacing w:val="-3"/>
        </w:rPr>
        <w:t>）金融资产和金融负债的公允价值确定方法</w:t>
      </w:r>
      <w:r>
        <w:rPr>
          <w:spacing w:val="-23"/>
        </w:rPr>
        <w:t> </w:t>
      </w:r>
      <w:r>
        <w:rPr>
          <w:spacing w:val="-23"/>
        </w:rPr>
      </w:r>
      <w:r>
        <w:rPr>
          <w:spacing w:val="-4"/>
        </w:rPr>
        <w:t>公允价值，是指市场参与者在计量日发生的有序交易中，出售一项资产所能收到或者转移一项负债所需支付的价格。金</w:t>
      </w:r>
    </w:p>
    <w:p>
      <w:pPr>
        <w:pStyle w:val="BodyText"/>
        <w:spacing w:line="357" w:lineRule="auto" w:before="26"/>
        <w:ind w:right="1055"/>
        <w:jc w:val="left"/>
      </w:pPr>
      <w:r>
        <w:rPr>
          <w:spacing w:val="-6"/>
        </w:rPr>
        <w:t>融工具存在活跃市场的，本公司采用活跃市场中的报价确定其公允价值。活跃市场中的报价是指易于定期从交易所、经纪商、</w:t>
      </w:r>
      <w:r>
        <w:rPr>
          <w:spacing w:val="63"/>
        </w:rPr>
        <w:t> </w:t>
      </w:r>
      <w:r>
        <w:rPr>
          <w:spacing w:val="63"/>
        </w:rPr>
      </w:r>
      <w:r>
        <w:rPr>
          <w:spacing w:val="-3"/>
        </w:rPr>
        <w:t>行业协会、定价服务机构等获得的价格，且代表了在公平交易中实际发生的市场交易的价格。金融工具不存在活跃市场的，</w:t>
      </w:r>
      <w:r>
        <w:rPr>
          <w:spacing w:val="66"/>
        </w:rPr>
        <w:t> </w:t>
      </w:r>
      <w:r>
        <w:rPr>
          <w:spacing w:val="66"/>
        </w:rPr>
      </w:r>
      <w:r>
        <w:rPr>
          <w:spacing w:val="-4"/>
        </w:rPr>
        <w:t>本公司采用估值技术确定其公允价值。估值技术包括参考熟悉情况并自愿交易的各方最近进行的市场交易中使用的价格、参</w:t>
      </w:r>
      <w:r>
        <w:rPr>
          <w:spacing w:val="43"/>
        </w:rPr>
        <w:t> </w:t>
      </w:r>
      <w:r>
        <w:rPr>
          <w:spacing w:val="43"/>
        </w:rPr>
      </w:r>
      <w:r>
        <w:rPr>
          <w:spacing w:val="-3"/>
        </w:rPr>
        <w:t>照实质上相同的其他金融工具当前的公允价值、现金流量折现法和期权定价模型等。</w:t>
      </w:r>
    </w:p>
    <w:p>
      <w:pPr>
        <w:pStyle w:val="BodyText"/>
        <w:spacing w:line="357" w:lineRule="auto" w:before="26"/>
        <w:ind w:left="513" w:right="1055"/>
        <w:jc w:val="left"/>
      </w:pPr>
      <w:r>
        <w:rPr>
          <w:spacing w:val="-3"/>
        </w:rPr>
        <w:t>（</w:t>
      </w:r>
      <w:r>
        <w:rPr>
          <w:rFonts w:ascii="宋体" w:hAnsi="宋体" w:cs="宋体" w:eastAsia="宋体" w:hint="default"/>
          <w:spacing w:val="-3"/>
        </w:rPr>
        <w:t>2</w:t>
      </w:r>
      <w:r>
        <w:rPr>
          <w:spacing w:val="-3"/>
        </w:rPr>
        <w:t>）金融资产的分类、确认和计量</w:t>
      </w:r>
      <w:r>
        <w:rPr>
          <w:spacing w:val="-40"/>
        </w:rPr>
        <w:t> </w:t>
      </w:r>
      <w:r>
        <w:rPr>
          <w:spacing w:val="-40"/>
        </w:rPr>
      </w:r>
      <w:r>
        <w:rPr>
          <w:spacing w:val="-4"/>
        </w:rPr>
        <w:t>以常规方式买卖金融资产，按交易日进行会计确认和终止确认。金融资产在初始确认时划分为以公允价值计量且其变动</w:t>
      </w:r>
    </w:p>
    <w:p>
      <w:pPr>
        <w:pStyle w:val="BodyText"/>
        <w:spacing w:line="240" w:lineRule="auto" w:before="26"/>
        <w:ind w:right="1055"/>
        <w:jc w:val="left"/>
      </w:pPr>
      <w:r>
        <w:rPr>
          <w:spacing w:val="-3"/>
        </w:rPr>
        <w:t>计入当期损益的金融资产、持有至到期投资、应收款项以及可供出售金融资产。</w:t>
      </w:r>
    </w:p>
    <w:p>
      <w:pPr>
        <w:pStyle w:val="BodyText"/>
        <w:spacing w:line="357" w:lineRule="auto" w:before="115"/>
        <w:ind w:left="513" w:right="1055"/>
        <w:jc w:val="left"/>
      </w:pPr>
      <w:r>
        <w:rPr>
          <w:spacing w:val="-3"/>
        </w:rPr>
        <w:t>①以公允价值计量且其变动计入当期损益的金融资产</w:t>
      </w:r>
      <w:r>
        <w:rPr>
          <w:spacing w:val="-21"/>
        </w:rPr>
        <w:t> </w:t>
      </w:r>
      <w:r>
        <w:rPr>
          <w:spacing w:val="-21"/>
        </w:rPr>
      </w:r>
      <w:r>
        <w:rPr>
          <w:spacing w:val="-3"/>
        </w:rPr>
        <w:t>包括交易性金融资产和指定为以公允价值计量且其变动计入当期损益的金融资产。</w:t>
      </w:r>
      <w:r>
        <w:rPr>
          <w:spacing w:val="14"/>
        </w:rPr>
        <w:t> </w:t>
      </w:r>
      <w:r>
        <w:rPr>
          <w:spacing w:val="14"/>
        </w:rPr>
      </w:r>
      <w:r>
        <w:rPr>
          <w:spacing w:val="-4"/>
        </w:rPr>
        <w:t>交易性金融资产是指满足下列条件之一的金融资产：</w:t>
      </w:r>
      <w:r>
        <w:rPr>
          <w:rFonts w:ascii="宋体" w:hAnsi="宋体" w:cs="宋体" w:eastAsia="宋体" w:hint="default"/>
          <w:spacing w:val="-4"/>
        </w:rPr>
        <w:t>A.</w:t>
      </w:r>
      <w:r>
        <w:rPr>
          <w:spacing w:val="-4"/>
        </w:rPr>
        <w:t>取得该金融资产的目的，主要是为了近期内出售；</w:t>
      </w:r>
      <w:r>
        <w:rPr>
          <w:rFonts w:ascii="宋体" w:hAnsi="宋体" w:cs="宋体" w:eastAsia="宋体" w:hint="default"/>
          <w:spacing w:val="-4"/>
        </w:rPr>
        <w:t>B.</w:t>
      </w:r>
      <w:r>
        <w:rPr>
          <w:spacing w:val="-4"/>
        </w:rPr>
        <w:t>属于进行集</w:t>
      </w:r>
    </w:p>
    <w:p>
      <w:pPr>
        <w:pStyle w:val="BodyText"/>
        <w:spacing w:line="357" w:lineRule="auto" w:before="26"/>
        <w:ind w:right="1122"/>
        <w:jc w:val="both"/>
      </w:pPr>
      <w:r>
        <w:rPr>
          <w:spacing w:val="-4"/>
        </w:rPr>
        <w:t>中管理的可辨认金融工具组合的一部分，且有客观证据表明本公司近期采用短期获利方式对该组合进行管理；</w:t>
      </w:r>
      <w:r>
        <w:rPr>
          <w:rFonts w:ascii="宋体" w:hAnsi="宋体" w:cs="宋体" w:eastAsia="宋体" w:hint="default"/>
          <w:spacing w:val="-4"/>
        </w:rPr>
        <w:t>C.</w:t>
      </w:r>
      <w:r>
        <w:rPr>
          <w:spacing w:val="-4"/>
        </w:rPr>
        <w:t>属于衍生工</w:t>
      </w:r>
      <w:r>
        <w:rPr>
          <w:spacing w:val="48"/>
        </w:rPr>
        <w:t> </w:t>
      </w:r>
      <w:r>
        <w:rPr>
          <w:spacing w:val="48"/>
        </w:rPr>
      </w:r>
      <w:r>
        <w:rPr>
          <w:spacing w:val="-4"/>
        </w:rPr>
        <w:t>具，但是，被指定且为有效套期工具的衍生工具、属于财务担保合同的衍生工具、与在活跃市场中没有报价且其公允价值不</w:t>
      </w:r>
      <w:r>
        <w:rPr>
          <w:spacing w:val="41"/>
        </w:rPr>
        <w:t> </w:t>
      </w:r>
      <w:r>
        <w:rPr>
          <w:spacing w:val="41"/>
        </w:rPr>
      </w:r>
      <w:r>
        <w:rPr>
          <w:spacing w:val="-3"/>
        </w:rPr>
        <w:t>能可靠计量的权益工具投资挂钩并须通过交付该权益工具结算的衍生工具除外。</w:t>
      </w:r>
    </w:p>
    <w:p>
      <w:pPr>
        <w:pStyle w:val="BodyText"/>
        <w:spacing w:line="357" w:lineRule="auto" w:before="27"/>
        <w:ind w:right="1122" w:firstLine="360"/>
        <w:jc w:val="both"/>
      </w:pPr>
      <w:r>
        <w:rPr>
          <w:spacing w:val="-4"/>
        </w:rPr>
        <w:t>符合下述条件之一的金融资产，在初始确认时可指定为以公允价值计量且其变动计入当期损益的金融资产：</w:t>
      </w:r>
      <w:r>
        <w:rPr>
          <w:rFonts w:ascii="宋体" w:hAnsi="宋体" w:cs="宋体" w:eastAsia="宋体" w:hint="default"/>
          <w:spacing w:val="-4"/>
        </w:rPr>
        <w:t>A.</w:t>
      </w:r>
      <w:r>
        <w:rPr>
          <w:spacing w:val="-4"/>
        </w:rPr>
        <w:t>该指定可</w:t>
      </w:r>
      <w:r>
        <w:rPr>
          <w:w w:val="101"/>
        </w:rPr>
        <w:t> </w:t>
      </w:r>
      <w:r>
        <w:rPr>
          <w:spacing w:val="-4"/>
          <w:w w:val="101"/>
        </w:rPr>
        <w:t>以消除或明显减少由于该金融资产的计量基础不同所导致的相关利得或损失在确认或计量方面不一致的情况；</w:t>
      </w:r>
      <w:r>
        <w:rPr>
          <w:rFonts w:ascii="宋体" w:hAnsi="宋体" w:cs="宋体" w:eastAsia="宋体" w:hint="default"/>
          <w:spacing w:val="-4"/>
          <w:w w:val="101"/>
        </w:rPr>
        <w:t>B.</w:t>
      </w:r>
      <w:r>
        <w:rPr>
          <w:spacing w:val="-4"/>
          <w:w w:val="101"/>
        </w:rPr>
        <w:t>本公司风险</w:t>
      </w:r>
      <w:r>
        <w:rPr>
          <w:spacing w:val="-87"/>
          <w:w w:val="101"/>
        </w:rPr>
        <w:t> </w:t>
      </w:r>
      <w:r>
        <w:rPr>
          <w:spacing w:val="-87"/>
          <w:w w:val="101"/>
        </w:rPr>
      </w:r>
      <w:r>
        <w:rPr>
          <w:spacing w:val="-4"/>
          <w:w w:val="101"/>
        </w:rPr>
        <w:t>管理或投资策略的正式书面文件已载明，对该金融资产所在的金融资产组合或金融资产和金融负债组合以公允价值为基础进</w:t>
      </w:r>
      <w:r>
        <w:rPr>
          <w:w w:val="101"/>
        </w:rPr>
        <w:t> </w:t>
      </w:r>
      <w:r>
        <w:rPr>
          <w:spacing w:val="-3"/>
        </w:rPr>
        <w:t>行管理、评价并向关键管理人员报告。</w:t>
      </w:r>
    </w:p>
    <w:p>
      <w:pPr>
        <w:pStyle w:val="BodyText"/>
        <w:spacing w:line="352" w:lineRule="auto" w:before="26"/>
        <w:ind w:right="1055" w:firstLine="360"/>
        <w:jc w:val="left"/>
      </w:pPr>
      <w:r>
        <w:rPr>
          <w:spacing w:val="-5"/>
          <w:w w:val="101"/>
        </w:rPr>
        <w:t>以公允价值计量且其变动计入当期损益的金融资产采用公允价值进行后续计量，公允价值变动形成的利得或损失以及与</w:t>
      </w:r>
      <w:r>
        <w:rPr>
          <w:w w:val="101"/>
        </w:rPr>
        <w:t> </w:t>
      </w:r>
      <w:r>
        <w:rPr>
          <w:spacing w:val="-3"/>
        </w:rPr>
        <w:t>该等金融资产相关的股利和利息收入计入当期损益。</w:t>
      </w:r>
    </w:p>
    <w:p>
      <w:pPr>
        <w:pStyle w:val="BodyText"/>
        <w:spacing w:line="357" w:lineRule="auto" w:before="30"/>
        <w:ind w:left="513" w:right="1055"/>
        <w:jc w:val="left"/>
      </w:pPr>
      <w:r>
        <w:rPr/>
        <w:t>②持有至到期投资</w:t>
      </w:r>
      <w:r>
        <w:rPr>
          <w:spacing w:val="-86"/>
        </w:rPr>
        <w:t> </w:t>
      </w:r>
      <w:r>
        <w:rPr>
          <w:spacing w:val="-86"/>
        </w:rPr>
      </w:r>
      <w:r>
        <w:rPr>
          <w:spacing w:val="-3"/>
        </w:rPr>
        <w:t>是指到期日固定、回收金额固定或可确定，且本公司有明确意图和能力持有至到期的非衍生金融资产。</w:t>
      </w:r>
      <w:r>
        <w:rPr>
          <w:spacing w:val="42"/>
        </w:rPr>
        <w:t> </w:t>
      </w:r>
      <w:r>
        <w:rPr>
          <w:spacing w:val="42"/>
        </w:rPr>
      </w:r>
      <w:r>
        <w:rPr>
          <w:spacing w:val="-5"/>
        </w:rPr>
        <w:t>持有至到期投资采用实际利率法，按摊余成本进行后续计量，在终止确认、发生减值或摊销时产生的利得或损失，计入</w:t>
      </w:r>
    </w:p>
    <w:p>
      <w:pPr>
        <w:pStyle w:val="BodyText"/>
        <w:spacing w:line="240" w:lineRule="auto" w:before="26"/>
        <w:ind w:right="1055"/>
        <w:jc w:val="left"/>
      </w:pPr>
      <w:r>
        <w:rPr/>
        <w:t>当期损益。</w:t>
      </w:r>
    </w:p>
    <w:p>
      <w:pPr>
        <w:pStyle w:val="BodyText"/>
        <w:spacing w:line="357" w:lineRule="auto" w:before="115"/>
        <w:ind w:right="1055" w:firstLine="360"/>
        <w:jc w:val="left"/>
      </w:pPr>
      <w:r>
        <w:rPr>
          <w:spacing w:val="-4"/>
        </w:rPr>
        <w:t>实际利率法是指按照金融资产或金融负债（含一组金融资产或金融负债）的实际利率计算其摊余成本及各期利息收入或</w:t>
      </w:r>
      <w:r>
        <w:rPr>
          <w:w w:val="101"/>
        </w:rPr>
        <w:t> </w:t>
      </w:r>
      <w:r>
        <w:rPr>
          <w:spacing w:val="-4"/>
        </w:rPr>
        <w:t>支出的方法。实际利率是指将金融资产或金融负债在预期存续期间或适用的更短期间内的未来现金流量，折现为该金融资产</w:t>
      </w:r>
    </w:p>
    <w:p>
      <w:pPr>
        <w:spacing w:after="0" w:line="357"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left="513" w:right="1055" w:hanging="360"/>
        <w:jc w:val="left"/>
      </w:pPr>
      <w:r>
        <w:rPr>
          <w:spacing w:val="-3"/>
        </w:rPr>
        <w:t>或金融负债当前账面价值所使用的利率。</w:t>
      </w:r>
      <w:r>
        <w:rPr>
          <w:spacing w:val="-33"/>
        </w:rPr>
        <w:t> </w:t>
      </w:r>
      <w:r>
        <w:rPr>
          <w:spacing w:val="-33"/>
        </w:rPr>
      </w:r>
      <w:r>
        <w:rPr>
          <w:spacing w:val="-4"/>
        </w:rPr>
        <w:t>在计算实际利率时，本公司将在考虑金融资产或金融负债所有合同条款的基础上预计未来现金流量（不考虑未来的信用</w:t>
      </w:r>
    </w:p>
    <w:p>
      <w:pPr>
        <w:pStyle w:val="BodyText"/>
        <w:spacing w:line="357" w:lineRule="auto" w:before="26"/>
        <w:ind w:right="1124"/>
        <w:jc w:val="both"/>
      </w:pPr>
      <w:r>
        <w:rPr>
          <w:spacing w:val="-4"/>
        </w:rPr>
        <w:t>损失），同时还将考虑金融资产或金融负债合同各方之间支付或收取的、属于实际利率组成部分的各项收费、交易费用及折</w:t>
      </w:r>
      <w:r>
        <w:rPr>
          <w:spacing w:val="40"/>
        </w:rPr>
        <w:t> </w:t>
      </w:r>
      <w:r>
        <w:rPr>
          <w:spacing w:val="40"/>
        </w:rPr>
      </w:r>
      <w:r>
        <w:rPr/>
        <w:t>价或溢价等。</w:t>
      </w:r>
    </w:p>
    <w:p>
      <w:pPr>
        <w:pStyle w:val="BodyText"/>
        <w:spacing w:line="357" w:lineRule="auto" w:before="26"/>
        <w:ind w:left="513" w:right="1004"/>
        <w:jc w:val="left"/>
      </w:pPr>
      <w:r>
        <w:rPr/>
        <w:t>③应收款项</w:t>
      </w:r>
      <w:r>
        <w:rPr>
          <w:w w:val="101"/>
        </w:rPr>
        <w:t> </w:t>
      </w:r>
      <w:r>
        <w:rPr>
          <w:spacing w:val="-6"/>
          <w:w w:val="101"/>
        </w:rPr>
        <w:t>是指在活跃市场中没有报价、回收金额固定或可确定的非衍生金融资产。本公司划分为应收款的金融资产包括应收票据、</w:t>
      </w:r>
      <w:r>
        <w:rPr>
          <w:spacing w:val="-6"/>
        </w:rPr>
      </w:r>
    </w:p>
    <w:p>
      <w:pPr>
        <w:pStyle w:val="BodyText"/>
        <w:spacing w:line="357" w:lineRule="auto" w:before="26"/>
        <w:ind w:left="513" w:right="1055" w:hanging="360"/>
        <w:jc w:val="left"/>
      </w:pPr>
      <w:r>
        <w:rPr>
          <w:spacing w:val="-3"/>
        </w:rPr>
        <w:t>应收账款、应收利息、应收股利及其他应收款等。</w:t>
      </w:r>
      <w:r>
        <w:rPr>
          <w:spacing w:val="-22"/>
        </w:rPr>
        <w:t> </w:t>
      </w:r>
      <w:r>
        <w:rPr>
          <w:spacing w:val="-22"/>
        </w:rPr>
      </w:r>
      <w:r>
        <w:rPr>
          <w:spacing w:val="-5"/>
        </w:rPr>
        <w:t>应收款项采用实际利率法，按摊余成本进行后续计量，在终止确认、发生减值或摊销时产生的利得或损失，计入当期损</w:t>
      </w:r>
    </w:p>
    <w:p>
      <w:pPr>
        <w:pStyle w:val="BodyText"/>
        <w:spacing w:line="240" w:lineRule="auto" w:before="27"/>
        <w:ind w:right="1055"/>
        <w:jc w:val="left"/>
      </w:pPr>
      <w:r>
        <w:rPr/>
        <w:t>益。</w:t>
      </w:r>
    </w:p>
    <w:p>
      <w:pPr>
        <w:pStyle w:val="BodyText"/>
        <w:spacing w:line="352" w:lineRule="auto" w:before="115"/>
        <w:ind w:left="513" w:right="1055"/>
        <w:jc w:val="left"/>
      </w:pPr>
      <w:r>
        <w:rPr>
          <w:spacing w:val="-3"/>
        </w:rPr>
        <w:t>④可供出售金融资产</w:t>
      </w:r>
      <w:r>
        <w:rPr>
          <w:spacing w:val="-62"/>
        </w:rPr>
        <w:t> </w:t>
      </w:r>
      <w:r>
        <w:rPr>
          <w:spacing w:val="-62"/>
        </w:rPr>
      </w:r>
      <w:r>
        <w:rPr>
          <w:spacing w:val="-3"/>
        </w:rPr>
        <w:t>包括初始确认时即被指定为可供出售的非衍生金融资产，以及除了以公允价值计量且其变动计入当期损益的金融资产、</w:t>
      </w:r>
    </w:p>
    <w:p>
      <w:pPr>
        <w:pStyle w:val="BodyText"/>
        <w:spacing w:line="357" w:lineRule="auto" w:before="30"/>
        <w:ind w:left="513" w:right="1055" w:hanging="360"/>
        <w:jc w:val="left"/>
      </w:pPr>
      <w:r>
        <w:rPr>
          <w:spacing w:val="-3"/>
        </w:rPr>
        <w:t>贷款和应收款项、持有至到期投资以外的金融资产。</w:t>
      </w:r>
      <w:r>
        <w:rPr>
          <w:spacing w:val="-21"/>
        </w:rPr>
        <w:t> </w:t>
      </w:r>
      <w:r>
        <w:rPr>
          <w:spacing w:val="-21"/>
        </w:rPr>
      </w:r>
      <w:r>
        <w:rPr>
          <w:spacing w:val="-4"/>
        </w:rPr>
        <w:t>可供出售债务工具投资的期末成本按照摊余成本法确定，即初始确认金额扣除已偿还的本金，加上或减去采用实际利率</w:t>
      </w:r>
    </w:p>
    <w:p>
      <w:pPr>
        <w:pStyle w:val="BodyText"/>
        <w:spacing w:line="357" w:lineRule="auto" w:before="27"/>
        <w:ind w:right="1128"/>
        <w:jc w:val="both"/>
      </w:pPr>
      <w:r>
        <w:rPr>
          <w:spacing w:val="-4"/>
        </w:rPr>
        <w:t>法将该初始确认金额与到期日金额之间的差额进行摊销形成的累计摊销额，并扣除已发生的减值损失后的金额。可供出售权</w:t>
      </w:r>
      <w:r>
        <w:rPr>
          <w:spacing w:val="38"/>
        </w:rPr>
        <w:t> </w:t>
      </w:r>
      <w:r>
        <w:rPr>
          <w:spacing w:val="38"/>
        </w:rPr>
      </w:r>
      <w:r>
        <w:rPr>
          <w:spacing w:val="-3"/>
        </w:rPr>
        <w:t>益工具投资的期末成本为其初始取得成本。</w:t>
      </w:r>
    </w:p>
    <w:p>
      <w:pPr>
        <w:pStyle w:val="BodyText"/>
        <w:spacing w:line="357" w:lineRule="auto" w:before="26"/>
        <w:ind w:right="1123" w:firstLine="360"/>
        <w:jc w:val="both"/>
      </w:pPr>
      <w:r>
        <w:rPr>
          <w:spacing w:val="-4"/>
        </w:rPr>
        <w:t>可供出售金融资产采用公允价值进行后续计量，公允价值变动形成的利得或损失，除减值损失和外币货币性金融资产与</w:t>
      </w:r>
      <w:r>
        <w:rPr>
          <w:w w:val="101"/>
        </w:rPr>
        <w:t> </w:t>
      </w:r>
      <w:r>
        <w:rPr>
          <w:spacing w:val="-4"/>
        </w:rPr>
        <w:t>摊余成本相关的汇兑差额计入当期损益外，确认为其他综合收益，在该金融资产终止确认时转出，计入当期损益。但是，在</w:t>
      </w:r>
      <w:r>
        <w:rPr>
          <w:spacing w:val="40"/>
        </w:rPr>
        <w:t> </w:t>
      </w:r>
      <w:r>
        <w:rPr>
          <w:spacing w:val="40"/>
        </w:rPr>
      </w:r>
      <w:r>
        <w:rPr>
          <w:spacing w:val="-4"/>
          <w:w w:val="101"/>
        </w:rPr>
        <w:t>活跃市场中没有报价且其公允价值不能可靠计量的权益工具投资，以及与该权益工具挂钩并须通过交付该权益工具结算的衍</w:t>
      </w:r>
      <w:r>
        <w:rPr>
          <w:w w:val="101"/>
        </w:rPr>
        <w:t> </w:t>
      </w:r>
      <w:r>
        <w:rPr>
          <w:spacing w:val="-3"/>
        </w:rPr>
        <w:t>生金融资产，按照成本进行后续计量。</w:t>
      </w:r>
    </w:p>
    <w:p>
      <w:pPr>
        <w:pStyle w:val="BodyText"/>
        <w:spacing w:line="240" w:lineRule="auto" w:before="26"/>
        <w:ind w:left="513" w:right="1055"/>
        <w:jc w:val="left"/>
      </w:pPr>
      <w:r>
        <w:rPr>
          <w:spacing w:val="-3"/>
        </w:rPr>
        <w:t>可供出售金融资产持有期间取得的利息及被投资单位宣告发放的现金股利，计入投资收益。</w:t>
      </w:r>
    </w:p>
    <w:p>
      <w:pPr>
        <w:pStyle w:val="BodyText"/>
        <w:spacing w:line="357" w:lineRule="auto" w:before="115"/>
        <w:ind w:left="513" w:right="1114"/>
        <w:jc w:val="left"/>
      </w:pPr>
      <w:r>
        <w:rPr/>
        <w:t>（</w:t>
      </w:r>
      <w:r>
        <w:rPr>
          <w:rFonts w:ascii="宋体" w:hAnsi="宋体" w:cs="宋体" w:eastAsia="宋体" w:hint="default"/>
        </w:rPr>
        <w:t>3</w:t>
      </w:r>
      <w:r>
        <w:rPr/>
        <w:t>）金融资产减值</w:t>
      </w:r>
      <w:r>
        <w:rPr>
          <w:spacing w:val="-85"/>
        </w:rPr>
        <w:t> </w:t>
      </w:r>
      <w:r>
        <w:rPr>
          <w:spacing w:val="-85"/>
        </w:rPr>
      </w:r>
      <w:r>
        <w:rPr>
          <w:spacing w:val="-4"/>
          <w:w w:val="101"/>
        </w:rPr>
        <w:t>除了以公允价值计量且其变动计入当期损益的金融资产外，本公司在每个资产负债表日对其他金融资产的账面价值进行</w:t>
      </w:r>
      <w:r>
        <w:rPr>
          <w:spacing w:val="-4"/>
        </w:rPr>
      </w:r>
    </w:p>
    <w:p>
      <w:pPr>
        <w:pStyle w:val="BodyText"/>
        <w:spacing w:line="357" w:lineRule="auto" w:before="26"/>
        <w:ind w:left="513" w:right="1055" w:hanging="360"/>
        <w:jc w:val="left"/>
      </w:pPr>
      <w:r>
        <w:rPr>
          <w:spacing w:val="-3"/>
        </w:rPr>
        <w:t>检查，有客观证据表明金融资产发生减值的，计提减值准备。</w:t>
      </w:r>
      <w:r>
        <w:rPr>
          <w:spacing w:val="-10"/>
        </w:rPr>
        <w:t> </w:t>
      </w:r>
      <w:r>
        <w:rPr>
          <w:spacing w:val="-10"/>
        </w:rPr>
      </w:r>
      <w:r>
        <w:rPr>
          <w:spacing w:val="-4"/>
        </w:rPr>
        <w:t>本公司对单项金额重大的金融资产单独进行减值测试；对单项金额不重大的金融资产，单独进行减值测试或包括在具有</w:t>
      </w:r>
    </w:p>
    <w:p>
      <w:pPr>
        <w:pStyle w:val="BodyText"/>
        <w:spacing w:line="357" w:lineRule="auto" w:before="26"/>
        <w:ind w:right="1124"/>
        <w:jc w:val="both"/>
      </w:pPr>
      <w:r>
        <w:rPr>
          <w:spacing w:val="-4"/>
        </w:rPr>
        <w:t>类似信用风险特征的金融资产组合中进行减值测试。单独测试未发生减值的金融资产（包括单项金额重大和不重大的金融资</w:t>
      </w:r>
      <w:r>
        <w:rPr>
          <w:spacing w:val="43"/>
        </w:rPr>
        <w:t> </w:t>
      </w:r>
      <w:r>
        <w:rPr>
          <w:spacing w:val="43"/>
        </w:rPr>
      </w:r>
      <w:r>
        <w:rPr>
          <w:spacing w:val="-4"/>
        </w:rPr>
        <w:t>产），包括在具有类似信用风险特征的金融资产组合中再进行减值测试。已单项确认减值损失的金融资产，不包括在具有类</w:t>
      </w:r>
      <w:r>
        <w:rPr>
          <w:spacing w:val="40"/>
        </w:rPr>
        <w:t> </w:t>
      </w:r>
      <w:r>
        <w:rPr>
          <w:spacing w:val="40"/>
        </w:rPr>
      </w:r>
      <w:r>
        <w:rPr>
          <w:spacing w:val="-3"/>
        </w:rPr>
        <w:t>似信用风险特征的金融资产组合中进行减值测试。</w:t>
      </w:r>
    </w:p>
    <w:p>
      <w:pPr>
        <w:pStyle w:val="BodyText"/>
        <w:spacing w:line="357" w:lineRule="auto" w:before="27"/>
        <w:ind w:left="513" w:right="1055"/>
        <w:jc w:val="left"/>
      </w:pPr>
      <w:r>
        <w:rPr/>
        <w:t>① </w:t>
      </w:r>
      <w:r>
        <w:rPr>
          <w:spacing w:val="-3"/>
        </w:rPr>
        <w:t>持有至到期投资、贷款和应收款项减值</w:t>
      </w:r>
      <w:r>
        <w:rPr>
          <w:spacing w:val="-34"/>
        </w:rPr>
        <w:t> </w:t>
      </w:r>
      <w:r>
        <w:rPr>
          <w:spacing w:val="-34"/>
        </w:rPr>
      </w:r>
      <w:r>
        <w:rPr>
          <w:spacing w:val="-5"/>
        </w:rPr>
        <w:t>以成本或摊余成本计量的金融资产将其账面价值减记至预计未来现金流量现值，减记金额确认为减值损失，计入当期损</w:t>
      </w:r>
    </w:p>
    <w:p>
      <w:pPr>
        <w:pStyle w:val="BodyText"/>
        <w:spacing w:line="355" w:lineRule="auto" w:before="26"/>
        <w:ind w:right="1124"/>
        <w:jc w:val="both"/>
      </w:pPr>
      <w:r>
        <w:rPr>
          <w:spacing w:val="-4"/>
        </w:rPr>
        <w:t>益。金融资产在确认减值损失后，如有客观证据表明该金融资产价值已恢复，且客观上与确认该损失后发生的事项有关，原</w:t>
      </w:r>
      <w:r>
        <w:rPr>
          <w:spacing w:val="40"/>
        </w:rPr>
        <w:t> </w:t>
      </w:r>
      <w:r>
        <w:rPr>
          <w:spacing w:val="40"/>
        </w:rPr>
      </w:r>
      <w:r>
        <w:rPr>
          <w:spacing w:val="-4"/>
          <w:w w:val="101"/>
        </w:rPr>
        <w:t>确认的减值损失予以转回，金融资产转回减值损失后的账面价值不超过假定不计提减值准备情况下该金融资产在转回日的摊</w:t>
      </w:r>
      <w:r>
        <w:rPr>
          <w:w w:val="101"/>
        </w:rPr>
        <w:t> </w:t>
      </w:r>
      <w:r>
        <w:rPr/>
        <w:t>余成本。</w:t>
      </w:r>
    </w:p>
    <w:p>
      <w:pPr>
        <w:pStyle w:val="BodyText"/>
        <w:spacing w:line="357" w:lineRule="auto" w:before="29"/>
        <w:ind w:left="513" w:right="1055"/>
        <w:jc w:val="left"/>
      </w:pPr>
      <w:r>
        <w:rPr/>
        <w:t>② </w:t>
      </w:r>
      <w:r>
        <w:rPr>
          <w:spacing w:val="-3"/>
        </w:rPr>
        <w:t>可供出售金融资产减值</w:t>
      </w:r>
      <w:r>
        <w:rPr>
          <w:spacing w:val="-58"/>
        </w:rPr>
        <w:t> </w:t>
      </w:r>
      <w:r>
        <w:rPr>
          <w:spacing w:val="-58"/>
        </w:rPr>
      </w:r>
      <w:r>
        <w:rPr>
          <w:spacing w:val="-5"/>
          <w:w w:val="101"/>
        </w:rPr>
        <w:t>当综合相关因素判断可供出售权益工具投资公允价值下跌是严重或非暂时性下跌时，表明该可供出售权益工具投资发生</w:t>
      </w:r>
      <w:r>
        <w:rPr>
          <w:spacing w:val="-5"/>
        </w:rPr>
      </w:r>
    </w:p>
    <w:p>
      <w:pPr>
        <w:pStyle w:val="BodyText"/>
        <w:spacing w:line="240" w:lineRule="auto" w:before="26"/>
        <w:ind w:right="1055"/>
        <w:jc w:val="left"/>
      </w:pPr>
      <w:r>
        <w:rPr/>
        <w:t>减值。</w:t>
      </w:r>
    </w:p>
    <w:p>
      <w:pPr>
        <w:pStyle w:val="BodyText"/>
        <w:spacing w:line="357" w:lineRule="auto" w:before="115"/>
        <w:ind w:right="1047" w:firstLine="360"/>
        <w:jc w:val="both"/>
      </w:pPr>
      <w:r>
        <w:rPr>
          <w:spacing w:val="-4"/>
        </w:rPr>
        <w:t>可供出售金融资产发生减值时，将原计入其他综合收益的因公允价值下降形成的累计损失予以转出并计入当期损益，该</w:t>
      </w:r>
      <w:r>
        <w:rPr>
          <w:w w:val="101"/>
        </w:rPr>
        <w:t> </w:t>
      </w:r>
      <w:r>
        <w:rPr>
          <w:spacing w:val="-3"/>
        </w:rPr>
        <w:t>转出的累计损失为该资产初始取得成本扣除已收回本金和已摊销金额、当前公允价值和原已计入损益的减值损失后的余额。</w:t>
      </w:r>
    </w:p>
    <w:p>
      <w:pPr>
        <w:pStyle w:val="BodyText"/>
        <w:spacing w:line="357" w:lineRule="auto" w:before="27"/>
        <w:ind w:right="1124" w:firstLine="360"/>
        <w:jc w:val="both"/>
      </w:pPr>
      <w:r>
        <w:rPr>
          <w:spacing w:val="-4"/>
        </w:rPr>
        <w:t>在确认减值损失后，期后如有客观证据表明该金融资产价值已恢复，且客观上与确认该损失后发生的事项有关，原确认</w:t>
      </w:r>
      <w:r>
        <w:rPr>
          <w:w w:val="101"/>
        </w:rPr>
        <w:t> </w:t>
      </w:r>
      <w:r>
        <w:rPr>
          <w:spacing w:val="-4"/>
        </w:rPr>
        <w:t>的减值损失予以转回，可供出售权益工具投资的减值损失转回确认为其他综合收益，可供出售债务工具的减值损失转回计入</w:t>
      </w:r>
      <w:r>
        <w:rPr>
          <w:spacing w:val="42"/>
        </w:rPr>
        <w:t> </w:t>
      </w:r>
      <w:r>
        <w:rPr>
          <w:spacing w:val="42"/>
        </w:rPr>
      </w:r>
      <w:r>
        <w:rPr/>
        <w:t>当期损益。</w:t>
      </w:r>
    </w:p>
    <w:p>
      <w:pPr>
        <w:spacing w:after="0" w:line="357" w:lineRule="auto"/>
        <w:jc w:val="both"/>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right="1128" w:firstLine="360"/>
        <w:jc w:val="both"/>
      </w:pPr>
      <w:r>
        <w:rPr>
          <w:spacing w:val="-5"/>
          <w:w w:val="101"/>
        </w:rPr>
        <w:t>在活跃市场中没有报价且其公允价值不能可靠计量的权益工具投资，或与该权益工具挂钩并须通过交付该权益工具结算</w:t>
      </w:r>
      <w:r>
        <w:rPr>
          <w:w w:val="101"/>
        </w:rPr>
        <w:t> </w:t>
      </w:r>
      <w:r>
        <w:rPr>
          <w:spacing w:val="-3"/>
        </w:rPr>
        <w:t>的衍生金融资产的减值损失，不予转回。</w:t>
      </w:r>
    </w:p>
    <w:p>
      <w:pPr>
        <w:pStyle w:val="BodyText"/>
        <w:spacing w:line="240" w:lineRule="auto" w:before="26"/>
        <w:ind w:left="513" w:right="1055"/>
        <w:jc w:val="left"/>
      </w:pPr>
      <w:r>
        <w:rPr>
          <w:spacing w:val="-3"/>
        </w:rPr>
        <w:t>（</w:t>
      </w:r>
      <w:r>
        <w:rPr>
          <w:rFonts w:ascii="宋体" w:hAnsi="宋体" w:cs="宋体" w:eastAsia="宋体" w:hint="default"/>
          <w:spacing w:val="-3"/>
        </w:rPr>
        <w:t>4</w:t>
      </w:r>
      <w:r>
        <w:rPr>
          <w:spacing w:val="-3"/>
        </w:rPr>
        <w:t>）金融资产转移的确认依据和计量方法</w:t>
      </w:r>
    </w:p>
    <w:p>
      <w:pPr>
        <w:pStyle w:val="BodyText"/>
        <w:spacing w:line="357" w:lineRule="auto" w:before="115"/>
        <w:ind w:right="1055" w:firstLine="360"/>
        <w:jc w:val="left"/>
      </w:pPr>
      <w:r>
        <w:rPr>
          <w:spacing w:val="-3"/>
        </w:rPr>
        <w:t>满足下列条件之一的金融资产，予以终止确认：① 收取该金融资产现金流量的合同权利终止；②</w:t>
      </w:r>
      <w:r>
        <w:rPr>
          <w:spacing w:val="57"/>
        </w:rPr>
        <w:t> </w:t>
      </w:r>
      <w:r>
        <w:rPr>
          <w:spacing w:val="-3"/>
        </w:rPr>
        <w:t>该金融资产已转移，</w:t>
      </w:r>
      <w:r>
        <w:rPr>
          <w:w w:val="101"/>
        </w:rPr>
        <w:t> </w:t>
      </w:r>
      <w:r>
        <w:rPr>
          <w:spacing w:val="-4"/>
        </w:rPr>
        <w:t>且将金融资产所有权上几乎所有的风险和报酬转移给转入方；③该金融资产已转移，虽然企业既没有转移也没有保留金融资</w:t>
      </w:r>
      <w:r>
        <w:rPr>
          <w:spacing w:val="43"/>
        </w:rPr>
        <w:t> </w:t>
      </w:r>
      <w:r>
        <w:rPr>
          <w:spacing w:val="43"/>
        </w:rPr>
      </w:r>
      <w:r>
        <w:rPr>
          <w:spacing w:val="-3"/>
        </w:rPr>
        <w:t>产所有权上几乎所有的风险和报酬，但是放弃了对该金融资产的控制。</w:t>
      </w:r>
    </w:p>
    <w:p>
      <w:pPr>
        <w:pStyle w:val="BodyText"/>
        <w:spacing w:line="357" w:lineRule="auto" w:before="26"/>
        <w:ind w:right="1123" w:firstLine="360"/>
        <w:jc w:val="both"/>
      </w:pPr>
      <w:r>
        <w:rPr>
          <w:spacing w:val="-5"/>
        </w:rPr>
        <w:t>若企业既没有转移也没有保留金融资产所有权上几乎所有的风险和报酬，且未放弃对该金融资产的控制的，则按照继续</w:t>
      </w:r>
      <w:r>
        <w:rPr>
          <w:w w:val="101"/>
        </w:rPr>
        <w:t> </w:t>
      </w:r>
      <w:r>
        <w:rPr>
          <w:spacing w:val="-4"/>
        </w:rPr>
        <w:t>涉入所转移金融资产的程度确认有关金融资产，并相应确认有关负债。继续涉入所转移金融资产的程度，是指该金融资产价</w:t>
      </w:r>
      <w:r>
        <w:rPr>
          <w:spacing w:val="44"/>
        </w:rPr>
        <w:t> </w:t>
      </w:r>
      <w:r>
        <w:rPr>
          <w:spacing w:val="44"/>
        </w:rPr>
      </w:r>
      <w:r>
        <w:rPr>
          <w:spacing w:val="-3"/>
        </w:rPr>
        <w:t>值变动使企业面临的风险水平。</w:t>
      </w:r>
    </w:p>
    <w:p>
      <w:pPr>
        <w:pStyle w:val="BodyText"/>
        <w:spacing w:line="352" w:lineRule="auto" w:before="26"/>
        <w:ind w:right="1128" w:firstLine="360"/>
        <w:jc w:val="both"/>
      </w:pPr>
      <w:r>
        <w:rPr>
          <w:spacing w:val="-5"/>
          <w:w w:val="101"/>
        </w:rPr>
        <w:t>金融资产整体转移满足终止确认条件的，将所转移金融资产的账面价值及因转移而收到的对价与原计入其他综合收益的</w:t>
      </w:r>
      <w:r>
        <w:rPr>
          <w:w w:val="101"/>
        </w:rPr>
        <w:t> </w:t>
      </w:r>
      <w:r>
        <w:rPr>
          <w:spacing w:val="-3"/>
        </w:rPr>
        <w:t>公允价值变动累计额之和的差额计入当期损益。</w:t>
      </w:r>
    </w:p>
    <w:p>
      <w:pPr>
        <w:pStyle w:val="BodyText"/>
        <w:spacing w:line="357" w:lineRule="auto" w:before="30"/>
        <w:ind w:right="1128" w:firstLine="360"/>
        <w:jc w:val="both"/>
      </w:pPr>
      <w:r>
        <w:rPr>
          <w:spacing w:val="-5"/>
          <w:w w:val="101"/>
        </w:rPr>
        <w:t>金融资产部分转移满足终止确认条件的，将所转移金融资产的账面价值在终止确认及未终止确认部分之间按其相对的公</w:t>
      </w:r>
      <w:r>
        <w:rPr>
          <w:w w:val="101"/>
        </w:rPr>
        <w:t> </w:t>
      </w:r>
      <w:r>
        <w:rPr>
          <w:spacing w:val="-4"/>
          <w:w w:val="101"/>
        </w:rPr>
        <w:t>允价值进行分摊，并将因转移而收到的对价与应分摊至终止确认部分的原计入其他综合收益的公允价值变动累计额之和与分</w:t>
      </w:r>
      <w:r>
        <w:rPr>
          <w:w w:val="101"/>
        </w:rPr>
        <w:t> </w:t>
      </w:r>
      <w:r>
        <w:rPr>
          <w:spacing w:val="-3"/>
        </w:rPr>
        <w:t>摊的前述账面金额之差额计入当期损益。</w:t>
      </w:r>
    </w:p>
    <w:p>
      <w:pPr>
        <w:pStyle w:val="BodyText"/>
        <w:spacing w:line="357" w:lineRule="auto" w:before="26"/>
        <w:ind w:right="1123" w:firstLine="360"/>
        <w:jc w:val="both"/>
      </w:pPr>
      <w:r>
        <w:rPr>
          <w:spacing w:val="-4"/>
        </w:rPr>
        <w:t>本公司对采用附追索权方式出售的金融资产，或将持有的金融资产背书转让，需确定该金融资产所有权上几乎所有的风</w:t>
      </w:r>
      <w:r>
        <w:rPr>
          <w:w w:val="101"/>
        </w:rPr>
        <w:t> </w:t>
      </w:r>
      <w:r>
        <w:rPr>
          <w:spacing w:val="-4"/>
        </w:rPr>
        <w:t>险和报酬是否已经转移。已将该金融资产所有权上几乎所有的风险和报酬转移给转入方的，终止确认该金融资产；保留了金</w:t>
      </w:r>
      <w:r>
        <w:rPr>
          <w:spacing w:val="43"/>
        </w:rPr>
        <w:t> </w:t>
      </w:r>
      <w:r>
        <w:rPr>
          <w:spacing w:val="43"/>
        </w:rPr>
      </w:r>
      <w:r>
        <w:rPr>
          <w:spacing w:val="-4"/>
        </w:rPr>
        <w:t>融资产所有权上几乎所有的风险和报酬的，不终止确认该金融资产；既没有转移也没有保留金融资产所有权上几乎所有的风</w:t>
      </w:r>
      <w:r>
        <w:rPr>
          <w:spacing w:val="44"/>
        </w:rPr>
        <w:t> </w:t>
      </w:r>
      <w:r>
        <w:rPr>
          <w:spacing w:val="44"/>
        </w:rPr>
      </w:r>
      <w:r>
        <w:rPr>
          <w:spacing w:val="-3"/>
        </w:rPr>
        <w:t>险和报酬的，则继续判断企业是否对该资产保留了控制，并根据前面各段所述的原则进行会计处理。</w:t>
      </w:r>
    </w:p>
    <w:p>
      <w:pPr>
        <w:pStyle w:val="BodyText"/>
        <w:spacing w:line="357" w:lineRule="auto" w:before="27"/>
        <w:ind w:left="513" w:right="1055"/>
        <w:jc w:val="left"/>
      </w:pPr>
      <w:r>
        <w:rPr/>
        <w:t>（</w:t>
      </w:r>
      <w:r>
        <w:rPr>
          <w:rFonts w:ascii="宋体" w:hAnsi="宋体" w:cs="宋体" w:eastAsia="宋体" w:hint="default"/>
        </w:rPr>
        <w:t>5</w:t>
      </w:r>
      <w:r>
        <w:rPr/>
        <w:t>）金融负债的分类和计量</w:t>
      </w:r>
      <w:r>
        <w:rPr>
          <w:spacing w:val="-85"/>
        </w:rPr>
        <w:t> </w:t>
      </w:r>
      <w:r>
        <w:rPr>
          <w:spacing w:val="-85"/>
        </w:rPr>
      </w:r>
      <w:r>
        <w:rPr>
          <w:spacing w:val="-3"/>
        </w:rPr>
        <w:t>金融负债在初始确认时划分为以公允价值计量且其变动计入当期损益的金融负债和其他金融负债。初始确认金融负债，</w:t>
      </w:r>
    </w:p>
    <w:p>
      <w:pPr>
        <w:pStyle w:val="BodyText"/>
        <w:spacing w:line="357" w:lineRule="auto" w:before="26"/>
        <w:ind w:right="1055"/>
        <w:jc w:val="left"/>
      </w:pPr>
      <w:r>
        <w:rPr>
          <w:spacing w:val="-4"/>
        </w:rPr>
        <w:t>以公允价值计量。对于以公允价值计量且其变动计入当期损益的金融负债，相关的交易费用直接计入当期损益；对于其他金</w:t>
      </w:r>
      <w:r>
        <w:rPr>
          <w:spacing w:val="43"/>
        </w:rPr>
        <w:t> </w:t>
      </w:r>
      <w:r>
        <w:rPr>
          <w:spacing w:val="43"/>
        </w:rPr>
      </w:r>
      <w:r>
        <w:rPr>
          <w:spacing w:val="-3"/>
        </w:rPr>
        <w:t>融负债，相关交易费用计入初始确认金额。</w:t>
      </w:r>
    </w:p>
    <w:p>
      <w:pPr>
        <w:pStyle w:val="BodyText"/>
        <w:spacing w:line="357" w:lineRule="auto" w:before="26"/>
        <w:ind w:left="513" w:right="1055"/>
        <w:jc w:val="left"/>
      </w:pPr>
      <w:r>
        <w:rPr/>
        <w:t>① </w:t>
      </w:r>
      <w:r>
        <w:rPr>
          <w:spacing w:val="-3"/>
        </w:rPr>
        <w:t>以公允价值计量且其变动计入当期损益的金融负债</w:t>
      </w:r>
      <w:r>
        <w:rPr>
          <w:spacing w:val="-23"/>
        </w:rPr>
        <w:t> </w:t>
      </w:r>
      <w:r>
        <w:rPr>
          <w:spacing w:val="-23"/>
        </w:rPr>
      </w:r>
      <w:r>
        <w:rPr>
          <w:spacing w:val="-3"/>
        </w:rPr>
        <w:t>分类为交易性金融负债和在初始确认时指定为以公允价值计量且其变动计入当期损益的金融负债的条件与分类为交易</w:t>
      </w:r>
    </w:p>
    <w:p>
      <w:pPr>
        <w:pStyle w:val="BodyText"/>
        <w:spacing w:line="357" w:lineRule="auto" w:before="26"/>
        <w:ind w:left="513" w:right="1055" w:hanging="360"/>
        <w:jc w:val="left"/>
      </w:pPr>
      <w:r>
        <w:rPr>
          <w:spacing w:val="-3"/>
        </w:rPr>
        <w:t>性金融资产和在初始确认时指定为以公允价值计量且其变动计入当期损益的金融资产的条件一致。</w:t>
      </w:r>
      <w:r>
        <w:rPr>
          <w:spacing w:val="37"/>
        </w:rPr>
        <w:t> </w:t>
      </w:r>
      <w:r>
        <w:rPr>
          <w:spacing w:val="37"/>
        </w:rPr>
      </w:r>
      <w:r>
        <w:rPr>
          <w:spacing w:val="-5"/>
          <w:w w:val="101"/>
        </w:rPr>
        <w:t>以公允价值计量且其变动计入当期损益的金融负债采用公允价值进行后续计量，公允价值的变动形成的利得或损失以及</w:t>
      </w:r>
      <w:r>
        <w:rPr>
          <w:spacing w:val="-5"/>
        </w:rPr>
      </w:r>
    </w:p>
    <w:p>
      <w:pPr>
        <w:pStyle w:val="BodyText"/>
        <w:spacing w:line="240" w:lineRule="auto" w:before="26"/>
        <w:ind w:right="1055"/>
        <w:jc w:val="left"/>
      </w:pPr>
      <w:r>
        <w:rPr>
          <w:spacing w:val="-3"/>
        </w:rPr>
        <w:t>与该等金融负债相关的股利和利息支出计入当期损益。</w:t>
      </w:r>
    </w:p>
    <w:p>
      <w:pPr>
        <w:pStyle w:val="BodyText"/>
        <w:spacing w:line="357" w:lineRule="auto" w:before="115"/>
        <w:ind w:left="513" w:right="1055"/>
        <w:jc w:val="left"/>
      </w:pPr>
      <w:r>
        <w:rPr/>
        <w:t>② </w:t>
      </w:r>
      <w:r>
        <w:rPr>
          <w:spacing w:val="-3"/>
        </w:rPr>
        <w:t>其他金融负债</w:t>
      </w:r>
      <w:r>
        <w:rPr>
          <w:spacing w:val="-70"/>
        </w:rPr>
        <w:t> </w:t>
      </w:r>
      <w:r>
        <w:rPr>
          <w:spacing w:val="-70"/>
        </w:rPr>
      </w:r>
      <w:r>
        <w:rPr>
          <w:spacing w:val="-4"/>
        </w:rPr>
        <w:t>与在活跃市场中没有报价、公允价值不能可靠计量的权益工具挂钩并须通过交付该权益工具结算的衍生金融负债，按照</w:t>
      </w:r>
    </w:p>
    <w:p>
      <w:pPr>
        <w:pStyle w:val="BodyText"/>
        <w:spacing w:line="352" w:lineRule="auto" w:before="26"/>
        <w:ind w:right="1055"/>
        <w:jc w:val="left"/>
      </w:pPr>
      <w:r>
        <w:rPr>
          <w:spacing w:val="-4"/>
        </w:rPr>
        <w:t>成本进行后续计量。其他金融负债采用实际利率法，按摊余成本进行后续计量，终止确认或摊销产生的利得或损失计入当期</w:t>
      </w:r>
      <w:r>
        <w:rPr>
          <w:spacing w:val="43"/>
        </w:rPr>
        <w:t> </w:t>
      </w:r>
      <w:r>
        <w:rPr>
          <w:spacing w:val="43"/>
        </w:rPr>
      </w:r>
      <w:r>
        <w:rPr/>
        <w:t>损益。</w:t>
      </w:r>
    </w:p>
    <w:p>
      <w:pPr>
        <w:pStyle w:val="BodyText"/>
        <w:spacing w:line="357" w:lineRule="auto" w:before="30"/>
        <w:ind w:left="513" w:right="1055"/>
        <w:jc w:val="left"/>
      </w:pPr>
      <w:r>
        <w:rPr>
          <w:spacing w:val="-3"/>
        </w:rPr>
        <w:t>（</w:t>
      </w:r>
      <w:r>
        <w:rPr>
          <w:rFonts w:ascii="宋体" w:hAnsi="宋体" w:cs="宋体" w:eastAsia="宋体" w:hint="default"/>
          <w:spacing w:val="-3"/>
        </w:rPr>
        <w:t>6</w:t>
      </w:r>
      <w:r>
        <w:rPr>
          <w:spacing w:val="-3"/>
        </w:rPr>
        <w:t>）金融负债的终止确认</w:t>
      </w:r>
      <w:r>
        <w:rPr>
          <w:spacing w:val="-52"/>
        </w:rPr>
        <w:t> </w:t>
      </w:r>
      <w:r>
        <w:rPr>
          <w:spacing w:val="-52"/>
        </w:rPr>
      </w:r>
      <w:r>
        <w:rPr>
          <w:spacing w:val="-5"/>
        </w:rPr>
        <w:t>金融负债的现时义务全部或部分已经解除的，才能终止确认该金融负债或其一部分。本公司（债务人）与债权人之间签</w:t>
      </w:r>
    </w:p>
    <w:p>
      <w:pPr>
        <w:pStyle w:val="BodyText"/>
        <w:spacing w:line="357" w:lineRule="auto" w:before="26"/>
        <w:ind w:right="1055"/>
        <w:jc w:val="left"/>
      </w:pPr>
      <w:r>
        <w:rPr>
          <w:spacing w:val="-4"/>
        </w:rPr>
        <w:t>订协议，以承担新金融负债方式替换现存金融负债，且新金融负债与现存金融负债的合同条款实质上不同的，终止确认现存</w:t>
      </w:r>
      <w:r>
        <w:rPr>
          <w:spacing w:val="43"/>
        </w:rPr>
        <w:t> </w:t>
      </w:r>
      <w:r>
        <w:rPr>
          <w:spacing w:val="43"/>
        </w:rPr>
      </w:r>
      <w:r>
        <w:rPr>
          <w:spacing w:val="-3"/>
        </w:rPr>
        <w:t>金融负债，并同时确认新金融负债。</w:t>
      </w:r>
    </w:p>
    <w:p>
      <w:pPr>
        <w:pStyle w:val="BodyText"/>
        <w:spacing w:line="357" w:lineRule="auto" w:before="26"/>
        <w:ind w:right="1124" w:firstLine="360"/>
        <w:jc w:val="both"/>
      </w:pPr>
      <w:r>
        <w:rPr>
          <w:spacing w:val="-4"/>
        </w:rPr>
        <w:t>金融负债全部或部分终止确认的，将终止确认部分的账面价值与支付的对价（包括转出的非现金资产或承担的新金融负</w:t>
      </w:r>
      <w:r>
        <w:rPr>
          <w:w w:val="101"/>
        </w:rPr>
        <w:t> </w:t>
      </w:r>
      <w:r>
        <w:rPr>
          <w:spacing w:val="-3"/>
        </w:rPr>
        <w:t>债）之间的差额，计入当期损益。</w:t>
      </w:r>
    </w:p>
    <w:p>
      <w:pPr>
        <w:pStyle w:val="BodyText"/>
        <w:spacing w:line="357" w:lineRule="auto" w:before="27"/>
        <w:ind w:left="513" w:right="1055"/>
        <w:jc w:val="left"/>
      </w:pPr>
      <w:r>
        <w:rPr/>
        <w:t>（</w:t>
      </w:r>
      <w:r>
        <w:rPr>
          <w:rFonts w:ascii="宋体" w:hAnsi="宋体" w:cs="宋体" w:eastAsia="宋体" w:hint="default"/>
        </w:rPr>
        <w:t>7</w:t>
      </w:r>
      <w:r>
        <w:rPr/>
        <w:t>）金融资产和金融负债的抵销</w:t>
      </w:r>
      <w:r>
        <w:rPr>
          <w:spacing w:val="-86"/>
        </w:rPr>
        <w:t> </w:t>
      </w:r>
      <w:r>
        <w:rPr>
          <w:spacing w:val="-86"/>
        </w:rPr>
      </w:r>
      <w:r>
        <w:rPr>
          <w:spacing w:val="-4"/>
        </w:rPr>
        <w:t>当本公司具有抵销已确认金融资产和金融负债的法定权利，且目前可执行该种法定权利，同时本公司计划以净额结算或</w:t>
      </w:r>
    </w:p>
    <w:p>
      <w:pPr>
        <w:pStyle w:val="BodyText"/>
        <w:spacing w:line="240" w:lineRule="auto" w:before="26"/>
        <w:ind w:right="1055"/>
        <w:jc w:val="left"/>
      </w:pPr>
      <w:r>
        <w:rPr>
          <w:spacing w:val="-4"/>
        </w:rPr>
        <w:t>同时变现该金融资产和清偿该金融负债时，金融资产和金融负债以相互抵销后的金额在资产负债表内列示。除此以外，金融</w:t>
      </w:r>
    </w:p>
    <w:p>
      <w:pPr>
        <w:spacing w:after="0" w:line="240" w:lineRule="auto"/>
        <w:jc w:val="left"/>
        <w:sectPr>
          <w:footerReference w:type="default" r:id="rId27"/>
          <w:pgSz w:w="11910" w:h="16840"/>
          <w:pgMar w:footer="1186" w:header="871" w:top="1100" w:bottom="1380" w:left="980" w:right="0"/>
          <w:pgNumType w:start="107"/>
        </w:sectPr>
      </w:pPr>
    </w:p>
    <w:p>
      <w:pPr>
        <w:spacing w:line="240" w:lineRule="auto" w:before="7"/>
        <w:rPr>
          <w:rFonts w:ascii="宋体" w:hAnsi="宋体" w:cs="宋体" w:eastAsia="宋体" w:hint="default"/>
          <w:sz w:val="18"/>
          <w:szCs w:val="18"/>
        </w:rPr>
      </w:pPr>
    </w:p>
    <w:p>
      <w:pPr>
        <w:pStyle w:val="BodyText"/>
        <w:spacing w:line="240" w:lineRule="auto" w:before="46"/>
        <w:ind w:right="1055"/>
        <w:jc w:val="left"/>
      </w:pPr>
      <w:r>
        <w:rPr>
          <w:spacing w:val="-3"/>
        </w:rPr>
        <w:t>资产和金融负债在资产负债表内分别列示，不予相互抵销。</w:t>
      </w:r>
    </w:p>
    <w:p>
      <w:pPr>
        <w:pStyle w:val="BodyText"/>
        <w:spacing w:line="357" w:lineRule="auto" w:before="115"/>
        <w:ind w:left="513" w:right="1055"/>
        <w:jc w:val="left"/>
      </w:pPr>
      <w:r>
        <w:rPr/>
        <w:t>（</w:t>
      </w:r>
      <w:r>
        <w:rPr>
          <w:rFonts w:ascii="宋体" w:hAnsi="宋体" w:cs="宋体" w:eastAsia="宋体" w:hint="default"/>
        </w:rPr>
        <w:t>8</w:t>
      </w:r>
      <w:r>
        <w:rPr/>
        <w:t>）权益工具</w:t>
      </w:r>
      <w:r>
        <w:rPr>
          <w:spacing w:val="-85"/>
        </w:rPr>
        <w:t> </w:t>
      </w:r>
      <w:r>
        <w:rPr>
          <w:spacing w:val="-85"/>
        </w:rPr>
      </w:r>
      <w:r>
        <w:rPr>
          <w:spacing w:val="-5"/>
        </w:rPr>
        <w:t>权益工具是指能证明拥有本公司在扣除所有负债后的资产中的剩余权益的合同。本公司发行（含再融资）、回购、出售</w:t>
      </w:r>
    </w:p>
    <w:p>
      <w:pPr>
        <w:pStyle w:val="BodyText"/>
        <w:spacing w:line="357" w:lineRule="auto" w:before="27"/>
        <w:ind w:left="513" w:right="1004" w:hanging="360"/>
        <w:jc w:val="left"/>
      </w:pPr>
      <w:r>
        <w:rPr>
          <w:spacing w:val="-6"/>
          <w:w w:val="101"/>
        </w:rPr>
        <w:t>或注销权益工具作为权益的变动处理。本公司不确认权益工具的公允价值变动。与权益性交易相关的交易费用从权益中扣减。</w:t>
      </w:r>
      <w:r>
        <w:rPr>
          <w:spacing w:val="-71"/>
          <w:w w:val="101"/>
        </w:rPr>
        <w:t> </w:t>
      </w:r>
      <w:r>
        <w:rPr>
          <w:spacing w:val="-71"/>
          <w:w w:val="101"/>
        </w:rPr>
      </w:r>
      <w:r>
        <w:rPr>
          <w:spacing w:val="-3"/>
        </w:rPr>
        <w:t>本公司对权益工具持有方的各种分配（不包括股票股利），减少股东权益。本公司不确认权益工具的公允价值变动额。</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46"/>
        <w:ind w:left="0" w:right="1126"/>
        <w:jc w:val="right"/>
      </w:pPr>
      <w:r>
        <w:rPr/>
        <w:pict>
          <v:shape style="position:absolute;margin-left:56.424pt;margin-top:1.531699pt;width:479.25pt;height:91.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8"/>
                    <w:gridCol w:w="4783"/>
                  </w:tblGrid>
                  <w:tr>
                    <w:trPr>
                      <w:trHeight w:val="557"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7"/>
                          <w:ind w:left="23" w:right="104"/>
                          <w:jc w:val="left"/>
                          <w:rPr>
                            <w:rFonts w:ascii="宋体" w:hAnsi="宋体" w:cs="宋体" w:eastAsia="宋体" w:hint="default"/>
                            <w:sz w:val="18"/>
                            <w:szCs w:val="18"/>
                          </w:rPr>
                        </w:pPr>
                        <w:r>
                          <w:rPr>
                            <w:rFonts w:ascii="宋体" w:hAnsi="宋体" w:cs="宋体" w:eastAsia="宋体" w:hint="default"/>
                            <w:spacing w:val="-2"/>
                            <w:w w:val="101"/>
                            <w:sz w:val="18"/>
                            <w:szCs w:val="18"/>
                          </w:rPr>
                          <w:t>本公司将金额为人民币</w:t>
                        </w:r>
                        <w:r>
                          <w:rPr>
                            <w:rFonts w:ascii="宋体" w:hAnsi="宋体" w:cs="宋体" w:eastAsia="宋体" w:hint="default"/>
                            <w:spacing w:val="-58"/>
                            <w:w w:val="101"/>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18"/>
                            <w:w w:val="101"/>
                            <w:sz w:val="18"/>
                            <w:szCs w:val="18"/>
                          </w:rPr>
                          <w:t> </w:t>
                        </w:r>
                        <w:r>
                          <w:rPr>
                            <w:rFonts w:ascii="宋体" w:hAnsi="宋体" w:cs="宋体" w:eastAsia="宋体" w:hint="default"/>
                            <w:spacing w:val="-2"/>
                            <w:w w:val="101"/>
                            <w:sz w:val="18"/>
                            <w:szCs w:val="18"/>
                          </w:rPr>
                          <w:t>万元以上的应收款项和</w:t>
                        </w:r>
                        <w:r>
                          <w:rPr>
                            <w:rFonts w:ascii="宋体" w:hAnsi="宋体" w:cs="宋体" w:eastAsia="宋体" w:hint="default"/>
                            <w:spacing w:val="-59"/>
                            <w:w w:val="101"/>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18"/>
                            <w:w w:val="101"/>
                            <w:sz w:val="18"/>
                            <w:szCs w:val="18"/>
                          </w:rPr>
                          <w:t> </w:t>
                        </w:r>
                        <w:r>
                          <w:rPr>
                            <w:rFonts w:ascii="宋体" w:hAnsi="宋体" w:cs="宋体" w:eastAsia="宋体" w:hint="default"/>
                            <w:spacing w:val="-24"/>
                            <w:w w:val="101"/>
                            <w:sz w:val="18"/>
                            <w:szCs w:val="18"/>
                          </w:rPr>
                          <w:t>万元（含</w:t>
                        </w:r>
                        <w:r>
                          <w:rPr>
                            <w:rFonts w:ascii="宋体" w:hAnsi="宋体" w:cs="宋体" w:eastAsia="宋体" w:hint="default"/>
                            <w:w w:val="101"/>
                            <w:sz w:val="18"/>
                            <w:szCs w:val="18"/>
                          </w:rPr>
                          <w:t> </w:t>
                        </w:r>
                        <w:r>
                          <w:rPr>
                            <w:rFonts w:ascii="宋体" w:hAnsi="宋体" w:cs="宋体" w:eastAsia="宋体" w:hint="default"/>
                            <w:spacing w:val="-3"/>
                            <w:sz w:val="18"/>
                            <w:szCs w:val="18"/>
                          </w:rPr>
                          <w:t>以上其他应收款确认为单项金额重大的应收款项。</w:t>
                        </w:r>
                      </w:p>
                    </w:tc>
                  </w:tr>
                  <w:tr>
                    <w:trPr>
                      <w:trHeight w:val="125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3" w:right="61"/>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测试未发生减值的金融资产，包括在具有类似信用风险特征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的金融资产组合中进行减值测试。单项测试已确认减值损失</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的应收款项，不再包括在具有类似信用风险特征的应收款项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组合中进行减值测试。</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27"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2"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22"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低风险信用组合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10"/>
        <w:ind w:right="1055"/>
        <w:jc w:val="left"/>
      </w:pPr>
      <w:r>
        <w:rPr>
          <w:spacing w:val="-3"/>
        </w:rPr>
        <w:t>组合中，采用账龄分析法计提坏账准备的：</w:t>
      </w:r>
    </w:p>
    <w:p>
      <w:pPr>
        <w:pStyle w:val="BodyText"/>
        <w:spacing w:line="240" w:lineRule="auto" w:before="38"/>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50.00%</w:t>
            </w:r>
          </w:p>
        </w:tc>
      </w:tr>
    </w:tbl>
    <w:p>
      <w:pPr>
        <w:pStyle w:val="BodyText"/>
        <w:spacing w:line="240" w:lineRule="auto" w:before="10"/>
        <w:ind w:right="1055"/>
        <w:jc w:val="left"/>
      </w:pPr>
      <w:r>
        <w:rPr>
          <w:spacing w:val="-3"/>
        </w:rPr>
        <w:t>组合中，采用余额百分比法计提坏账准备的：</w:t>
      </w:r>
    </w:p>
    <w:p>
      <w:pPr>
        <w:pStyle w:val="BodyText"/>
        <w:spacing w:line="264" w:lineRule="auto" w:before="33"/>
        <w:ind w:right="69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w:t>
      </w:r>
    </w:p>
    <w:p>
      <w:pPr>
        <w:pStyle w:val="BodyText"/>
        <w:spacing w:line="240" w:lineRule="auto" w:before="20"/>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BodyText"/>
        <w:spacing w:line="240" w:lineRule="auto" w:before="46"/>
        <w:ind w:left="0" w:right="1127"/>
        <w:jc w:val="right"/>
      </w:pPr>
      <w:r>
        <w:rPr/>
        <w:pict>
          <v:shape style="position:absolute;margin-left:56.424pt;margin-top:-49.608326pt;width:479.25pt;height:102.8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8"/>
                    <w:gridCol w:w="4783"/>
                  </w:tblGrid>
                  <w:tr>
                    <w:trPr>
                      <w:trHeight w:val="78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3" w:right="60"/>
                          <w:jc w:val="both"/>
                          <w:rPr>
                            <w:rFonts w:ascii="宋体" w:hAnsi="宋体" w:cs="宋体" w:eastAsia="宋体" w:hint="default"/>
                            <w:sz w:val="18"/>
                            <w:szCs w:val="18"/>
                          </w:rPr>
                        </w:pPr>
                        <w:r>
                          <w:rPr>
                            <w:rFonts w:ascii="宋体" w:hAnsi="宋体" w:cs="宋体" w:eastAsia="宋体" w:hint="default"/>
                            <w:spacing w:val="-3"/>
                            <w:sz w:val="18"/>
                            <w:szCs w:val="18"/>
                          </w:rPr>
                          <w:t>本公司对于单项金额虽不重大但具备以下特征的应收款项，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单独进行减值测试：已有明显迹象表明债务人很可能无法履</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行还款义务的应收款项；其他经确认不能收回的应收款项。</w:t>
                        </w:r>
                      </w:p>
                    </w:tc>
                  </w:tr>
                  <w:tr>
                    <w:trPr>
                      <w:trHeight w:val="125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3" w:right="61"/>
                          <w:jc w:val="both"/>
                          <w:rPr>
                            <w:rFonts w:ascii="宋体" w:hAnsi="宋体" w:cs="宋体" w:eastAsia="宋体" w:hint="default"/>
                            <w:sz w:val="18"/>
                            <w:szCs w:val="18"/>
                          </w:rPr>
                        </w:pPr>
                        <w:r>
                          <w:rPr>
                            <w:rFonts w:ascii="宋体" w:hAnsi="宋体" w:cs="宋体" w:eastAsia="宋体" w:hint="default"/>
                            <w:spacing w:val="-3"/>
                            <w:sz w:val="18"/>
                            <w:szCs w:val="18"/>
                          </w:rPr>
                          <w:t>单独进行减值测试，有客观证据表明其发生了减值的，根据</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其未来现金流量现值低于其账面价值的差额，确认减值损失</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计提坏账准备：与对方存在争议或涉及诉讼、仲裁的应收款</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项；已有明显迹象表明债务人很可能无法履行还款义务的应</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收款项等。</w:t>
                        </w:r>
                      </w:p>
                    </w:tc>
                  </w:tr>
                </w:tbl>
                <w:p>
                  <w:pPr/>
                </w:p>
              </w:txbxContent>
            </v:textbox>
            <w10:wrap type="none"/>
          </v:shape>
        </w:pict>
      </w:r>
      <w:r>
        <w:rPr>
          <w:w w:val="101"/>
        </w:rPr>
        <w:t>，</w:t>
      </w:r>
      <w:r>
        <w:rPr/>
      </w:r>
    </w:p>
    <w:p>
      <w:pPr>
        <w:spacing w:after="0" w:line="240" w:lineRule="auto"/>
        <w:jc w:val="righ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10"/>
        <w:ind w:right="1055"/>
        <w:jc w:val="left"/>
      </w:pPr>
      <w:r>
        <w:rPr/>
        <w:t>电子商务业</w:t>
      </w:r>
    </w:p>
    <w:p>
      <w:pPr>
        <w:pStyle w:val="BodyText"/>
        <w:spacing w:line="357" w:lineRule="auto" w:before="38"/>
        <w:ind w:left="513" w:right="3882"/>
        <w:jc w:val="left"/>
      </w:pPr>
      <w:r>
        <w:rPr/>
        <w:t>（</w:t>
      </w:r>
      <w:r>
        <w:rPr>
          <w:rFonts w:ascii="宋体" w:hAnsi="宋体" w:cs="宋体" w:eastAsia="宋体" w:hint="default"/>
        </w:rPr>
        <w:t>1</w:t>
      </w:r>
      <w:r>
        <w:rPr/>
        <w:t>）存货的分类</w:t>
      </w:r>
      <w:r>
        <w:rPr>
          <w:spacing w:val="-87"/>
        </w:rPr>
        <w:t> </w:t>
      </w:r>
      <w:r>
        <w:rPr>
          <w:spacing w:val="-87"/>
        </w:rPr>
      </w:r>
      <w:r>
        <w:rPr>
          <w:spacing w:val="-3"/>
        </w:rPr>
        <w:t>存货主要包括库存商品、原材料、委托加工物资、在产品、发出商品等。</w:t>
      </w:r>
    </w:p>
    <w:p>
      <w:pPr>
        <w:pStyle w:val="BodyText"/>
        <w:spacing w:line="357" w:lineRule="auto" w:before="26"/>
        <w:ind w:left="513" w:right="1055"/>
        <w:jc w:val="left"/>
      </w:pPr>
      <w:r>
        <w:rPr/>
        <w:t>（</w:t>
      </w:r>
      <w:r>
        <w:rPr>
          <w:rFonts w:ascii="宋体" w:hAnsi="宋体" w:cs="宋体" w:eastAsia="宋体" w:hint="default"/>
        </w:rPr>
        <w:t>2</w:t>
      </w:r>
      <w:r>
        <w:rPr/>
        <w:t>）存货取得和发出的计价方法</w:t>
      </w:r>
      <w:r>
        <w:rPr>
          <w:spacing w:val="-86"/>
        </w:rPr>
        <w:t> </w:t>
      </w:r>
      <w:r>
        <w:rPr>
          <w:spacing w:val="-86"/>
        </w:rPr>
      </w:r>
      <w:r>
        <w:rPr>
          <w:spacing w:val="-3"/>
        </w:rPr>
        <w:t>存货在取得时按实际成本计价，存货成本包括采购成本、加工成本和其他成本。领用和发出时按按加权平均法核算。</w:t>
      </w:r>
    </w:p>
    <w:p>
      <w:pPr>
        <w:pStyle w:val="BodyText"/>
        <w:spacing w:line="357" w:lineRule="auto" w:before="27"/>
        <w:ind w:left="513" w:right="1055"/>
        <w:jc w:val="left"/>
      </w:pPr>
      <w:r>
        <w:rPr>
          <w:spacing w:val="-3"/>
        </w:rPr>
        <w:t>（</w:t>
      </w:r>
      <w:r>
        <w:rPr>
          <w:rFonts w:ascii="宋体" w:hAnsi="宋体" w:cs="宋体" w:eastAsia="宋体" w:hint="default"/>
          <w:spacing w:val="-3"/>
        </w:rPr>
        <w:t>3</w:t>
      </w:r>
      <w:r>
        <w:rPr>
          <w:spacing w:val="-3"/>
        </w:rPr>
        <w:t>）存货可变现净值的确认和跌价准备的计提方法</w:t>
      </w:r>
      <w:r>
        <w:rPr>
          <w:spacing w:val="-17"/>
        </w:rPr>
        <w:t> </w:t>
      </w:r>
      <w:r>
        <w:rPr>
          <w:spacing w:val="-17"/>
        </w:rPr>
      </w:r>
      <w:r>
        <w:rPr>
          <w:spacing w:val="-4"/>
        </w:rPr>
        <w:t>可变现净值是指在日常活动中，存货的估计售价减去至完工时估计将要发生的成本、估计的销售费用以及相关税费后的</w:t>
      </w:r>
    </w:p>
    <w:p>
      <w:pPr>
        <w:pStyle w:val="BodyText"/>
        <w:spacing w:line="357" w:lineRule="auto" w:before="26"/>
        <w:ind w:left="513" w:right="1055" w:hanging="360"/>
        <w:jc w:val="left"/>
      </w:pPr>
      <w:r>
        <w:rPr>
          <w:spacing w:val="-3"/>
        </w:rPr>
        <w:t>金额。在确定存货的可变现净值时，以取得的确凿证据为基础，同时考虑持有存货的目的以及资产负债表日后事项的影响。</w:t>
      </w:r>
      <w:r>
        <w:rPr>
          <w:spacing w:val="66"/>
        </w:rPr>
        <w:t> </w:t>
      </w:r>
      <w:r>
        <w:rPr>
          <w:spacing w:val="66"/>
        </w:rPr>
      </w:r>
      <w:r>
        <w:rPr>
          <w:spacing w:val="-5"/>
        </w:rPr>
        <w:t>在资产负债表日，存货按照成本与可变现净值孰低计量。当其可变现净值低于成本时，提取存货跌价准备。存货跌价准</w:t>
      </w:r>
    </w:p>
    <w:p>
      <w:pPr>
        <w:pStyle w:val="BodyText"/>
        <w:spacing w:line="357" w:lineRule="auto" w:before="26"/>
        <w:ind w:right="1055"/>
        <w:jc w:val="left"/>
      </w:pPr>
      <w:r>
        <w:rPr>
          <w:spacing w:val="-4"/>
        </w:rPr>
        <w:t>备通常按单个存货项目的成本高于其可变现净值的差额提取。对于数量繁多、单价较低的存货，按存货类别计提存货跌价准</w:t>
      </w:r>
      <w:r>
        <w:rPr>
          <w:spacing w:val="43"/>
        </w:rPr>
        <w:t> </w:t>
      </w:r>
      <w:r>
        <w:rPr>
          <w:spacing w:val="43"/>
        </w:rPr>
      </w:r>
      <w:r>
        <w:rPr/>
        <w:t>备。</w:t>
      </w:r>
    </w:p>
    <w:p>
      <w:pPr>
        <w:pStyle w:val="BodyText"/>
        <w:spacing w:line="357" w:lineRule="auto" w:before="26"/>
        <w:ind w:right="1055" w:firstLine="360"/>
        <w:jc w:val="left"/>
      </w:pPr>
      <w:r>
        <w:rPr>
          <w:spacing w:val="-4"/>
        </w:rPr>
        <w:t>计提存货跌价准备后，如果以前减记存货价值的影响因素已经消失，导致存货的可变现净值高于其账面价值的，在原已</w:t>
      </w:r>
      <w:r>
        <w:rPr>
          <w:w w:val="101"/>
        </w:rPr>
        <w:t> </w:t>
      </w:r>
      <w:r>
        <w:rPr>
          <w:spacing w:val="-3"/>
        </w:rPr>
        <w:t>计提的存货跌价准备金额内予以转回，转回的金额计入当期损益。</w:t>
      </w:r>
    </w:p>
    <w:p>
      <w:pPr>
        <w:pStyle w:val="BodyText"/>
        <w:spacing w:line="357" w:lineRule="auto" w:before="26"/>
        <w:ind w:left="513" w:right="6932"/>
        <w:jc w:val="left"/>
      </w:pPr>
      <w:r>
        <w:rPr/>
        <w:t>（</w:t>
      </w:r>
      <w:r>
        <w:rPr>
          <w:rFonts w:ascii="宋体" w:hAnsi="宋体" w:cs="宋体" w:eastAsia="宋体" w:hint="default"/>
        </w:rPr>
        <w:t>4</w:t>
      </w:r>
      <w:r>
        <w:rPr/>
        <w:t>）存货的盘存制度</w:t>
      </w:r>
      <w:r>
        <w:rPr>
          <w:spacing w:val="-88"/>
        </w:rPr>
        <w:t> </w:t>
      </w:r>
      <w:r>
        <w:rPr>
          <w:spacing w:val="-88"/>
        </w:rPr>
      </w:r>
      <w:r>
        <w:rPr>
          <w:spacing w:val="-3"/>
        </w:rPr>
        <w:t>本公司存货的盘存制度采用永续盘存法。</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2"/>
          <w:szCs w:val="22"/>
        </w:rPr>
      </w:pPr>
    </w:p>
    <w:p>
      <w:pPr>
        <w:pStyle w:val="BodyText"/>
        <w:spacing w:line="355" w:lineRule="auto"/>
        <w:ind w:right="1122" w:firstLine="360"/>
        <w:jc w:val="both"/>
      </w:pPr>
      <w:r>
        <w:rPr>
          <w:spacing w:val="-4"/>
        </w:rPr>
        <w:t>本公司若主要通过出售（包括具有商业实质的非货币性资产交换，下同）而非持续使用一项非流动资产或处置组收回其</w:t>
      </w:r>
      <w:r>
        <w:rPr>
          <w:w w:val="101"/>
        </w:rPr>
        <w:t> </w:t>
      </w:r>
      <w:r>
        <w:rPr>
          <w:spacing w:val="-4"/>
        </w:rPr>
        <w:t>账面价值的，则将其划分为持有待售类别。具体标准为同时满足以下条件：某项非流动资产或处置组根据类似交易中出售此</w:t>
      </w:r>
      <w:r>
        <w:rPr>
          <w:spacing w:val="43"/>
        </w:rPr>
        <w:t> </w:t>
      </w:r>
      <w:r>
        <w:rPr>
          <w:spacing w:val="43"/>
        </w:rPr>
      </w:r>
      <w:r>
        <w:rPr>
          <w:spacing w:val="-4"/>
        </w:rPr>
        <w:t>类资产或处置组的惯例，在当前状况下即可立即出售；本公司已经就出售计划作出决议且获得确定的购买承诺；预计出售将</w:t>
      </w:r>
      <w:r>
        <w:rPr>
          <w:spacing w:val="44"/>
        </w:rPr>
        <w:t> </w:t>
      </w:r>
      <w:r>
        <w:rPr>
          <w:spacing w:val="44"/>
        </w:rPr>
      </w:r>
      <w:r>
        <w:rPr>
          <w:spacing w:val="-4"/>
        </w:rPr>
        <w:t>在一年内完成。其中，处置组是指在一项交易中作为整体通过出售或其他方式一并处置的一组资产，以及在该交易中转让的</w:t>
      </w:r>
      <w:r>
        <w:rPr>
          <w:spacing w:val="43"/>
        </w:rPr>
        <w:t> </w:t>
      </w:r>
      <w:r>
        <w:rPr>
          <w:spacing w:val="43"/>
        </w:rPr>
      </w:r>
      <w:r>
        <w:rPr>
          <w:spacing w:val="-3"/>
        </w:rPr>
        <w:t>与这些资产直接相关的负债。处置组所属的资产组或资产组组合按照《企业会计准则第</w:t>
      </w:r>
      <w:r>
        <w:rPr>
          <w:rFonts w:ascii="宋体" w:hAnsi="宋体" w:cs="宋体" w:eastAsia="宋体" w:hint="default"/>
          <w:spacing w:val="-3"/>
        </w:rPr>
        <w:t>8</w:t>
      </w:r>
      <w:r>
        <w:rPr>
          <w:spacing w:val="-3"/>
        </w:rPr>
        <w:t>号——资产减值》分摊了企业合并</w:t>
      </w:r>
      <w:r>
        <w:rPr>
          <w:spacing w:val="71"/>
        </w:rPr>
        <w:t> </w:t>
      </w:r>
      <w:r>
        <w:rPr>
          <w:spacing w:val="71"/>
        </w:rPr>
      </w:r>
      <w:r>
        <w:rPr>
          <w:spacing w:val="-3"/>
        </w:rPr>
        <w:t>中取得的商誉的，该处置组应当包含分摊至处置组的商誉。</w:t>
      </w:r>
    </w:p>
    <w:p>
      <w:pPr>
        <w:pStyle w:val="BodyText"/>
        <w:spacing w:line="357" w:lineRule="auto" w:before="28"/>
        <w:ind w:right="1055" w:firstLine="360"/>
        <w:jc w:val="left"/>
      </w:pPr>
      <w:r>
        <w:rPr>
          <w:spacing w:val="-5"/>
          <w:w w:val="101"/>
        </w:rPr>
        <w:t>本公司初始计量或在资产负债表日重新计量划分为持有待售的非流动资产和处置组时，其账面价值高于公允价值减去出</w:t>
      </w:r>
      <w:r>
        <w:rPr>
          <w:w w:val="101"/>
        </w:rPr>
        <w:t> </w:t>
      </w:r>
      <w:r>
        <w:rPr>
          <w:spacing w:val="-3"/>
        </w:rPr>
        <w:t>售费用后的净额的，将账面价值减记至公允价值减去出售费用后的净额，减记的金额确认为资产减值损失，计入当期损益，</w:t>
      </w:r>
      <w:r>
        <w:rPr>
          <w:spacing w:val="68"/>
        </w:rPr>
        <w:t> </w:t>
      </w:r>
      <w:r>
        <w:rPr>
          <w:spacing w:val="68"/>
        </w:rPr>
      </w:r>
      <w:r>
        <w:rPr>
          <w:spacing w:val="-4"/>
        </w:rPr>
        <w:t>同时计提持有待售资产减值准备。对于处置组，所确认的资产减值损失先抵减处置组中商誉的账面价值，再按比例抵减该处</w:t>
      </w:r>
      <w:r>
        <w:rPr>
          <w:spacing w:val="43"/>
        </w:rPr>
        <w:t> </w:t>
      </w:r>
      <w:r>
        <w:rPr>
          <w:spacing w:val="43"/>
        </w:rPr>
      </w:r>
      <w:r>
        <w:rPr>
          <w:spacing w:val="-4"/>
        </w:rPr>
        <w:t>置组内适用《企业会计准则第</w:t>
      </w:r>
      <w:r>
        <w:rPr>
          <w:rFonts w:ascii="宋体" w:hAnsi="宋体" w:cs="宋体" w:eastAsia="宋体" w:hint="default"/>
          <w:spacing w:val="-4"/>
        </w:rPr>
        <w:t>42</w:t>
      </w:r>
      <w:r>
        <w:rPr>
          <w:spacing w:val="-4"/>
        </w:rPr>
        <w:t>号——持有待售的非流动资产、处置组和终止经营》（以下简称“持有待售准则”）的计量</w:t>
      </w:r>
      <w:r>
        <w:rPr>
          <w:spacing w:val="46"/>
        </w:rPr>
        <w:t> </w:t>
      </w:r>
      <w:r>
        <w:rPr>
          <w:spacing w:val="46"/>
        </w:rPr>
      </w:r>
      <w:r>
        <w:rPr>
          <w:spacing w:val="-4"/>
        </w:rPr>
        <w:t>规定的各项非流动资产的账面价值。后续资产负债表日持有待售的处置组公允价值减去出售费用后的净额增加的，以前减记</w:t>
      </w:r>
      <w:r>
        <w:rPr>
          <w:spacing w:val="43"/>
        </w:rPr>
        <w:t> </w:t>
      </w:r>
      <w:r>
        <w:rPr>
          <w:spacing w:val="43"/>
        </w:rPr>
      </w:r>
      <w:r>
        <w:rPr>
          <w:spacing w:val="-3"/>
        </w:rPr>
        <w:t>的金额应当予以恢复，并在划分为持有待售类别后适用持有待售准则计量规定的非流动资产确认的资产减值损失金额内转</w:t>
      </w:r>
      <w:r>
        <w:rPr>
          <w:spacing w:val="66"/>
        </w:rPr>
        <w:t> </w:t>
      </w:r>
      <w:r>
        <w:rPr>
          <w:spacing w:val="66"/>
        </w:rPr>
      </w:r>
      <w:r>
        <w:rPr>
          <w:spacing w:val="-4"/>
        </w:rPr>
        <w:t>回，转回金额计入当期损益，并根据处置组中除商誉外适用持有待售准则计量规定的各项非流动资产账面价值所占比重按比</w:t>
      </w:r>
      <w:r>
        <w:rPr>
          <w:spacing w:val="38"/>
        </w:rPr>
        <w:t> </w:t>
      </w:r>
      <w:r>
        <w:rPr>
          <w:spacing w:val="38"/>
        </w:rPr>
      </w:r>
      <w:r>
        <w:rPr>
          <w:spacing w:val="-4"/>
        </w:rPr>
        <w:t>例增加其账面价值；已抵减的商誉账面价值，以及适用持有待售准则计量规定的非流动资产在划分为持有待售类别前确认的</w:t>
      </w:r>
      <w:r>
        <w:rPr>
          <w:spacing w:val="39"/>
        </w:rPr>
        <w:t> </w:t>
      </w:r>
      <w:r>
        <w:rPr>
          <w:spacing w:val="39"/>
        </w:rPr>
      </w:r>
      <w:r>
        <w:rPr>
          <w:spacing w:val="-3"/>
        </w:rPr>
        <w:t>资产减值损失不得转回。</w:t>
      </w:r>
    </w:p>
    <w:p>
      <w:pPr>
        <w:pStyle w:val="BodyText"/>
        <w:spacing w:line="357" w:lineRule="auto" w:before="26"/>
        <w:ind w:right="1055" w:firstLine="360"/>
        <w:jc w:val="left"/>
      </w:pPr>
      <w:r>
        <w:rPr>
          <w:spacing w:val="-5"/>
          <w:w w:val="101"/>
        </w:rPr>
        <w:t>持有待售的非流动资产或处置组中的非流动资产不计提折旧或摊销，持有待售的处置组中负债的利息和其他费用继续予</w:t>
      </w:r>
      <w:r>
        <w:rPr>
          <w:w w:val="101"/>
        </w:rPr>
        <w:t> </w:t>
      </w:r>
      <w:r>
        <w:rPr/>
        <w:t>以确认。</w:t>
      </w:r>
    </w:p>
    <w:p>
      <w:pPr>
        <w:pStyle w:val="BodyText"/>
        <w:spacing w:line="357" w:lineRule="auto" w:before="27"/>
        <w:ind w:right="1055" w:firstLine="360"/>
        <w:jc w:val="left"/>
      </w:pPr>
      <w:r>
        <w:rPr>
          <w:spacing w:val="-5"/>
          <w:w w:val="101"/>
        </w:rPr>
        <w:t>非流动资产或处置组不再满足持有待售类别的划分条件时，本公司不再将其继续划分为持有待售类别或将非流动资产从</w:t>
      </w:r>
      <w:r>
        <w:rPr>
          <w:w w:val="101"/>
        </w:rPr>
        <w:t> </w:t>
      </w:r>
      <w:r>
        <w:rPr>
          <w:spacing w:val="-3"/>
        </w:rPr>
        <w:t>持有待售的处置组中移除，并按照以下两者孰低计量：（</w:t>
      </w:r>
      <w:r>
        <w:rPr>
          <w:rFonts w:ascii="宋体" w:hAnsi="宋体" w:cs="宋体" w:eastAsia="宋体" w:hint="default"/>
          <w:spacing w:val="-3"/>
        </w:rPr>
        <w:t>1</w:t>
      </w:r>
      <w:r>
        <w:rPr>
          <w:spacing w:val="-3"/>
        </w:rPr>
        <w:t>）划分为持有待售类别前的账面价值，按照假定不划分为持有待</w:t>
      </w:r>
    </w:p>
    <w:p>
      <w:pPr>
        <w:spacing w:after="0" w:line="357"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240" w:lineRule="auto" w:before="46"/>
        <w:ind w:right="1055"/>
        <w:jc w:val="left"/>
      </w:pPr>
      <w:r>
        <w:rPr>
          <w:spacing w:val="-3"/>
        </w:rPr>
        <w:t>售类别情况下本应确认的折旧、摊销或减值等进行调整后的金额；（</w:t>
      </w:r>
      <w:r>
        <w:rPr>
          <w:rFonts w:ascii="宋体" w:hAnsi="宋体" w:cs="宋体" w:eastAsia="宋体" w:hint="default"/>
          <w:spacing w:val="-3"/>
        </w:rPr>
        <w:t>2</w:t>
      </w:r>
      <w:r>
        <w:rPr>
          <w:spacing w:val="-3"/>
        </w:rPr>
        <w:t>）可收回金额。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8" w:firstLine="360"/>
        <w:jc w:val="both"/>
      </w:pPr>
      <w:r>
        <w:rPr>
          <w:spacing w:val="-5"/>
        </w:rPr>
        <w:t>本部分所指的长期股权投资是指本公司对被投资单位具有控制、共同控制或重大影响的长期股权投资。本公司对被投资</w:t>
      </w:r>
      <w:r>
        <w:rPr>
          <w:w w:val="101"/>
        </w:rPr>
        <w:t> </w:t>
      </w:r>
      <w:r>
        <w:rPr>
          <w:spacing w:val="-5"/>
        </w:rPr>
        <w:t>单位不具有控制、共同控制或重大影响的长期股权投资，作为可供出售金融资产或以公允价值计量且其变动计入当期损益的</w:t>
      </w:r>
      <w:r>
        <w:rPr>
          <w:spacing w:val="6"/>
        </w:rPr>
        <w:t> </w:t>
      </w:r>
      <w:r>
        <w:rPr>
          <w:spacing w:val="6"/>
        </w:rPr>
      </w:r>
      <w:r>
        <w:rPr>
          <w:spacing w:val="-3"/>
        </w:rPr>
        <w:t>金融资产核算，其会计政策详见附注五、10“金融工具”。</w:t>
      </w:r>
    </w:p>
    <w:p>
      <w:pPr>
        <w:pStyle w:val="BodyText"/>
        <w:spacing w:line="357" w:lineRule="auto" w:before="26"/>
        <w:ind w:right="1122" w:firstLine="360"/>
        <w:jc w:val="both"/>
      </w:pPr>
      <w:r>
        <w:rPr>
          <w:spacing w:val="-4"/>
        </w:rPr>
        <w:t>共同控制，是指本公司按照相关约定对某项安排所共有的控制，并且该安排的相关活动必须经过分享控制权的参与方一</w:t>
      </w:r>
      <w:r>
        <w:rPr>
          <w:w w:val="101"/>
        </w:rPr>
        <w:t> </w:t>
      </w:r>
      <w:r>
        <w:rPr>
          <w:spacing w:val="-4"/>
        </w:rPr>
        <w:t>致同意后才能决策。重大影响，是指本公司对被投资单位的财务和经营政策有参与决策的权力，但并不能够控制或者与其他</w:t>
      </w:r>
      <w:r>
        <w:rPr>
          <w:spacing w:val="44"/>
        </w:rPr>
        <w:t> </w:t>
      </w:r>
      <w:r>
        <w:rPr>
          <w:spacing w:val="44"/>
        </w:rPr>
      </w:r>
      <w:r>
        <w:rPr>
          <w:spacing w:val="-3"/>
        </w:rPr>
        <w:t>方一起共同控制这些政策的制定。</w:t>
      </w:r>
    </w:p>
    <w:p>
      <w:pPr>
        <w:pStyle w:val="BodyText"/>
        <w:spacing w:line="357" w:lineRule="auto" w:before="26"/>
        <w:ind w:left="513" w:right="1055"/>
        <w:jc w:val="left"/>
      </w:pPr>
      <w:r>
        <w:rPr/>
        <w:t>（</w:t>
      </w:r>
      <w:r>
        <w:rPr>
          <w:rFonts w:ascii="宋体" w:hAnsi="宋体" w:cs="宋体" w:eastAsia="宋体" w:hint="default"/>
        </w:rPr>
        <w:t>1</w:t>
      </w:r>
      <w:r>
        <w:rPr/>
        <w:t>）投资成本的确定</w:t>
      </w:r>
      <w:r>
        <w:rPr>
          <w:spacing w:val="-88"/>
        </w:rPr>
        <w:t> </w:t>
      </w:r>
      <w:r>
        <w:rPr>
          <w:spacing w:val="-88"/>
        </w:rPr>
      </w:r>
      <w:r>
        <w:rPr>
          <w:spacing w:val="-5"/>
          <w:w w:val="101"/>
        </w:rPr>
        <w:t>对于同一控制下的企业合并取得的长期股权投资，在合并日按照被合并方在最终控制方合并财务报表中的账面价值的份</w:t>
      </w:r>
      <w:r>
        <w:rPr>
          <w:spacing w:val="-5"/>
        </w:rPr>
      </w:r>
    </w:p>
    <w:p>
      <w:pPr>
        <w:pStyle w:val="BodyText"/>
        <w:spacing w:line="357" w:lineRule="auto" w:before="26"/>
        <w:ind w:right="1055"/>
        <w:jc w:val="left"/>
      </w:pPr>
      <w:r>
        <w:rPr>
          <w:spacing w:val="-4"/>
        </w:rPr>
        <w:t>额作为长期股权投资的初始投资成本。长期股权投资初始投资成本与支付的现金、转让的非现金资产以及所承担债务账面价</w:t>
      </w:r>
      <w:r>
        <w:rPr>
          <w:spacing w:val="44"/>
        </w:rPr>
        <w:t> </w:t>
      </w:r>
      <w:r>
        <w:rPr>
          <w:spacing w:val="44"/>
        </w:rPr>
      </w:r>
      <w:r>
        <w:rPr>
          <w:spacing w:val="-4"/>
        </w:rPr>
        <w:t>值之间的差额，调整资本公积；资本公积不足冲减的，调整留存收益。以发行权益性证券作为合并对价的，在合并日按照被</w:t>
      </w:r>
      <w:r>
        <w:rPr>
          <w:spacing w:val="40"/>
        </w:rPr>
        <w:t> </w:t>
      </w:r>
      <w:r>
        <w:rPr>
          <w:spacing w:val="40"/>
        </w:rPr>
      </w:r>
      <w:r>
        <w:rPr>
          <w:spacing w:val="-4"/>
          <w:w w:val="101"/>
        </w:rPr>
        <w:t>合并方在最终控制方合并财务报表中的账面价值的份额作为长期股权投资的初始投资成本，按照发行股份的面值总额作为股</w:t>
      </w:r>
      <w:r>
        <w:rPr>
          <w:w w:val="101"/>
        </w:rPr>
        <w:t> </w:t>
      </w:r>
      <w:r>
        <w:rPr>
          <w:spacing w:val="-3"/>
        </w:rPr>
        <w:t>本，长期股权投资初始投资成本与所发行股份面值总额之间的差额，调整资本公积；资本公积不足冲减的，调整留存收益。</w:t>
      </w:r>
      <w:r>
        <w:rPr>
          <w:spacing w:val="66"/>
        </w:rPr>
        <w:t> </w:t>
      </w:r>
      <w:r>
        <w:rPr>
          <w:spacing w:val="66"/>
        </w:rPr>
      </w:r>
      <w:r>
        <w:rPr>
          <w:spacing w:val="-4"/>
        </w:rPr>
        <w:t>通过多次交易分步取得同一控制下被合并方的股权，最终形成同一控制下企业合并的，应分别是否属于“一揽子交易”进行</w:t>
      </w:r>
      <w:r>
        <w:rPr>
          <w:spacing w:val="46"/>
        </w:rPr>
        <w:t> </w:t>
      </w:r>
      <w:r>
        <w:rPr>
          <w:spacing w:val="46"/>
        </w:rPr>
      </w:r>
      <w:r>
        <w:rPr>
          <w:spacing w:val="-4"/>
        </w:rPr>
        <w:t>处理：属于“一揽子交易”的，将各项交易作为一项取得控制权的交易进行会计处理。不属于“一揽子交易”的，在合并日</w:t>
      </w:r>
      <w:r>
        <w:rPr>
          <w:spacing w:val="41"/>
        </w:rPr>
        <w:t> </w:t>
      </w:r>
      <w:r>
        <w:rPr>
          <w:spacing w:val="41"/>
        </w:rPr>
      </w:r>
      <w:r>
        <w:rPr>
          <w:spacing w:val="-3"/>
        </w:rPr>
        <w:t>按照应享有被合并方股东权益</w:t>
      </w:r>
      <w:r>
        <w:rPr>
          <w:rFonts w:ascii="宋体" w:hAnsi="宋体" w:cs="宋体" w:eastAsia="宋体" w:hint="default"/>
          <w:spacing w:val="-3"/>
        </w:rPr>
        <w:t>/</w:t>
      </w:r>
      <w:r>
        <w:rPr>
          <w:spacing w:val="-3"/>
        </w:rPr>
        <w:t>所有者权益在最终控制方合并财务报表中的账面价值的份额作为长期股权投资的初始投资成</w:t>
      </w:r>
      <w:r>
        <w:rPr>
          <w:spacing w:val="70"/>
        </w:rPr>
        <w:t> </w:t>
      </w:r>
      <w:r>
        <w:rPr>
          <w:spacing w:val="70"/>
        </w:rPr>
      </w:r>
      <w:r>
        <w:rPr>
          <w:spacing w:val="-4"/>
          <w:w w:val="101"/>
        </w:rPr>
        <w:t>本，长期股权投资初始投资成本与达到合并前的长期股权投资账面价值加上合并日进一步取得股份新支付对价的账面价值之</w:t>
      </w:r>
      <w:r>
        <w:rPr>
          <w:w w:val="101"/>
        </w:rPr>
        <w:t> </w:t>
      </w:r>
      <w:r>
        <w:rPr>
          <w:spacing w:val="-4"/>
        </w:rPr>
        <w:t>和的差额，调整资本公积；资本公积不足冲减的，调整留存收益。合并日之前持有的股权投资因采用权益法核算或为可供出</w:t>
      </w:r>
      <w:r>
        <w:rPr>
          <w:spacing w:val="40"/>
        </w:rPr>
        <w:t> </w:t>
      </w:r>
      <w:r>
        <w:rPr>
          <w:spacing w:val="40"/>
        </w:rPr>
      </w:r>
      <w:r>
        <w:rPr>
          <w:spacing w:val="-3"/>
        </w:rPr>
        <w:t>售金融资产而确认的其他综合收益，暂不进行会计处理。</w:t>
      </w:r>
    </w:p>
    <w:p>
      <w:pPr>
        <w:pStyle w:val="BodyText"/>
        <w:spacing w:line="357" w:lineRule="auto" w:before="26"/>
        <w:ind w:right="1055" w:firstLine="360"/>
        <w:jc w:val="left"/>
      </w:pPr>
      <w:r>
        <w:rPr>
          <w:spacing w:val="-4"/>
        </w:rPr>
        <w:t>对于非同一控制下的企业合并取得的长期股权投资，在购买日按照合并成本作为长期股权投资的初始投资成本，合并成</w:t>
      </w:r>
      <w:r>
        <w:rPr>
          <w:w w:val="101"/>
        </w:rPr>
        <w:t> </w:t>
      </w:r>
      <w:r>
        <w:rPr>
          <w:spacing w:val="-6"/>
        </w:rPr>
        <w:t>本包括购买方付出的资产、发生或承担的负债、发行的权益性证券的公允价值之和。通过多次交易分步取得被购买方的股权，</w:t>
      </w:r>
      <w:r>
        <w:rPr>
          <w:spacing w:val="63"/>
        </w:rPr>
        <w:t> </w:t>
      </w:r>
      <w:r>
        <w:rPr>
          <w:spacing w:val="63"/>
        </w:rPr>
      </w:r>
      <w:r>
        <w:rPr>
          <w:spacing w:val="-4"/>
        </w:rPr>
        <w:t>最终形成非同一控制下的企业合并的，应分别是否属于“一揽子交易”进行处理：属于“一揽子交易”的，将各项交易作为</w:t>
      </w:r>
      <w:r>
        <w:rPr>
          <w:spacing w:val="42"/>
        </w:rPr>
        <w:t> </w:t>
      </w:r>
      <w:r>
        <w:rPr>
          <w:spacing w:val="42"/>
        </w:rPr>
      </w:r>
      <w:r>
        <w:rPr>
          <w:spacing w:val="-4"/>
        </w:rPr>
        <w:t>一项取得控制权的交易进行会计处理。不属于“一揽子交易”的，按照原持有被购买方的股权投资账面价值加上新增投资成</w:t>
      </w:r>
      <w:r>
        <w:rPr>
          <w:spacing w:val="44"/>
        </w:rPr>
        <w:t> </w:t>
      </w:r>
      <w:r>
        <w:rPr>
          <w:spacing w:val="44"/>
        </w:rPr>
      </w:r>
      <w:r>
        <w:rPr>
          <w:spacing w:val="-4"/>
        </w:rPr>
        <w:t>本之和，作为改按成本法核算的长期股权投资的初始投资成本。原持有的股权采用权益法核算的，相关其他综合收益暂不进</w:t>
      </w:r>
      <w:r>
        <w:rPr>
          <w:spacing w:val="43"/>
        </w:rPr>
        <w:t> </w:t>
      </w:r>
      <w:r>
        <w:rPr>
          <w:spacing w:val="43"/>
        </w:rPr>
      </w:r>
      <w:r>
        <w:rPr>
          <w:spacing w:val="-4"/>
        </w:rPr>
        <w:t>行会计处理。原持有股权投资为可供出售金融资产的，其公允价值与账面价值之间的差额，以及原计入其他综合收益的累计</w:t>
      </w:r>
      <w:r>
        <w:rPr>
          <w:spacing w:val="43"/>
        </w:rPr>
        <w:t> </w:t>
      </w:r>
      <w:r>
        <w:rPr>
          <w:spacing w:val="43"/>
        </w:rPr>
      </w:r>
      <w:r>
        <w:rPr>
          <w:spacing w:val="-3"/>
        </w:rPr>
        <w:t>公允价值变动转入当期损益。</w:t>
      </w:r>
    </w:p>
    <w:p>
      <w:pPr>
        <w:pStyle w:val="BodyText"/>
        <w:spacing w:line="357" w:lineRule="auto" w:before="26"/>
        <w:ind w:right="1124" w:firstLine="360"/>
        <w:jc w:val="both"/>
      </w:pPr>
      <w:r>
        <w:rPr>
          <w:spacing w:val="-4"/>
        </w:rPr>
        <w:t>合并方或购买方为企业合并发生的审计、法律服务、评估咨询等中介费用以及其他相关管理费用，于发生时计入当期损</w:t>
      </w:r>
      <w:r>
        <w:rPr>
          <w:w w:val="101"/>
        </w:rPr>
        <w:t> </w:t>
      </w:r>
      <w:r>
        <w:rPr/>
        <w:t>益。</w:t>
      </w:r>
    </w:p>
    <w:p>
      <w:pPr>
        <w:pStyle w:val="BodyText"/>
        <w:spacing w:line="355" w:lineRule="auto" w:before="26"/>
        <w:ind w:right="1122" w:firstLine="360"/>
        <w:jc w:val="both"/>
      </w:pPr>
      <w:r>
        <w:rPr>
          <w:spacing w:val="-4"/>
        </w:rPr>
        <w:t>除企业合并形成的长期股权投资外的其他股权投资，按成本进行初始计量，该成本视长期股权投资取得方式的不同，分</w:t>
      </w:r>
      <w:r>
        <w:rPr>
          <w:w w:val="101"/>
        </w:rPr>
        <w:t> </w:t>
      </w:r>
      <w:r>
        <w:rPr>
          <w:spacing w:val="-4"/>
        </w:rPr>
        <w:t>别按照本公司实际支付的现金购买价款、本公司发行的权益性证券的公允价值、投资合同或协议约定的价值、非货币性资产</w:t>
      </w:r>
      <w:r>
        <w:rPr>
          <w:spacing w:val="43"/>
        </w:rPr>
        <w:t> </w:t>
      </w:r>
      <w:r>
        <w:rPr>
          <w:spacing w:val="43"/>
        </w:rPr>
      </w:r>
      <w:r>
        <w:rPr>
          <w:spacing w:val="-4"/>
        </w:rPr>
        <w:t>交换交易中换出资产的公允价值或原账面价值、该项长期股权投资自身的公允价值等方式确定。与取得长期股权投资直接相</w:t>
      </w:r>
      <w:r>
        <w:rPr>
          <w:spacing w:val="44"/>
        </w:rPr>
        <w:t> </w:t>
      </w:r>
      <w:r>
        <w:rPr>
          <w:spacing w:val="44"/>
        </w:rPr>
      </w:r>
      <w:r>
        <w:rPr>
          <w:spacing w:val="-4"/>
        </w:rPr>
        <w:t>关的费用、税金及其他必要支出也计入投资成本。对于因追加投资能够对被投资单位实施重大影响或实施共同控制但不构成</w:t>
      </w:r>
      <w:r>
        <w:rPr>
          <w:spacing w:val="39"/>
        </w:rPr>
        <w:t> </w:t>
      </w:r>
      <w:r>
        <w:rPr>
          <w:spacing w:val="39"/>
        </w:rPr>
      </w:r>
      <w:r>
        <w:rPr>
          <w:spacing w:val="-4"/>
        </w:rPr>
        <w:t>控制的，长期股权投资成本为按照《企业会计准则第</w:t>
      </w:r>
      <w:r>
        <w:rPr>
          <w:rFonts w:ascii="宋体" w:hAnsi="宋体" w:cs="宋体" w:eastAsia="宋体" w:hint="default"/>
          <w:spacing w:val="-4"/>
        </w:rPr>
        <w:t>22</w:t>
      </w:r>
      <w:r>
        <w:rPr>
          <w:spacing w:val="-4"/>
        </w:rPr>
        <w:t>号——金融工具确认和计量》确定的原持有股权投资的公允价值加上</w:t>
      </w:r>
      <w:r>
        <w:rPr>
          <w:spacing w:val="48"/>
        </w:rPr>
        <w:t> </w:t>
      </w:r>
      <w:r>
        <w:rPr>
          <w:spacing w:val="48"/>
        </w:rPr>
      </w:r>
      <w:r>
        <w:rPr>
          <w:spacing w:val="-3"/>
        </w:rPr>
        <w:t>新增投资成本之和。</w:t>
      </w:r>
    </w:p>
    <w:p>
      <w:pPr>
        <w:pStyle w:val="BodyText"/>
        <w:spacing w:line="357" w:lineRule="auto" w:before="28"/>
        <w:ind w:left="513" w:right="1055"/>
        <w:jc w:val="left"/>
      </w:pPr>
      <w:r>
        <w:rPr>
          <w:spacing w:val="-3"/>
        </w:rPr>
        <w:t>（</w:t>
      </w:r>
      <w:r>
        <w:rPr>
          <w:rFonts w:ascii="宋体" w:hAnsi="宋体" w:cs="宋体" w:eastAsia="宋体" w:hint="default"/>
          <w:spacing w:val="-3"/>
        </w:rPr>
        <w:t>2</w:t>
      </w:r>
      <w:r>
        <w:rPr>
          <w:spacing w:val="-3"/>
        </w:rPr>
        <w:t>）后续计量及损益确认方法</w:t>
      </w:r>
      <w:r>
        <w:rPr>
          <w:spacing w:val="-46"/>
        </w:rPr>
        <w:t> </w:t>
      </w:r>
      <w:r>
        <w:rPr>
          <w:spacing w:val="-46"/>
        </w:rPr>
      </w:r>
      <w:r>
        <w:rPr>
          <w:spacing w:val="-5"/>
        </w:rPr>
        <w:t>对被投资单位具有共同控制（构成共同经营者除外）或重大影响的长期股权投资，采用权益法核算。此外，公司财务报</w:t>
      </w:r>
    </w:p>
    <w:p>
      <w:pPr>
        <w:pStyle w:val="BodyText"/>
        <w:spacing w:line="240" w:lineRule="auto" w:before="26"/>
        <w:ind w:right="1055"/>
        <w:jc w:val="left"/>
      </w:pPr>
      <w:r>
        <w:rPr>
          <w:spacing w:val="-3"/>
        </w:rPr>
        <w:t>表采用成本法核算能够对被投资单位实施控制的长期股权投资。</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left="513" w:right="1055"/>
        <w:jc w:val="left"/>
      </w:pPr>
      <w:r>
        <w:rPr/>
        <w:t>① </w:t>
      </w:r>
      <w:r>
        <w:rPr>
          <w:spacing w:val="-3"/>
        </w:rPr>
        <w:t>成本法核算的长期股权投资</w:t>
      </w:r>
      <w:r>
        <w:rPr>
          <w:spacing w:val="-52"/>
        </w:rPr>
        <w:t> </w:t>
      </w:r>
      <w:r>
        <w:rPr>
          <w:spacing w:val="-52"/>
        </w:rPr>
      </w:r>
      <w:r>
        <w:rPr>
          <w:spacing w:val="-4"/>
        </w:rPr>
        <w:t>采用成本法核算时，长期股权投资按初始投资成本计价，追加或收回投资调整长期股权投资的成本。除取得投资时实际</w:t>
      </w:r>
    </w:p>
    <w:p>
      <w:pPr>
        <w:pStyle w:val="BodyText"/>
        <w:spacing w:line="357" w:lineRule="auto" w:before="26"/>
        <w:ind w:right="1117"/>
        <w:jc w:val="left"/>
      </w:pPr>
      <w:r>
        <w:rPr>
          <w:spacing w:val="-4"/>
          <w:w w:val="101"/>
        </w:rPr>
        <w:t>支付的价款或者对价中包含的已宣告但尚未发放的现金股利或者利润外，当期投资收益按照享有被投资单位宣告发放的现金</w:t>
      </w:r>
      <w:r>
        <w:rPr>
          <w:w w:val="101"/>
        </w:rPr>
        <w:t> </w:t>
      </w:r>
      <w:r>
        <w:rPr/>
        <w:t>股利或利润确认。</w:t>
      </w:r>
    </w:p>
    <w:p>
      <w:pPr>
        <w:pStyle w:val="BodyText"/>
        <w:spacing w:line="357" w:lineRule="auto" w:before="26"/>
        <w:ind w:left="513" w:right="1055"/>
        <w:jc w:val="left"/>
      </w:pPr>
      <w:r>
        <w:rPr/>
        <w:t>② </w:t>
      </w:r>
      <w:r>
        <w:rPr>
          <w:spacing w:val="-3"/>
        </w:rPr>
        <w:t>权益法核算的长期股权投资</w:t>
      </w:r>
      <w:r>
        <w:rPr>
          <w:spacing w:val="-52"/>
        </w:rPr>
        <w:t> </w:t>
      </w:r>
      <w:r>
        <w:rPr>
          <w:spacing w:val="-52"/>
        </w:rPr>
      </w:r>
      <w:r>
        <w:rPr>
          <w:spacing w:val="-4"/>
        </w:rPr>
        <w:t>采用权益法核算时，长期股权投资的初始投资成本大于投资时应享有被投资单位可辨认净资产公允价值份额的，不调整</w:t>
      </w:r>
    </w:p>
    <w:p>
      <w:pPr>
        <w:pStyle w:val="BodyText"/>
        <w:spacing w:line="357" w:lineRule="auto" w:before="26"/>
        <w:ind w:right="1055"/>
        <w:jc w:val="left"/>
      </w:pPr>
      <w:r>
        <w:rPr>
          <w:spacing w:val="-4"/>
        </w:rPr>
        <w:t>长期股权投资的初始投资成本；初始投资成本小于投资时应享有被投资单位可辨认净资产公允价值份额的，其差额计入当期</w:t>
      </w:r>
      <w:r>
        <w:rPr>
          <w:spacing w:val="42"/>
        </w:rPr>
        <w:t> </w:t>
      </w:r>
      <w:r>
        <w:rPr>
          <w:spacing w:val="42"/>
        </w:rPr>
      </w:r>
      <w:r>
        <w:rPr>
          <w:spacing w:val="-3"/>
        </w:rPr>
        <w:t>损益，同时调整长期股权投资的成本。</w:t>
      </w:r>
    </w:p>
    <w:p>
      <w:pPr>
        <w:pStyle w:val="BodyText"/>
        <w:spacing w:line="357" w:lineRule="auto" w:before="27"/>
        <w:ind w:right="1055" w:firstLine="360"/>
        <w:jc w:val="left"/>
      </w:pPr>
      <w:r>
        <w:rPr>
          <w:spacing w:val="-4"/>
        </w:rPr>
        <w:t>采用权益法核算时，按照应享有或应分担的被投资单位实现的净损益和其他综合收益的份额，分别确认投资收益和其他</w:t>
      </w:r>
      <w:r>
        <w:rPr>
          <w:w w:val="101"/>
        </w:rPr>
        <w:t> </w:t>
      </w:r>
      <w:r>
        <w:rPr>
          <w:spacing w:val="-4"/>
        </w:rPr>
        <w:t>综合收益，同时调整长期股权投资的账面价值；按照被投资单位宣告分派的利润或现金股利计算应享有的部分，相应减少长</w:t>
      </w:r>
      <w:r>
        <w:rPr>
          <w:spacing w:val="43"/>
        </w:rPr>
        <w:t> </w:t>
      </w:r>
      <w:r>
        <w:rPr>
          <w:spacing w:val="43"/>
        </w:rPr>
      </w:r>
      <w:r>
        <w:rPr>
          <w:spacing w:val="-4"/>
        </w:rPr>
        <w:t>期股权投资的账面价值；对于被投资单位除净损益、其他综合收益和利润分配以外所有者权益的其他变动，调整长期股权投</w:t>
      </w:r>
      <w:r>
        <w:rPr>
          <w:spacing w:val="44"/>
        </w:rPr>
        <w:t> </w:t>
      </w:r>
      <w:r>
        <w:rPr>
          <w:spacing w:val="44"/>
        </w:rPr>
      </w:r>
      <w:r>
        <w:rPr>
          <w:spacing w:val="-4"/>
        </w:rPr>
        <w:t>资的账面价值并计入资本公积。在确认应享有被投资单位净损益的份额时，以取得投资时被投资单位各项可辨认资产等的公</w:t>
      </w:r>
      <w:r>
        <w:rPr>
          <w:spacing w:val="42"/>
        </w:rPr>
        <w:t> </w:t>
      </w:r>
      <w:r>
        <w:rPr>
          <w:spacing w:val="42"/>
        </w:rPr>
      </w:r>
      <w:r>
        <w:rPr>
          <w:spacing w:val="-4"/>
        </w:rPr>
        <w:t>允价值为基础，对被投资单位的净利润进行调整后确认。被投资单位采用的会计政策及会计期间与本公司不一致的，按照本</w:t>
      </w:r>
      <w:r>
        <w:rPr>
          <w:spacing w:val="43"/>
        </w:rPr>
        <w:t> </w:t>
      </w:r>
      <w:r>
        <w:rPr>
          <w:spacing w:val="43"/>
        </w:rPr>
      </w:r>
      <w:r>
        <w:rPr>
          <w:spacing w:val="-4"/>
        </w:rPr>
        <w:t>公司的会计政策及会计期间对被投资单位的财务报表进行调整，并据以确认投资收益和其他综合收益。对于本公司与联营企</w:t>
      </w:r>
      <w:r>
        <w:rPr>
          <w:spacing w:val="38"/>
        </w:rPr>
        <w:t> </w:t>
      </w:r>
      <w:r>
        <w:rPr>
          <w:spacing w:val="38"/>
        </w:rPr>
      </w:r>
      <w:r>
        <w:rPr>
          <w:spacing w:val="-4"/>
        </w:rPr>
        <w:t>业及合营企业之间发生的交易，投出或出售的资产不构成业务的，未实现内部交易损益按照享有的比例计算归属于本公司的</w:t>
      </w:r>
      <w:r>
        <w:rPr>
          <w:spacing w:val="42"/>
        </w:rPr>
        <w:t> </w:t>
      </w:r>
      <w:r>
        <w:rPr>
          <w:spacing w:val="42"/>
        </w:rPr>
      </w:r>
      <w:r>
        <w:rPr>
          <w:spacing w:val="-6"/>
        </w:rPr>
        <w:t>部分予以抵销，在此基础上确认投资损益。但本公司与被投资单位发生的未实现内部交易损失，属于所转让资产减值损失的，</w:t>
      </w:r>
      <w:r>
        <w:rPr>
          <w:spacing w:val="64"/>
        </w:rPr>
        <w:t> </w:t>
      </w:r>
      <w:r>
        <w:rPr>
          <w:spacing w:val="64"/>
        </w:rPr>
      </w:r>
      <w:r>
        <w:rPr>
          <w:spacing w:val="-4"/>
        </w:rPr>
        <w:t>不予以抵销。本公司向合营企业或联营企业投出的资产构成业务的，投资方因此取得长期股权投资但未取得控制权的，以投</w:t>
      </w:r>
      <w:r>
        <w:rPr>
          <w:spacing w:val="43"/>
        </w:rPr>
        <w:t> </w:t>
      </w:r>
      <w:r>
        <w:rPr>
          <w:spacing w:val="43"/>
        </w:rPr>
      </w:r>
      <w:r>
        <w:rPr>
          <w:spacing w:val="-3"/>
        </w:rPr>
        <w:t>出业务的公允价值作为新增长期股权投资的初始投资成本，初始投资成本与投出业务的账面价值之差，全额计入当期损益。</w:t>
      </w:r>
      <w:r>
        <w:rPr>
          <w:spacing w:val="66"/>
        </w:rPr>
        <w:t> </w:t>
      </w:r>
      <w:r>
        <w:rPr>
          <w:spacing w:val="66"/>
        </w:rPr>
      </w:r>
      <w:r>
        <w:rPr>
          <w:spacing w:val="-4"/>
        </w:rPr>
        <w:t>本公司向合营企业或联营企业出售的资产构成业务的，取得的对价与业务的账面价值之差，全额计入当期损益。本公司自联</w:t>
      </w:r>
      <w:r>
        <w:rPr>
          <w:spacing w:val="43"/>
        </w:rPr>
        <w:t> </w:t>
      </w:r>
      <w:r>
        <w:rPr>
          <w:spacing w:val="43"/>
        </w:rPr>
      </w:r>
      <w:r>
        <w:rPr>
          <w:spacing w:val="-4"/>
        </w:rPr>
        <w:t>营企业及合营企业购入的资产构成业务的，按《企业会计准则第</w:t>
      </w:r>
      <w:r>
        <w:rPr>
          <w:rFonts w:ascii="宋体" w:hAnsi="宋体" w:cs="宋体" w:eastAsia="宋体" w:hint="default"/>
          <w:spacing w:val="-4"/>
        </w:rPr>
        <w:t>20</w:t>
      </w:r>
      <w:r>
        <w:rPr>
          <w:spacing w:val="-4"/>
        </w:rPr>
        <w:t>号——企业合并》的规定进行会计处理，全额确认与交易</w:t>
      </w:r>
      <w:r>
        <w:rPr>
          <w:spacing w:val="45"/>
        </w:rPr>
        <w:t> </w:t>
      </w:r>
      <w:r>
        <w:rPr>
          <w:spacing w:val="45"/>
        </w:rPr>
      </w:r>
      <w:r>
        <w:rPr>
          <w:spacing w:val="-3"/>
        </w:rPr>
        <w:t>相关的利得或损失。</w:t>
      </w:r>
    </w:p>
    <w:p>
      <w:pPr>
        <w:pStyle w:val="BodyText"/>
        <w:spacing w:line="357" w:lineRule="auto" w:before="26"/>
        <w:ind w:right="1124" w:firstLine="360"/>
        <w:jc w:val="both"/>
      </w:pPr>
      <w:r>
        <w:rPr>
          <w:spacing w:val="-5"/>
          <w:w w:val="101"/>
        </w:rPr>
        <w:t>在确认应分担被投资单位发生的净亏损时，以长期股权投资的账面价值和其他实质上构成对被投资单位净投资的长期权</w:t>
      </w:r>
      <w:r>
        <w:rPr>
          <w:w w:val="101"/>
        </w:rPr>
        <w:t> </w:t>
      </w:r>
      <w:r>
        <w:rPr>
          <w:spacing w:val="-4"/>
        </w:rPr>
        <w:t>益减记至零为限。此外，如本公司对被投资单位负有承担额外损失的义务，则按预计承担的义务确认预计负债，计入当期投</w:t>
      </w:r>
      <w:r>
        <w:rPr>
          <w:spacing w:val="40"/>
        </w:rPr>
        <w:t> </w:t>
      </w:r>
      <w:r>
        <w:rPr>
          <w:spacing w:val="40"/>
        </w:rPr>
      </w:r>
      <w:r>
        <w:rPr>
          <w:spacing w:val="-3"/>
        </w:rPr>
        <w:t>资损失。被投资单位以后期间实现净利润的，本公司在收益分享额弥补未确认的亏损分担额后，恢复确认收益分享额。</w:t>
      </w:r>
    </w:p>
    <w:p>
      <w:pPr>
        <w:pStyle w:val="BodyText"/>
        <w:spacing w:line="357" w:lineRule="auto" w:before="26"/>
        <w:ind w:left="513" w:right="1055"/>
        <w:jc w:val="left"/>
      </w:pPr>
      <w:r>
        <w:rPr/>
        <w:t>③ </w:t>
      </w:r>
      <w:r>
        <w:rPr>
          <w:spacing w:val="-3"/>
        </w:rPr>
        <w:t>收购少数股权</w:t>
      </w:r>
      <w:r>
        <w:rPr>
          <w:spacing w:val="-70"/>
        </w:rPr>
        <w:t> </w:t>
      </w:r>
      <w:r>
        <w:rPr>
          <w:spacing w:val="-70"/>
        </w:rPr>
      </w:r>
      <w:r>
        <w:rPr>
          <w:spacing w:val="-4"/>
        </w:rPr>
        <w:t>在编制合并财务报表时，因购买少数股权新增的长期股权投资与按照新增持股比例计算应享有子公司自购买日（或合并</w:t>
      </w:r>
    </w:p>
    <w:p>
      <w:pPr>
        <w:pStyle w:val="BodyText"/>
        <w:spacing w:line="240" w:lineRule="auto" w:before="26"/>
        <w:ind w:right="1055"/>
        <w:jc w:val="left"/>
      </w:pPr>
      <w:r>
        <w:rPr>
          <w:spacing w:val="-3"/>
        </w:rPr>
        <w:t>日）开始持续计算的净资产份额之间的差额，调整资本公积，资本公积不足冲减的，调整留存收益。</w:t>
      </w:r>
    </w:p>
    <w:p>
      <w:pPr>
        <w:pStyle w:val="BodyText"/>
        <w:spacing w:line="357" w:lineRule="auto" w:before="115"/>
        <w:ind w:left="513" w:right="1055"/>
        <w:jc w:val="left"/>
      </w:pPr>
      <w:r>
        <w:rPr/>
        <w:t>④ </w:t>
      </w:r>
      <w:r>
        <w:rPr>
          <w:spacing w:val="-3"/>
        </w:rPr>
        <w:t>处置长期股权投资</w:t>
      </w:r>
      <w:r>
        <w:rPr>
          <w:spacing w:val="-64"/>
        </w:rPr>
        <w:t> </w:t>
      </w:r>
      <w:r>
        <w:rPr>
          <w:spacing w:val="-64"/>
        </w:rPr>
      </w:r>
      <w:r>
        <w:rPr>
          <w:spacing w:val="-4"/>
        </w:rPr>
        <w:t>在合并财务报表中，母公司在不丧失控制权的情况下部分处置对子公司的长期股权投资，处置价款与处置长期股权投资</w:t>
      </w:r>
    </w:p>
    <w:p>
      <w:pPr>
        <w:pStyle w:val="BodyText"/>
        <w:spacing w:line="352" w:lineRule="auto" w:before="26"/>
        <w:ind w:right="1055"/>
        <w:jc w:val="left"/>
      </w:pPr>
      <w:r>
        <w:rPr>
          <w:spacing w:val="-4"/>
        </w:rPr>
        <w:t>相对应享有子公司净资产的差额计入股东权益；母公司部分处置对子公司的长期股权投资导致丧失对子公司控制权的，按本</w:t>
      </w:r>
      <w:r>
        <w:rPr>
          <w:spacing w:val="44"/>
        </w:rPr>
        <w:t> </w:t>
      </w:r>
      <w:r>
        <w:rPr>
          <w:spacing w:val="44"/>
        </w:rPr>
      </w:r>
      <w:r>
        <w:rPr>
          <w:spacing w:val="-3"/>
        </w:rPr>
        <w:t>附注五、</w:t>
      </w:r>
      <w:r>
        <w:rPr>
          <w:rFonts w:ascii="宋体" w:hAnsi="宋体" w:cs="宋体" w:eastAsia="宋体" w:hint="default"/>
          <w:spacing w:val="-3"/>
        </w:rPr>
        <w:t>6</w:t>
      </w:r>
      <w:r>
        <w:rPr>
          <w:spacing w:val="-3"/>
        </w:rPr>
        <w:t>、（</w:t>
      </w:r>
      <w:r>
        <w:rPr>
          <w:rFonts w:ascii="宋体" w:hAnsi="宋体" w:cs="宋体" w:eastAsia="宋体" w:hint="default"/>
          <w:spacing w:val="-3"/>
        </w:rPr>
        <w:t>2</w:t>
      </w:r>
      <w:r>
        <w:rPr>
          <w:spacing w:val="-3"/>
        </w:rPr>
        <w:t>）“合并财务报表编制的方法”中所述的相关会计政策处理。</w:t>
      </w:r>
    </w:p>
    <w:p>
      <w:pPr>
        <w:pStyle w:val="BodyText"/>
        <w:spacing w:line="357" w:lineRule="auto" w:before="30"/>
        <w:ind w:left="513" w:right="1055"/>
        <w:jc w:val="left"/>
      </w:pPr>
      <w:r>
        <w:rPr>
          <w:spacing w:val="-3"/>
        </w:rPr>
        <w:t>其他情形下的长期股权投资处置，对于处置的股权，其账面价值与实际取得价款的差额，计入当期损益。</w:t>
      </w:r>
      <w:r>
        <w:rPr>
          <w:spacing w:val="43"/>
        </w:rPr>
        <w:t> </w:t>
      </w:r>
      <w:r>
        <w:rPr>
          <w:spacing w:val="43"/>
        </w:rPr>
      </w:r>
      <w:r>
        <w:rPr>
          <w:spacing w:val="-4"/>
        </w:rPr>
        <w:t>采用权益法核算的长期股权投资，处置后的剩余股权仍采用权益法核算的，在处置时将原计入股东权益的其他综合收益</w:t>
      </w:r>
    </w:p>
    <w:p>
      <w:pPr>
        <w:pStyle w:val="BodyText"/>
        <w:spacing w:line="357" w:lineRule="auto" w:before="26"/>
        <w:ind w:right="1055"/>
        <w:jc w:val="left"/>
      </w:pPr>
      <w:r>
        <w:rPr>
          <w:spacing w:val="-4"/>
        </w:rPr>
        <w:t>部分按相应的比例采用与被投资单位直接处置相关资产或负债相同的基础进行会计处理。因被投资方除净损益、其他综合收</w:t>
      </w:r>
      <w:r>
        <w:rPr>
          <w:spacing w:val="38"/>
        </w:rPr>
        <w:t> </w:t>
      </w:r>
      <w:r>
        <w:rPr>
          <w:spacing w:val="38"/>
        </w:rPr>
      </w:r>
      <w:r>
        <w:rPr>
          <w:spacing w:val="-3"/>
        </w:rPr>
        <w:t>益和利润分配以外的其他所有者权益变动而确认的所有者权益，按比例结转入当期损益。</w:t>
      </w:r>
    </w:p>
    <w:p>
      <w:pPr>
        <w:pStyle w:val="BodyText"/>
        <w:spacing w:line="357" w:lineRule="auto" w:before="26"/>
        <w:ind w:right="1122" w:firstLine="360"/>
        <w:jc w:val="both"/>
      </w:pPr>
      <w:r>
        <w:rPr>
          <w:spacing w:val="-4"/>
        </w:rPr>
        <w:t>采用成本法核算的长期股权投资，处置后剩余股权仍采用成本法核算的，其在取得对被投资单位的控制之前因采用权益</w:t>
      </w:r>
      <w:r>
        <w:rPr>
          <w:w w:val="101"/>
        </w:rPr>
        <w:t> </w:t>
      </w:r>
      <w:r>
        <w:rPr>
          <w:spacing w:val="-4"/>
          <w:w w:val="101"/>
        </w:rPr>
        <w:t>法核算或金融工具确认和计量准则核算而确认的其他综合收益，采用与被投资单位直接处置相关资产或负债相同的基础进行</w:t>
      </w:r>
      <w:r>
        <w:rPr>
          <w:w w:val="101"/>
        </w:rPr>
        <w:t> </w:t>
      </w:r>
      <w:r>
        <w:rPr>
          <w:spacing w:val="-4"/>
        </w:rPr>
        <w:t>会计处理，并按比例结转当期损益；因采用权益法核算而确认的被投资单位净资产中除净损益、其他综合收益和利润分配以</w:t>
      </w:r>
      <w:r>
        <w:rPr>
          <w:spacing w:val="44"/>
        </w:rPr>
        <w:t> </w:t>
      </w:r>
      <w:r>
        <w:rPr>
          <w:spacing w:val="44"/>
        </w:rPr>
      </w:r>
      <w:r>
        <w:rPr>
          <w:spacing w:val="-3"/>
        </w:rPr>
        <w:t>外的其他所有者权益变动按比例结转当期损益。</w:t>
      </w:r>
    </w:p>
    <w:p>
      <w:pPr>
        <w:pStyle w:val="BodyText"/>
        <w:spacing w:line="240" w:lineRule="auto" w:before="26"/>
        <w:ind w:left="513" w:right="1055"/>
        <w:jc w:val="left"/>
      </w:pPr>
      <w:r>
        <w:rPr>
          <w:spacing w:val="-4"/>
        </w:rPr>
        <w:t>本公司因处置部分股权投资丧失了对被投资单位的控制的，在编制个别财务报表时，处置后的剩余股权能够对被投资单</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right="1124"/>
        <w:jc w:val="both"/>
      </w:pPr>
      <w:r>
        <w:rPr>
          <w:spacing w:val="-4"/>
        </w:rPr>
        <w:t>位实施共同控制或施加重大影响的，改按权益法核算，并对该剩余股权视同自取得时即采用权益法核算进行调整；处置后的</w:t>
      </w:r>
      <w:r>
        <w:rPr>
          <w:spacing w:val="43"/>
        </w:rPr>
        <w:t> </w:t>
      </w:r>
      <w:r>
        <w:rPr>
          <w:spacing w:val="43"/>
        </w:rPr>
      </w:r>
      <w:r>
        <w:rPr>
          <w:spacing w:val="-4"/>
        </w:rPr>
        <w:t>剩余股权不能对被投资单位实施共同控制或施加重大影响的，改按金融工具确认和计量准则的有关规定进行会计处理，其在</w:t>
      </w:r>
      <w:r>
        <w:rPr>
          <w:spacing w:val="44"/>
        </w:rPr>
        <w:t> </w:t>
      </w:r>
      <w:r>
        <w:rPr>
          <w:spacing w:val="44"/>
        </w:rPr>
      </w:r>
      <w:r>
        <w:rPr>
          <w:spacing w:val="-4"/>
        </w:rPr>
        <w:t>丧失控制之日的公允价值与账面价值之间的差额计入当期损益。对于本公司取得对被投资单位的控制之前，因采用权益法核</w:t>
      </w:r>
      <w:r>
        <w:rPr>
          <w:spacing w:val="38"/>
        </w:rPr>
        <w:t> </w:t>
      </w:r>
      <w:r>
        <w:rPr>
          <w:spacing w:val="38"/>
        </w:rPr>
      </w:r>
      <w:r>
        <w:rPr>
          <w:spacing w:val="-4"/>
          <w:w w:val="101"/>
        </w:rPr>
        <w:t>算或金融工具确认和计量准则核算而确认的其他综合收益，在丧失对被投资单位控制时采用与被投资单位直接处置相关资产</w:t>
      </w:r>
      <w:r>
        <w:rPr>
          <w:w w:val="101"/>
        </w:rPr>
        <w:t> </w:t>
      </w:r>
      <w:r>
        <w:rPr>
          <w:spacing w:val="-4"/>
        </w:rPr>
        <w:t>或负债相同的基础进行会计处理，因采用权益法核算而确认的被投资单位净资产中除净损益、其他综合收益和利润分配以外</w:t>
      </w:r>
      <w:r>
        <w:rPr>
          <w:spacing w:val="43"/>
        </w:rPr>
        <w:t> </w:t>
      </w:r>
      <w:r>
        <w:rPr>
          <w:spacing w:val="43"/>
        </w:rPr>
      </w:r>
      <w:r>
        <w:rPr>
          <w:spacing w:val="-4"/>
        </w:rPr>
        <w:t>的其他所有者权益变动在丧失对被投资单位控制时结转入当期损益。其中，处置后的剩余股权采用权益法核算的，其他综合</w:t>
      </w:r>
      <w:r>
        <w:rPr>
          <w:spacing w:val="38"/>
        </w:rPr>
        <w:t> </w:t>
      </w:r>
      <w:r>
        <w:rPr>
          <w:spacing w:val="38"/>
        </w:rPr>
      </w:r>
      <w:r>
        <w:rPr>
          <w:spacing w:val="-4"/>
        </w:rPr>
        <w:t>收益和其他所有者权益按比例结转；处置后的剩余股权改按金融工具确认和计量准则进行会计处理的，其他综合收益和其他</w:t>
      </w:r>
      <w:r>
        <w:rPr>
          <w:spacing w:val="42"/>
        </w:rPr>
        <w:t> </w:t>
      </w:r>
      <w:r>
        <w:rPr>
          <w:spacing w:val="42"/>
        </w:rPr>
      </w:r>
      <w:r>
        <w:rPr/>
        <w:t>所有者权益全部结转。</w:t>
      </w:r>
    </w:p>
    <w:p>
      <w:pPr>
        <w:pStyle w:val="BodyText"/>
        <w:spacing w:line="355" w:lineRule="auto" w:before="27"/>
        <w:ind w:right="1055" w:firstLine="360"/>
        <w:jc w:val="left"/>
      </w:pPr>
      <w:r>
        <w:rPr>
          <w:spacing w:val="-4"/>
          <w:w w:val="101"/>
        </w:rPr>
        <w:t>本公司因处置部分股权投资丧失了对被投资单位的共同控制或重大影响的，处置后的剩余股权改按金融工具确认和计量</w:t>
      </w:r>
      <w:r>
        <w:rPr>
          <w:w w:val="101"/>
        </w:rPr>
        <w:t> </w:t>
      </w:r>
      <w:r>
        <w:rPr>
          <w:spacing w:val="-4"/>
        </w:rPr>
        <w:t>准则核算，其在丧失共同控制或重大影响之日的公允价值与账面价值之间的差额计入当期损益。原股权投资因采用权益法核</w:t>
      </w:r>
      <w:r>
        <w:rPr>
          <w:spacing w:val="44"/>
        </w:rPr>
        <w:t> </w:t>
      </w:r>
      <w:r>
        <w:rPr>
          <w:spacing w:val="44"/>
        </w:rPr>
      </w:r>
      <w:r>
        <w:rPr>
          <w:spacing w:val="-3"/>
        </w:rPr>
        <w:t>算而确认的其他综合收益，在终止采用权益法核算时采用与被投资单位直接处置相关资产或负债相同的基础进行会计处理，</w:t>
      </w:r>
      <w:r>
        <w:rPr>
          <w:spacing w:val="66"/>
        </w:rPr>
        <w:t> </w:t>
      </w:r>
      <w:r>
        <w:rPr>
          <w:spacing w:val="66"/>
        </w:rPr>
      </w:r>
      <w:r>
        <w:rPr>
          <w:spacing w:val="-4"/>
        </w:rPr>
        <w:t>因被投资方除净损益、其他综合收益和利润分配以外的其他所有者权益变动而确认的所有者权益，在终止采用权益法时全部</w:t>
      </w:r>
      <w:r>
        <w:rPr>
          <w:spacing w:val="42"/>
        </w:rPr>
        <w:t> </w:t>
      </w:r>
      <w:r>
        <w:rPr>
          <w:spacing w:val="42"/>
        </w:rPr>
      </w:r>
      <w:r>
        <w:rPr>
          <w:spacing w:val="-3"/>
        </w:rPr>
        <w:t>转入当期投资收益。</w:t>
      </w:r>
    </w:p>
    <w:p>
      <w:pPr>
        <w:pStyle w:val="BodyText"/>
        <w:spacing w:line="357" w:lineRule="auto" w:before="29"/>
        <w:ind w:right="1127" w:firstLine="360"/>
        <w:jc w:val="both"/>
      </w:pPr>
      <w:r>
        <w:rPr>
          <w:spacing w:val="-5"/>
        </w:rPr>
        <w:t>本公司通过多次交易分步处置对子公司股权投资直至丧失控制权，如果上述交易属于一揽子交易的，将各项交易作为一</w:t>
      </w:r>
      <w:r>
        <w:rPr>
          <w:w w:val="101"/>
        </w:rPr>
        <w:t> </w:t>
      </w:r>
      <w:r>
        <w:rPr>
          <w:spacing w:val="-4"/>
          <w:w w:val="101"/>
        </w:rPr>
        <w:t>项处置子公司股权投资并丧失控制权的交易进行会计处理，在丧失控制权之前每一次处置价款与所处置的股权对应的长期股</w:t>
      </w:r>
      <w:r>
        <w:rPr>
          <w:w w:val="101"/>
        </w:rPr>
        <w:t> </w:t>
      </w:r>
      <w:r>
        <w:rPr>
          <w:spacing w:val="-3"/>
        </w:rPr>
        <w:t>权投资账面价值之间的差额，先确认为其他综合收益，到丧失控制权时再一并转入丧失控制权的当期损益。</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2"/>
          <w:szCs w:val="22"/>
        </w:rPr>
      </w:pPr>
    </w:p>
    <w:p>
      <w:pPr>
        <w:pStyle w:val="BodyText"/>
        <w:spacing w:line="278" w:lineRule="auto"/>
        <w:ind w:right="8652"/>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357" w:lineRule="auto" w:before="9"/>
        <w:ind w:right="1055" w:firstLine="360"/>
        <w:jc w:val="left"/>
      </w:pPr>
      <w:r>
        <w:rPr>
          <w:spacing w:val="-4"/>
        </w:rPr>
        <w:t>投资性房地产是指为赚取租金或资本增值，或两者兼有而持有的房地产。包括已出租的土地使用权、持有并准备增值后</w:t>
      </w:r>
      <w:r>
        <w:rPr>
          <w:w w:val="101"/>
        </w:rPr>
        <w:t> </w:t>
      </w:r>
      <w:r>
        <w:rPr>
          <w:spacing w:val="-3"/>
        </w:rPr>
        <w:t>转让的土地使用权、已出租的建筑物等。</w:t>
      </w:r>
    </w:p>
    <w:p>
      <w:pPr>
        <w:pStyle w:val="BodyText"/>
        <w:spacing w:line="357" w:lineRule="auto" w:before="27"/>
        <w:ind w:right="1055" w:firstLine="360"/>
        <w:jc w:val="left"/>
      </w:pPr>
      <w:r>
        <w:rPr>
          <w:spacing w:val="-4"/>
        </w:rPr>
        <w:t>投资性房地产按成本进行初始计量。与投资性房地产有关的后续支出，如果与该资产有关的经济利益很可能流入且其成</w:t>
      </w:r>
      <w:r>
        <w:rPr>
          <w:w w:val="101"/>
        </w:rPr>
        <w:t> </w:t>
      </w:r>
      <w:r>
        <w:rPr>
          <w:spacing w:val="-3"/>
        </w:rPr>
        <w:t>本能可靠地计量，则计入投资性房地产成本。其他后续支出，在发生时计入当期损益。</w:t>
      </w:r>
    </w:p>
    <w:p>
      <w:pPr>
        <w:pStyle w:val="BodyText"/>
        <w:spacing w:line="357" w:lineRule="auto" w:before="26"/>
        <w:ind w:left="513" w:right="1055"/>
        <w:jc w:val="left"/>
      </w:pPr>
      <w:r>
        <w:rPr>
          <w:spacing w:val="-3"/>
        </w:rPr>
        <w:t>本公司采用成本模式对投资性房地产进行后续计量，并按照与房屋建筑物或土地使用权一致的政策进行折旧或摊销。</w:t>
      </w:r>
      <w:r>
        <w:rPr>
          <w:spacing w:val="60"/>
        </w:rPr>
        <w:t> </w:t>
      </w:r>
      <w:r>
        <w:rPr>
          <w:spacing w:val="60"/>
        </w:rPr>
      </w:r>
      <w:r>
        <w:rPr>
          <w:spacing w:val="-3"/>
        </w:rPr>
        <w:t>投资性房地产的减值测试方法和减值准备计提方法详见附注五、20“长期资产减值”。</w:t>
      </w:r>
      <w:r>
        <w:rPr>
          <w:spacing w:val="24"/>
        </w:rPr>
        <w:t> </w:t>
      </w:r>
      <w:r>
        <w:rPr>
          <w:spacing w:val="24"/>
        </w:rPr>
      </w:r>
      <w:r>
        <w:rPr>
          <w:spacing w:val="-5"/>
          <w:w w:val="101"/>
        </w:rPr>
        <w:t>自用房地产或存货转换为投资性房地产或投资性房地产转换为自用房地产时，按转换前的账面价值作为转换后的入账价</w:t>
      </w:r>
      <w:r>
        <w:rPr>
          <w:spacing w:val="-5"/>
        </w:rPr>
      </w:r>
    </w:p>
    <w:p>
      <w:pPr>
        <w:pStyle w:val="BodyText"/>
        <w:spacing w:line="240" w:lineRule="auto" w:before="27"/>
        <w:ind w:right="1055"/>
        <w:jc w:val="left"/>
      </w:pPr>
      <w:r>
        <w:rPr/>
        <w:t>值。</w:t>
      </w:r>
    </w:p>
    <w:p>
      <w:pPr>
        <w:pStyle w:val="BodyText"/>
        <w:spacing w:line="357" w:lineRule="auto" w:before="115"/>
        <w:ind w:right="1055" w:firstLine="360"/>
        <w:jc w:val="left"/>
      </w:pPr>
      <w:r>
        <w:rPr>
          <w:spacing w:val="-4"/>
        </w:rPr>
        <w:t>投资性房地产的用途改变为自用时，自改变之日起，将该投资性房地产转换为固定资产或无形资产。自用房地产的用途</w:t>
      </w:r>
      <w:r>
        <w:rPr>
          <w:w w:val="101"/>
        </w:rPr>
        <w:t> </w:t>
      </w:r>
      <w:r>
        <w:rPr>
          <w:spacing w:val="-4"/>
        </w:rPr>
        <w:t>改变为赚取租金或资本增值时，自改变之日起，将固定资产或无形资产转换为投资性房地产。发生转换时，转换为采用成本</w:t>
      </w:r>
      <w:r>
        <w:rPr>
          <w:spacing w:val="41"/>
        </w:rPr>
        <w:t> </w:t>
      </w:r>
      <w:r>
        <w:rPr>
          <w:spacing w:val="41"/>
        </w:rPr>
      </w:r>
      <w:r>
        <w:rPr>
          <w:spacing w:val="-3"/>
        </w:rPr>
        <w:t>模式计量的投资性房地产的，以转换前的账面价值作为转换后的入账价值；转换为以公允价值模式计量的投资性房地产的，</w:t>
      </w:r>
      <w:r>
        <w:rPr>
          <w:spacing w:val="66"/>
        </w:rPr>
        <w:t> </w:t>
      </w:r>
      <w:r>
        <w:rPr>
          <w:spacing w:val="66"/>
        </w:rPr>
      </w:r>
      <w:r>
        <w:rPr>
          <w:spacing w:val="-3"/>
        </w:rPr>
        <w:t>以转换日的公允价值作为转换后的入账价值。</w:t>
      </w:r>
    </w:p>
    <w:p>
      <w:pPr>
        <w:pStyle w:val="BodyText"/>
        <w:spacing w:line="357" w:lineRule="auto" w:before="22"/>
        <w:ind w:right="1055" w:firstLine="360"/>
        <w:jc w:val="left"/>
      </w:pPr>
      <w:r>
        <w:rPr>
          <w:spacing w:val="-4"/>
        </w:rPr>
        <w:t>当投资性房地产被处置、或者永久退出使用且预计不能从其处置中取得经济利益时，终止确认该项投资性房地产。投资</w:t>
      </w:r>
      <w:r>
        <w:rPr>
          <w:w w:val="101"/>
        </w:rPr>
        <w:t> </w:t>
      </w:r>
      <w:r>
        <w:rPr>
          <w:spacing w:val="-3"/>
        </w:rPr>
        <w:t>性房地产出售、转让、报废或毁损的处置收入扣除其账面价值和相关税费后计入当期损益。</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after="0" w:line="240" w:lineRule="auto"/>
        <w:jc w:val="left"/>
        <w:sectPr>
          <w:footerReference w:type="default" r:id="rId28"/>
          <w:pgSz w:w="11910" w:h="16840"/>
          <w:pgMar w:footer="1580" w:header="871" w:top="1100" w:bottom="1760" w:left="980" w:right="0"/>
          <w:pgNumType w:start="112"/>
        </w:sectPr>
      </w:pPr>
    </w:p>
    <w:p>
      <w:pPr>
        <w:spacing w:line="240" w:lineRule="auto" w:before="7"/>
        <w:rPr>
          <w:rFonts w:ascii="宋体" w:hAnsi="宋体" w:cs="宋体" w:eastAsia="宋体" w:hint="default"/>
          <w:b/>
          <w:bCs/>
          <w:sz w:val="18"/>
          <w:szCs w:val="18"/>
        </w:rPr>
      </w:pPr>
    </w:p>
    <w:p>
      <w:pPr>
        <w:pStyle w:val="BodyText"/>
        <w:spacing w:line="357" w:lineRule="auto" w:before="46"/>
        <w:ind w:right="1055"/>
        <w:jc w:val="left"/>
      </w:pPr>
      <w:r>
        <w:rPr>
          <w:spacing w:val="-4"/>
        </w:rPr>
        <w:t>在与其有关的经济利益很可能流入本公司，且其成本能够可靠地计量时才予以确认。固定资产按成本并考虑预计弃置费用因</w:t>
      </w:r>
      <w:r>
        <w:rPr>
          <w:spacing w:val="43"/>
        </w:rPr>
        <w:t> </w:t>
      </w:r>
      <w:r>
        <w:rPr>
          <w:spacing w:val="43"/>
        </w:rPr>
      </w:r>
      <w:r>
        <w:rPr>
          <w:spacing w:val="-3"/>
        </w:rPr>
        <w:t>素的影响进行初始计量。</w:t>
      </w:r>
    </w:p>
    <w:p>
      <w:pPr>
        <w:spacing w:line="240" w:lineRule="auto" w:before="5"/>
        <w:rPr>
          <w:rFonts w:ascii="宋体" w:hAnsi="宋体" w:cs="宋体" w:eastAsia="宋体" w:hint="default"/>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2.375</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3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03" w:lineRule="exact"/>
        <w:ind w:left="513" w:right="1055"/>
        <w:jc w:val="left"/>
      </w:pPr>
      <w:r>
        <w:rPr>
          <w:w w:val="101"/>
        </w:rPr>
        <w:t>预</w:t>
      </w:r>
      <w:r>
        <w:rPr>
          <w:spacing w:val="-5"/>
          <w:w w:val="101"/>
        </w:rPr>
        <w:t>计</w:t>
      </w:r>
      <w:r>
        <w:rPr>
          <w:w w:val="101"/>
        </w:rPr>
        <w:t>净</w:t>
      </w:r>
      <w:r>
        <w:rPr>
          <w:spacing w:val="-5"/>
          <w:w w:val="101"/>
        </w:rPr>
        <w:t>残</w:t>
      </w:r>
      <w:r>
        <w:rPr>
          <w:w w:val="101"/>
        </w:rPr>
        <w:t>值</w:t>
      </w:r>
      <w:r>
        <w:rPr>
          <w:spacing w:val="-5"/>
          <w:w w:val="101"/>
        </w:rPr>
        <w:t>是</w:t>
      </w:r>
      <w:r>
        <w:rPr>
          <w:w w:val="101"/>
        </w:rPr>
        <w:t>指</w:t>
      </w:r>
      <w:r>
        <w:rPr>
          <w:spacing w:val="-5"/>
          <w:w w:val="101"/>
        </w:rPr>
        <w:t>假</w:t>
      </w:r>
      <w:r>
        <w:rPr>
          <w:w w:val="101"/>
        </w:rPr>
        <w:t>定</w:t>
      </w:r>
      <w:r>
        <w:rPr>
          <w:spacing w:val="-5"/>
          <w:w w:val="101"/>
        </w:rPr>
        <w:t>固</w:t>
      </w:r>
      <w:r>
        <w:rPr>
          <w:w w:val="101"/>
        </w:rPr>
        <w:t>定</w:t>
      </w:r>
      <w:r>
        <w:rPr>
          <w:spacing w:val="-5"/>
          <w:w w:val="101"/>
        </w:rPr>
        <w:t>资</w:t>
      </w:r>
      <w:r>
        <w:rPr>
          <w:w w:val="101"/>
        </w:rPr>
        <w:t>产</w:t>
      </w:r>
      <w:r>
        <w:rPr>
          <w:spacing w:val="-5"/>
          <w:w w:val="101"/>
        </w:rPr>
        <w:t>预</w:t>
      </w:r>
      <w:r>
        <w:rPr>
          <w:w w:val="101"/>
        </w:rPr>
        <w:t>计</w:t>
      </w:r>
      <w:r>
        <w:rPr>
          <w:spacing w:val="-5"/>
          <w:w w:val="101"/>
        </w:rPr>
        <w:t>使</w:t>
      </w:r>
      <w:r>
        <w:rPr>
          <w:w w:val="101"/>
        </w:rPr>
        <w:t>用</w:t>
      </w:r>
      <w:r>
        <w:rPr>
          <w:spacing w:val="-5"/>
          <w:w w:val="101"/>
        </w:rPr>
        <w:t>寿</w:t>
      </w:r>
      <w:r>
        <w:rPr>
          <w:w w:val="101"/>
        </w:rPr>
        <w:t>命</w:t>
      </w:r>
      <w:r>
        <w:rPr>
          <w:spacing w:val="-5"/>
          <w:w w:val="101"/>
        </w:rPr>
        <w:t>已</w:t>
      </w:r>
      <w:r>
        <w:rPr>
          <w:w w:val="101"/>
        </w:rPr>
        <w:t>满</w:t>
      </w:r>
      <w:r>
        <w:rPr>
          <w:spacing w:val="-5"/>
          <w:w w:val="101"/>
        </w:rPr>
        <w:t>并</w:t>
      </w:r>
      <w:r>
        <w:rPr>
          <w:w w:val="101"/>
        </w:rPr>
        <w:t>处</w:t>
      </w:r>
      <w:r>
        <w:rPr>
          <w:spacing w:val="-5"/>
          <w:w w:val="101"/>
        </w:rPr>
        <w:t>于</w:t>
      </w:r>
      <w:r>
        <w:rPr>
          <w:w w:val="101"/>
        </w:rPr>
        <w:t>使</w:t>
      </w:r>
      <w:r>
        <w:rPr>
          <w:spacing w:val="-5"/>
          <w:w w:val="101"/>
        </w:rPr>
        <w:t>用寿</w:t>
      </w:r>
      <w:r>
        <w:rPr>
          <w:w w:val="101"/>
        </w:rPr>
        <w:t>命</w:t>
      </w:r>
      <w:r>
        <w:rPr>
          <w:spacing w:val="-5"/>
          <w:w w:val="101"/>
        </w:rPr>
        <w:t>终</w:t>
      </w:r>
      <w:r>
        <w:rPr>
          <w:w w:val="101"/>
        </w:rPr>
        <w:t>了</w:t>
      </w:r>
      <w:r>
        <w:rPr>
          <w:spacing w:val="-5"/>
          <w:w w:val="101"/>
        </w:rPr>
        <w:t>时</w:t>
      </w:r>
      <w:r>
        <w:rPr>
          <w:w w:val="101"/>
        </w:rPr>
        <w:t>的</w:t>
      </w:r>
      <w:r>
        <w:rPr>
          <w:spacing w:val="-5"/>
          <w:w w:val="101"/>
        </w:rPr>
        <w:t>预</w:t>
      </w:r>
      <w:r>
        <w:rPr>
          <w:w w:val="101"/>
        </w:rPr>
        <w:t>期</w:t>
      </w:r>
      <w:r>
        <w:rPr>
          <w:spacing w:val="-5"/>
          <w:w w:val="101"/>
        </w:rPr>
        <w:t>状</w:t>
      </w:r>
      <w:r>
        <w:rPr>
          <w:w w:val="101"/>
        </w:rPr>
        <w:t>态</w:t>
      </w:r>
      <w:r>
        <w:rPr>
          <w:spacing w:val="-87"/>
          <w:w w:val="101"/>
        </w:rPr>
        <w:t>，</w:t>
      </w:r>
      <w:r>
        <w:rPr>
          <w:w w:val="101"/>
        </w:rPr>
        <w:t>本</w:t>
      </w:r>
      <w:r>
        <w:rPr>
          <w:spacing w:val="-5"/>
          <w:w w:val="101"/>
        </w:rPr>
        <w:t>公</w:t>
      </w:r>
      <w:r>
        <w:rPr>
          <w:w w:val="101"/>
        </w:rPr>
        <w:t>司</w:t>
      </w:r>
      <w:r>
        <w:rPr>
          <w:spacing w:val="-5"/>
          <w:w w:val="101"/>
        </w:rPr>
        <w:t>目</w:t>
      </w:r>
      <w:r>
        <w:rPr>
          <w:w w:val="101"/>
        </w:rPr>
        <w:t>前</w:t>
      </w:r>
      <w:r>
        <w:rPr>
          <w:spacing w:val="-5"/>
          <w:w w:val="101"/>
        </w:rPr>
        <w:t>从</w:t>
      </w:r>
      <w:r>
        <w:rPr>
          <w:w w:val="101"/>
        </w:rPr>
        <w:t>该</w:t>
      </w:r>
      <w:r>
        <w:rPr>
          <w:spacing w:val="-5"/>
          <w:w w:val="101"/>
        </w:rPr>
        <w:t>项</w:t>
      </w:r>
      <w:r>
        <w:rPr>
          <w:w w:val="101"/>
        </w:rPr>
        <w:t>资</w:t>
      </w:r>
      <w:r>
        <w:rPr>
          <w:spacing w:val="-5"/>
          <w:w w:val="101"/>
        </w:rPr>
        <w:t>产</w:t>
      </w:r>
      <w:r>
        <w:rPr>
          <w:w w:val="101"/>
        </w:rPr>
        <w:t>处</w:t>
      </w:r>
      <w:r>
        <w:rPr>
          <w:spacing w:val="-5"/>
          <w:w w:val="101"/>
        </w:rPr>
        <w:t>置</w:t>
      </w:r>
      <w:r>
        <w:rPr>
          <w:w w:val="101"/>
        </w:rPr>
        <w:t>中</w:t>
      </w:r>
      <w:r>
        <w:rPr>
          <w:spacing w:val="-5"/>
          <w:w w:val="101"/>
        </w:rPr>
        <w:t>获</w:t>
      </w:r>
      <w:r>
        <w:rPr>
          <w:w w:val="101"/>
        </w:rPr>
        <w:t>得</w:t>
      </w:r>
      <w:r>
        <w:rPr/>
      </w:r>
    </w:p>
    <w:p>
      <w:pPr>
        <w:pStyle w:val="BodyText"/>
        <w:spacing w:line="240" w:lineRule="auto" w:before="115"/>
        <w:ind w:right="1055"/>
        <w:jc w:val="left"/>
      </w:pPr>
      <w:r>
        <w:rPr>
          <w:spacing w:val="-3"/>
        </w:rPr>
        <w:t>的扣除预计处置费用后的金额。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055"/>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4" w:firstLine="360"/>
        <w:jc w:val="both"/>
      </w:pPr>
      <w:r>
        <w:rPr>
          <w:spacing w:val="-5"/>
        </w:rPr>
        <w:t>融资租赁为实质上转移了与资产所有权有关的全部风险和报酬的租赁，其所有权最终可能转移，也可能不转移。以融资</w:t>
      </w:r>
      <w:r>
        <w:rPr>
          <w:w w:val="101"/>
        </w:rPr>
        <w:t> </w:t>
      </w:r>
      <w:r>
        <w:rPr>
          <w:spacing w:val="-4"/>
          <w:w w:val="101"/>
        </w:rPr>
        <w:t>租赁方式租入的固定资产采用与自有固定资产一致的政策计提租赁资产折旧。能够合理确定租赁期届满时取得租赁资产所有</w:t>
      </w:r>
      <w:r>
        <w:rPr>
          <w:w w:val="101"/>
        </w:rPr>
        <w:t> </w:t>
      </w:r>
      <w:r>
        <w:rPr>
          <w:spacing w:val="-4"/>
        </w:rPr>
        <w:t>权的，在租赁资产使用寿命内计提折旧；无法合理确定租赁期届满能够取得租赁资产所有权的，在租赁期与租赁资产使用寿</w:t>
      </w:r>
      <w:r>
        <w:rPr>
          <w:spacing w:val="43"/>
        </w:rPr>
        <w:t> </w:t>
      </w:r>
      <w:r>
        <w:rPr>
          <w:spacing w:val="43"/>
        </w:rPr>
      </w:r>
      <w:r>
        <w:rPr>
          <w:spacing w:val="-3"/>
        </w:rPr>
        <w:t>命两者中较短的期间内计提折旧。</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2"/>
          <w:szCs w:val="22"/>
        </w:rPr>
      </w:pPr>
    </w:p>
    <w:p>
      <w:pPr>
        <w:pStyle w:val="BodyText"/>
        <w:spacing w:line="278"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9"/>
        <w:ind w:right="1055"/>
        <w:jc w:val="left"/>
      </w:pPr>
      <w:r>
        <w:rPr/>
        <w:t>电子商务业</w:t>
      </w:r>
    </w:p>
    <w:p>
      <w:pPr>
        <w:pStyle w:val="BodyText"/>
        <w:spacing w:line="357" w:lineRule="auto" w:before="38"/>
        <w:ind w:right="1055" w:firstLine="360"/>
        <w:jc w:val="left"/>
      </w:pPr>
      <w:r>
        <w:rPr>
          <w:spacing w:val="-4"/>
        </w:rPr>
        <w:t>在建工程成本按实际工程支出确定，包括在建期间发生的各项工程支出、工程达到预定可使用状态前的资本化的借款费</w:t>
      </w:r>
      <w:r>
        <w:rPr>
          <w:w w:val="101"/>
        </w:rPr>
        <w:t> </w:t>
      </w:r>
      <w:r>
        <w:rPr>
          <w:spacing w:val="-3"/>
        </w:rPr>
        <w:t>用以及其他相关费用等。在建工程在达到预定可使用状态后结转为固定资产。</w:t>
      </w:r>
      <w:r>
        <w:rPr>
          <w:spacing w:val="8"/>
        </w:rPr>
        <w:t> </w:t>
      </w:r>
      <w:r>
        <w:rPr>
          <w:spacing w:val="8"/>
        </w:rPr>
      </w:r>
      <w:r>
        <w:rPr>
          <w:spacing w:val="-3"/>
        </w:rPr>
        <w:t>在建工程的减值测试方法和减值准备计提方法详见附注五、</w:t>
      </w:r>
      <w:r>
        <w:rPr>
          <w:rFonts w:ascii="Times New Roman" w:hAnsi="Times New Roman" w:cs="Times New Roman" w:eastAsia="Times New Roman" w:hint="default"/>
          <w:spacing w:val="-3"/>
        </w:rPr>
        <w:t>20“</w:t>
      </w:r>
      <w:r>
        <w:rPr>
          <w:spacing w:val="-3"/>
        </w:rPr>
        <w:t>长期资产减值</w:t>
      </w:r>
      <w:r>
        <w:rPr>
          <w:rFonts w:ascii="Times New Roman" w:hAnsi="Times New Roman" w:cs="Times New Roman" w:eastAsia="Times New Roman" w:hint="default"/>
          <w:spacing w:val="-3"/>
        </w:rPr>
        <w:t>”</w:t>
      </w:r>
      <w:r>
        <w:rPr>
          <w:spacing w:val="-3"/>
        </w:rPr>
        <w:t>。</w:t>
      </w:r>
    </w:p>
    <w:p>
      <w:pPr>
        <w:spacing w:line="240" w:lineRule="auto" w:before="5"/>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4" w:firstLine="360"/>
        <w:jc w:val="both"/>
      </w:pPr>
      <w:r>
        <w:rPr>
          <w:spacing w:val="-4"/>
        </w:rPr>
        <w:t>借款费用包括借款利息、折价或溢价的摊销、辅助费用以及因外币借款而发生的汇兑差额等。可直接归属于符合资本化</w:t>
      </w:r>
      <w:r>
        <w:rPr>
          <w:w w:val="101"/>
        </w:rPr>
        <w:t> </w:t>
      </w:r>
      <w:r>
        <w:rPr>
          <w:spacing w:val="-4"/>
        </w:rPr>
        <w:t>条件的资产的购建或者生产的借款费用，在资产支出已经发生、借款费用已经发生、为使资产达到预定可使用或可销售状态</w:t>
      </w:r>
      <w:r>
        <w:rPr>
          <w:spacing w:val="43"/>
        </w:rPr>
        <w:t> </w:t>
      </w:r>
      <w:r>
        <w:rPr>
          <w:spacing w:val="43"/>
        </w:rPr>
      </w:r>
      <w:r>
        <w:rPr>
          <w:spacing w:val="-4"/>
        </w:rPr>
        <w:t>所必要的购建或生产活动已经开始时，开始资本化；构建或者生产的符合资本化条件的资产达到预定可使用状态或者可销售</w:t>
      </w:r>
      <w:r>
        <w:rPr>
          <w:spacing w:val="39"/>
        </w:rPr>
        <w:t> </w:t>
      </w:r>
      <w:r>
        <w:rPr>
          <w:spacing w:val="39"/>
        </w:rPr>
      </w:r>
      <w:r>
        <w:rPr>
          <w:spacing w:val="-3"/>
        </w:rPr>
        <w:t>状态时，停止资本化。其余借款费用在发生当期确认为费用。</w:t>
      </w:r>
    </w:p>
    <w:p>
      <w:pPr>
        <w:pStyle w:val="BodyText"/>
        <w:spacing w:line="357" w:lineRule="auto" w:before="26"/>
        <w:ind w:right="1128" w:firstLine="360"/>
        <w:jc w:val="both"/>
      </w:pPr>
      <w:r>
        <w:rPr>
          <w:spacing w:val="-5"/>
          <w:w w:val="101"/>
        </w:rPr>
        <w:t>专门借款当期实际发生的利息费用，减去尚未动用的借款资金存入银行取得的利息收入或进行暂时性投资取得的投资收</w:t>
      </w:r>
      <w:r>
        <w:rPr>
          <w:w w:val="101"/>
        </w:rPr>
        <w:t> </w:t>
      </w:r>
      <w:r>
        <w:rPr>
          <w:spacing w:val="-4"/>
          <w:w w:val="101"/>
        </w:rPr>
        <w:t>益后的金额予以资本化；一般借款根据累计资产支出超过专门借款部分的资产支出加权平均数乘以所占用一般借款的资本化</w:t>
      </w:r>
      <w:r>
        <w:rPr>
          <w:w w:val="101"/>
        </w:rPr>
        <w:t> </w:t>
      </w:r>
      <w:r>
        <w:rPr>
          <w:spacing w:val="-3"/>
        </w:rPr>
        <w:t>率，确定资本化金额。资本化率根据一般借款的加权平均利率计算确定。</w:t>
      </w:r>
    </w:p>
    <w:p>
      <w:pPr>
        <w:pStyle w:val="BodyText"/>
        <w:spacing w:line="240" w:lineRule="auto" w:before="26"/>
        <w:ind w:left="513" w:right="1114" w:hanging="360"/>
        <w:jc w:val="left"/>
      </w:pPr>
      <w:r>
        <w:rPr>
          <w:spacing w:val="-3"/>
        </w:rPr>
        <w:t>资本化期间内，外币专门借款的汇兑差额全部予以资本化；外币一般借款的汇兑差额计入当期损益。</w:t>
      </w:r>
      <w:r>
        <w:rPr>
          <w:spacing w:val="37"/>
        </w:rPr>
        <w:t> </w:t>
      </w:r>
      <w:r>
        <w:rPr>
          <w:spacing w:val="37"/>
        </w:rPr>
      </w:r>
      <w:r>
        <w:rPr>
          <w:spacing w:val="-4"/>
          <w:w w:val="101"/>
        </w:rPr>
        <w:t>符合资本化条件的资产指需要经过相当长时间的购建或者生产活动才能达到预定可使用或可销售状态的固定资产、投资</w:t>
      </w:r>
      <w:r>
        <w:rPr>
          <w:spacing w:val="-4"/>
        </w:rPr>
      </w:r>
    </w:p>
    <w:p>
      <w:pPr>
        <w:pStyle w:val="BodyText"/>
        <w:spacing w:line="357" w:lineRule="auto" w:before="114"/>
        <w:ind w:left="513" w:right="1055" w:hanging="360"/>
        <w:jc w:val="left"/>
      </w:pPr>
      <w:r>
        <w:rPr>
          <w:spacing w:val="-3"/>
        </w:rPr>
        <w:t>性房地产和存货等资产。</w:t>
      </w:r>
      <w:r>
        <w:rPr>
          <w:spacing w:val="-56"/>
        </w:rPr>
        <w:t> </w:t>
      </w:r>
      <w:r>
        <w:rPr>
          <w:spacing w:val="-56"/>
        </w:rPr>
      </w:r>
      <w:r>
        <w:rPr>
          <w:spacing w:val="-3"/>
        </w:rPr>
        <w:t>如果符合资本化条件的资产在购建或生产过程中发生非正常中断、并且中断时间连续超过</w:t>
      </w:r>
      <w:r>
        <w:rPr>
          <w:rFonts w:ascii="宋体" w:hAnsi="宋体" w:cs="宋体" w:eastAsia="宋体" w:hint="default"/>
          <w:spacing w:val="-3"/>
        </w:rPr>
        <w:t>3</w:t>
      </w:r>
      <w:r>
        <w:rPr>
          <w:spacing w:val="-3"/>
        </w:rPr>
        <w:t>个月的，暂停借款费用的资</w:t>
      </w:r>
    </w:p>
    <w:p>
      <w:pPr>
        <w:spacing w:after="0" w:line="357" w:lineRule="auto"/>
        <w:jc w:val="left"/>
        <w:sectPr>
          <w:footerReference w:type="default" r:id="rId29"/>
          <w:pgSz w:w="11910" w:h="16840"/>
          <w:pgMar w:footer="1186" w:header="871" w:top="1100" w:bottom="1380" w:left="980" w:right="0"/>
          <w:pgNumType w:start="113"/>
        </w:sectPr>
      </w:pPr>
    </w:p>
    <w:p>
      <w:pPr>
        <w:spacing w:line="240" w:lineRule="auto" w:before="7"/>
        <w:rPr>
          <w:rFonts w:ascii="宋体" w:hAnsi="宋体" w:cs="宋体" w:eastAsia="宋体" w:hint="default"/>
          <w:sz w:val="18"/>
          <w:szCs w:val="18"/>
        </w:rPr>
      </w:pPr>
    </w:p>
    <w:p>
      <w:pPr>
        <w:pStyle w:val="BodyText"/>
        <w:spacing w:line="240" w:lineRule="auto" w:before="46"/>
        <w:ind w:right="1055"/>
        <w:jc w:val="left"/>
      </w:pPr>
      <w:r>
        <w:rPr>
          <w:spacing w:val="-3"/>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9"/>
        <w:ind w:right="1055"/>
        <w:jc w:val="left"/>
      </w:pPr>
      <w:r>
        <w:rPr/>
        <w:t>电子商务业</w:t>
      </w:r>
    </w:p>
    <w:p>
      <w:pPr>
        <w:pStyle w:val="BodyText"/>
        <w:spacing w:line="357" w:lineRule="auto" w:before="38"/>
        <w:ind w:left="513" w:right="3882"/>
        <w:jc w:val="left"/>
      </w:pPr>
      <w:r>
        <w:rPr>
          <w:spacing w:val="-3"/>
        </w:rPr>
        <w:t>无形资产是指本公司拥有或者控制的没有实物形态的可辨认非货币性资产。</w:t>
      </w:r>
      <w:r>
        <w:rPr>
          <w:spacing w:val="8"/>
        </w:rPr>
        <w:t> </w:t>
      </w:r>
      <w:r>
        <w:rPr>
          <w:spacing w:val="8"/>
        </w:rPr>
      </w:r>
      <w:r>
        <w:rPr>
          <w:rFonts w:ascii="宋体" w:hAnsi="宋体" w:cs="宋体" w:eastAsia="宋体" w:hint="default"/>
        </w:rPr>
        <w:t>1</w:t>
      </w:r>
      <w:r>
        <w:rPr/>
        <w:t>）计价方法</w:t>
      </w:r>
    </w:p>
    <w:p>
      <w:pPr>
        <w:pStyle w:val="BodyText"/>
        <w:spacing w:line="357" w:lineRule="auto" w:before="26"/>
        <w:ind w:right="1031" w:firstLine="360"/>
        <w:jc w:val="both"/>
      </w:pPr>
      <w:r>
        <w:rPr>
          <w:spacing w:val="-6"/>
          <w:w w:val="101"/>
        </w:rPr>
        <w:t>无形资产按成本进行初始计量。与无形资产有关的支出，如果相关的经济利益很可能流入本公司且其成本能可靠地计量，</w:t>
      </w:r>
      <w:r>
        <w:rPr>
          <w:w w:val="101"/>
        </w:rPr>
        <w:t> </w:t>
      </w:r>
      <w:r>
        <w:rPr>
          <w:spacing w:val="-3"/>
        </w:rPr>
        <w:t>则计入无形资产成本。除此以外的其他项目的支出，在发生时计入当期损益。</w:t>
      </w:r>
    </w:p>
    <w:p>
      <w:pPr>
        <w:pStyle w:val="BodyText"/>
        <w:spacing w:line="357" w:lineRule="auto" w:before="26"/>
        <w:ind w:right="1124" w:firstLine="360"/>
        <w:jc w:val="both"/>
      </w:pPr>
      <w:r>
        <w:rPr>
          <w:spacing w:val="-4"/>
        </w:rPr>
        <w:t>取得的土地使用权通常作为无形资产核算。自行开发建造厂房等建筑物，相关的土地使用权支出和建筑物建造成本则分</w:t>
      </w:r>
      <w:r>
        <w:rPr>
          <w:w w:val="101"/>
        </w:rPr>
        <w:t> </w:t>
      </w:r>
      <w:r>
        <w:rPr>
          <w:spacing w:val="-4"/>
        </w:rPr>
        <w:t>别作为无形资产和固定资产核算。如为外购的房屋及建筑物，则将有关价款在土地使用权和建筑物之间进行分配，难以合理</w:t>
      </w:r>
      <w:r>
        <w:rPr>
          <w:spacing w:val="43"/>
        </w:rPr>
        <w:t> </w:t>
      </w:r>
      <w:r>
        <w:rPr>
          <w:spacing w:val="43"/>
        </w:rPr>
      </w:r>
      <w:r>
        <w:rPr>
          <w:spacing w:val="-3"/>
        </w:rPr>
        <w:t>分配的，全部作为固定资产处理。</w:t>
      </w:r>
    </w:p>
    <w:p>
      <w:pPr>
        <w:pStyle w:val="BodyText"/>
        <w:spacing w:line="357" w:lineRule="auto" w:before="26"/>
        <w:ind w:right="1128" w:firstLine="360"/>
        <w:jc w:val="both"/>
      </w:pPr>
      <w:r>
        <w:rPr>
          <w:spacing w:val="-5"/>
          <w:w w:val="101"/>
        </w:rPr>
        <w:t>使用寿命有限的无形资产自可供使用时起，其原值减去已计提的减值准备累计金额在其预计使用寿命内采用直线法分期</w:t>
      </w:r>
      <w:r>
        <w:rPr>
          <w:w w:val="101"/>
        </w:rPr>
        <w:t> </w:t>
      </w:r>
      <w:r>
        <w:rPr>
          <w:spacing w:val="-3"/>
        </w:rPr>
        <w:t>平均摊销。使用寿命不确定的无形资产不予摊销。</w:t>
      </w:r>
    </w:p>
    <w:p>
      <w:pPr>
        <w:pStyle w:val="BodyText"/>
        <w:spacing w:line="357" w:lineRule="auto" w:before="26"/>
        <w:ind w:right="1123" w:firstLine="360"/>
        <w:jc w:val="both"/>
      </w:pPr>
      <w:r>
        <w:rPr>
          <w:spacing w:val="-5"/>
        </w:rPr>
        <w:t>期末，对使用寿命有限的无形资产的使用寿命和摊销方法进行复核，如发生变更则作为会计估计变更处理。此外，还对</w:t>
      </w:r>
      <w:r>
        <w:rPr>
          <w:w w:val="101"/>
        </w:rPr>
        <w:t> </w:t>
      </w:r>
      <w:r>
        <w:rPr>
          <w:spacing w:val="-4"/>
        </w:rPr>
        <w:t>使用寿命不确定的无形资产的使用寿命进行复核，如果有证据表明该无形资产为企业带来经济利益的期限是可预见的，则估</w:t>
      </w:r>
      <w:r>
        <w:rPr>
          <w:spacing w:val="43"/>
        </w:rPr>
        <w:t> </w:t>
      </w:r>
      <w:r>
        <w:rPr>
          <w:spacing w:val="43"/>
        </w:rPr>
      </w:r>
      <w:r>
        <w:rPr>
          <w:spacing w:val="-3"/>
        </w:rPr>
        <w:t>计其使用寿命并按照使用寿命有限的无形资产的摊销政策进行摊销。</w:t>
      </w:r>
    </w:p>
    <w:p>
      <w:pPr>
        <w:pStyle w:val="BodyText"/>
        <w:spacing w:line="357" w:lineRule="auto" w:before="26"/>
        <w:ind w:left="513" w:right="5022"/>
        <w:jc w:val="left"/>
      </w:pPr>
      <w:r>
        <w:rPr>
          <w:rFonts w:ascii="宋体" w:hAnsi="宋体" w:cs="宋体" w:eastAsia="宋体" w:hint="default"/>
        </w:rPr>
        <w:t>2</w:t>
      </w:r>
      <w:r>
        <w:rPr/>
        <w:t>）使用寿命</w:t>
      </w:r>
      <w:r>
        <w:rPr>
          <w:spacing w:val="-87"/>
        </w:rPr>
        <w:t> </w:t>
      </w:r>
      <w:r>
        <w:rPr>
          <w:spacing w:val="-87"/>
        </w:rPr>
      </w:r>
      <w:r>
        <w:rPr>
          <w:spacing w:val="-3"/>
        </w:rPr>
        <w:t>对使用寿命有限的无形资产，估计其使用寿命时通常考虑以下因素：</w:t>
      </w:r>
    </w:p>
    <w:p>
      <w:pPr>
        <w:pStyle w:val="BodyText"/>
        <w:spacing w:line="240" w:lineRule="auto" w:before="26"/>
        <w:ind w:left="513" w:right="1055"/>
        <w:jc w:val="left"/>
      </w:pPr>
      <w:r>
        <w:rPr/>
        <w:t>① </w:t>
      </w:r>
      <w:r>
        <w:rPr>
          <w:spacing w:val="11"/>
        </w:rPr>
        <w:t> </w:t>
      </w:r>
      <w:r>
        <w:rPr>
          <w:spacing w:val="-3"/>
        </w:rPr>
        <w:t>运用该资产生产的产品通常的寿命周期、可获得的类似资产使用寿命的信息；</w:t>
      </w:r>
    </w:p>
    <w:p>
      <w:pPr>
        <w:pStyle w:val="BodyText"/>
        <w:spacing w:line="240" w:lineRule="auto" w:before="115"/>
        <w:ind w:left="513" w:right="1055"/>
        <w:jc w:val="left"/>
      </w:pPr>
      <w:r>
        <w:rPr/>
        <w:t>②</w:t>
      </w:r>
      <w:r>
        <w:rPr>
          <w:spacing w:val="78"/>
        </w:rPr>
        <w:t> </w:t>
      </w:r>
      <w:r>
        <w:rPr>
          <w:spacing w:val="-3"/>
        </w:rPr>
        <w:t>技术、工艺等方面的现阶段情况及对未来发展趋势的估计；</w:t>
      </w:r>
    </w:p>
    <w:p>
      <w:pPr>
        <w:pStyle w:val="BodyText"/>
        <w:spacing w:line="240" w:lineRule="auto" w:before="110"/>
        <w:ind w:left="513" w:right="1055"/>
        <w:jc w:val="left"/>
      </w:pPr>
      <w:r>
        <w:rPr/>
        <w:t>③</w:t>
      </w:r>
      <w:r>
        <w:rPr>
          <w:spacing w:val="67"/>
        </w:rPr>
        <w:t> </w:t>
      </w:r>
      <w:r>
        <w:rPr>
          <w:spacing w:val="-3"/>
        </w:rPr>
        <w:t>以该资产生产的产品或提供劳务的市场需求情况；</w:t>
      </w:r>
    </w:p>
    <w:p>
      <w:pPr>
        <w:pStyle w:val="BodyText"/>
        <w:spacing w:line="240" w:lineRule="auto" w:before="115"/>
        <w:ind w:left="513" w:right="1055"/>
        <w:jc w:val="left"/>
      </w:pPr>
      <w:r>
        <w:rPr/>
        <w:t>④</w:t>
      </w:r>
      <w:r>
        <w:rPr>
          <w:spacing w:val="55"/>
        </w:rPr>
        <w:t> </w:t>
      </w:r>
      <w:r>
        <w:rPr>
          <w:spacing w:val="-3"/>
        </w:rPr>
        <w:t>现在或潜在的竞争者预期采取的行动；</w:t>
      </w:r>
    </w:p>
    <w:p>
      <w:pPr>
        <w:pStyle w:val="BodyText"/>
        <w:spacing w:line="240" w:lineRule="auto" w:before="115"/>
        <w:ind w:left="513" w:right="1055"/>
        <w:jc w:val="left"/>
      </w:pPr>
      <w:r>
        <w:rPr/>
        <w:t>⑤ </w:t>
      </w:r>
      <w:r>
        <w:rPr>
          <w:spacing w:val="23"/>
        </w:rPr>
        <w:t> </w:t>
      </w:r>
      <w:r>
        <w:rPr>
          <w:spacing w:val="-3"/>
        </w:rPr>
        <w:t>为维持该资产带来经济利益能力的预期维护支出，以及公司预计支付有关支出的能力；</w:t>
      </w:r>
    </w:p>
    <w:p>
      <w:pPr>
        <w:pStyle w:val="BodyText"/>
        <w:spacing w:line="240" w:lineRule="auto" w:before="115"/>
        <w:ind w:left="513" w:right="1055"/>
        <w:jc w:val="left"/>
      </w:pPr>
      <w:r>
        <w:rPr/>
        <w:t>⑥ </w:t>
      </w:r>
      <w:r>
        <w:rPr>
          <w:spacing w:val="11"/>
        </w:rPr>
        <w:t> </w:t>
      </w:r>
      <w:r>
        <w:rPr>
          <w:spacing w:val="-3"/>
        </w:rPr>
        <w:t>对该资产控制期限的相关法律规定或类似限制，如特许使用期、租赁期等；</w:t>
      </w:r>
    </w:p>
    <w:p>
      <w:pPr>
        <w:pStyle w:val="BodyText"/>
        <w:spacing w:line="240" w:lineRule="auto" w:before="115"/>
        <w:ind w:left="513" w:right="1055"/>
        <w:jc w:val="left"/>
      </w:pPr>
      <w:r>
        <w:rPr/>
        <w:t>⑦</w:t>
      </w:r>
      <w:r>
        <w:rPr>
          <w:spacing w:val="61"/>
        </w:rPr>
        <w:t> </w:t>
      </w:r>
      <w:r>
        <w:rPr>
          <w:spacing w:val="-3"/>
        </w:rPr>
        <w:t>与公司持有其他资产使用寿命的关联性等。</w:t>
      </w:r>
    </w:p>
    <w:p>
      <w:pPr>
        <w:spacing w:line="240" w:lineRule="auto" w:before="4"/>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073"/>
        <w:gridCol w:w="3602"/>
        <w:gridCol w:w="2987"/>
      </w:tblGrid>
      <w:tr>
        <w:trPr>
          <w:trHeight w:val="269" w:hRule="exact"/>
        </w:trPr>
        <w:tc>
          <w:tcPr>
            <w:tcW w:w="30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9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1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269" w:hRule="exact"/>
        </w:trPr>
        <w:tc>
          <w:tcPr>
            <w:tcW w:w="3073" w:type="dxa"/>
            <w:tcBorders>
              <w:top w:val="single" w:sz="10" w:space="0" w:color="000000"/>
              <w:left w:val="single" w:sz="6" w:space="0" w:color="000000"/>
              <w:bottom w:val="single" w:sz="6" w:space="0" w:color="000000"/>
              <w:right w:val="single" w:sz="6" w:space="0" w:color="000000"/>
            </w:tcBorders>
          </w:tcPr>
          <w:p>
            <w:pPr>
              <w:pStyle w:val="TableParagraph"/>
              <w:spacing w:line="208" w:lineRule="exact"/>
              <w:ind w:left="5" w:right="0"/>
              <w:jc w:val="center"/>
              <w:rPr>
                <w:rFonts w:ascii="宋体" w:hAnsi="宋体" w:cs="宋体" w:eastAsia="宋体" w:hint="default"/>
                <w:sz w:val="18"/>
                <w:szCs w:val="18"/>
              </w:rPr>
            </w:pPr>
            <w:r>
              <w:rPr>
                <w:rFonts w:ascii="宋体" w:hAnsi="宋体" w:cs="宋体" w:eastAsia="宋体" w:hint="default"/>
                <w:sz w:val="18"/>
                <w:szCs w:val="18"/>
              </w:rPr>
              <w:t>自主软件产品</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269" w:hRule="exact"/>
        </w:trPr>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 w:right="0"/>
              <w:jc w:val="center"/>
              <w:rPr>
                <w:rFonts w:ascii="宋体" w:hAnsi="宋体" w:cs="宋体" w:eastAsia="宋体" w:hint="default"/>
                <w:sz w:val="18"/>
                <w:szCs w:val="18"/>
              </w:rPr>
            </w:pPr>
            <w:r>
              <w:rPr>
                <w:rFonts w:ascii="宋体" w:hAnsi="宋体" w:cs="宋体" w:eastAsia="宋体" w:hint="default"/>
                <w:sz w:val="18"/>
                <w:szCs w:val="18"/>
              </w:rPr>
              <w:t>专利及软件著作权</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269" w:hRule="exact"/>
        </w:trPr>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 w:right="0"/>
              <w:jc w:val="center"/>
              <w:rPr>
                <w:rFonts w:ascii="宋体" w:hAnsi="宋体" w:cs="宋体" w:eastAsia="宋体" w:hint="default"/>
                <w:sz w:val="18"/>
                <w:szCs w:val="18"/>
              </w:rPr>
            </w:pPr>
            <w:r>
              <w:rPr>
                <w:rFonts w:ascii="宋体" w:hAnsi="宋体" w:cs="宋体" w:eastAsia="宋体" w:hint="default"/>
                <w:sz w:val="18"/>
                <w:szCs w:val="18"/>
              </w:rPr>
              <w:t>办公软件</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269" w:hRule="exact"/>
        </w:trPr>
        <w:tc>
          <w:tcPr>
            <w:tcW w:w="307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5" w:right="0"/>
              <w:jc w:val="center"/>
              <w:rPr>
                <w:rFonts w:ascii="宋体" w:hAnsi="宋体" w:cs="宋体" w:eastAsia="宋体" w:hint="default"/>
                <w:sz w:val="18"/>
                <w:szCs w:val="18"/>
              </w:rPr>
            </w:pPr>
            <w:r>
              <w:rPr>
                <w:rFonts w:ascii="宋体" w:hAnsi="宋体" w:cs="宋体" w:eastAsia="宋体" w:hint="default"/>
                <w:sz w:val="18"/>
                <w:szCs w:val="18"/>
              </w:rPr>
              <w:t>商标及其他</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bl>
    <w:p>
      <w:pPr>
        <w:pStyle w:val="BodyText"/>
        <w:spacing w:line="203" w:lineRule="exact"/>
        <w:ind w:left="513" w:right="1055"/>
        <w:jc w:val="left"/>
      </w:pPr>
      <w:r>
        <w:rPr>
          <w:spacing w:val="-3"/>
        </w:rPr>
        <w:t>（</w:t>
      </w:r>
      <w:r>
        <w:rPr>
          <w:rFonts w:ascii="宋体" w:hAnsi="宋体" w:cs="宋体" w:eastAsia="宋体" w:hint="default"/>
          <w:spacing w:val="-3"/>
        </w:rPr>
        <w:t>4</w:t>
      </w:r>
      <w:r>
        <w:rPr>
          <w:spacing w:val="-3"/>
        </w:rPr>
        <w:t>）使用寿命不确定的无形资产的判断依据</w:t>
      </w:r>
    </w:p>
    <w:p>
      <w:pPr>
        <w:pStyle w:val="BodyText"/>
        <w:spacing w:line="357" w:lineRule="auto" w:before="115"/>
        <w:ind w:right="1055" w:firstLine="360"/>
        <w:jc w:val="left"/>
      </w:pPr>
      <w:r>
        <w:rPr>
          <w:spacing w:val="-3"/>
        </w:rPr>
        <w:t>公司在每个会计期间对使用寿命不确定的无形资产的使用寿命进行复核，如果有证据表明无形资产的使用寿命是有限</w:t>
      </w:r>
      <w:r>
        <w:rPr>
          <w:w w:val="101"/>
        </w:rPr>
        <w:t> </w:t>
      </w:r>
      <w:r>
        <w:rPr>
          <w:spacing w:val="-3"/>
        </w:rPr>
        <w:t>的，估计其使用寿命，按照使用寿命有限的无形资产处理。</w:t>
      </w:r>
    </w:p>
    <w:p>
      <w:pPr>
        <w:pStyle w:val="BodyText"/>
        <w:spacing w:line="357" w:lineRule="auto" w:before="26"/>
        <w:ind w:left="513" w:right="1055"/>
        <w:jc w:val="left"/>
      </w:pPr>
      <w:r>
        <w:rPr>
          <w:spacing w:val="-3"/>
        </w:rPr>
        <w:t>（</w:t>
      </w:r>
      <w:r>
        <w:rPr>
          <w:rFonts w:ascii="宋体" w:hAnsi="宋体" w:cs="宋体" w:eastAsia="宋体" w:hint="default"/>
          <w:spacing w:val="-3"/>
        </w:rPr>
        <w:t>5</w:t>
      </w:r>
      <w:r>
        <w:rPr>
          <w:spacing w:val="-3"/>
        </w:rPr>
        <w:t>）无形资产的减值测试方法及减值准备计提方法</w:t>
      </w:r>
      <w:r>
        <w:rPr>
          <w:spacing w:val="-17"/>
        </w:rPr>
        <w:t> </w:t>
      </w:r>
      <w:r>
        <w:rPr>
          <w:spacing w:val="-17"/>
        </w:rPr>
      </w:r>
      <w:r>
        <w:rPr>
          <w:spacing w:val="-3"/>
        </w:rPr>
        <w:t>无形资产的减值测试方法和减值准备计提方法详见附注五、20“长期资产减值”。</w:t>
      </w:r>
    </w:p>
    <w:p>
      <w:pPr>
        <w:spacing w:after="0" w:line="357"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2"/>
        <w:rPr>
          <w:rFonts w:ascii="宋体" w:hAnsi="宋体" w:cs="宋体" w:eastAsia="宋体" w:hint="default"/>
          <w:b/>
          <w:bCs/>
          <w:sz w:val="21"/>
          <w:szCs w:val="21"/>
        </w:rPr>
      </w:pPr>
    </w:p>
    <w:p>
      <w:pPr>
        <w:pStyle w:val="BodyText"/>
        <w:spacing w:line="357" w:lineRule="auto"/>
        <w:ind w:left="513" w:right="1758"/>
        <w:jc w:val="left"/>
      </w:pPr>
      <w:r>
        <w:rPr>
          <w:spacing w:val="-3"/>
        </w:rPr>
        <w:t>本公司内部研究开发项目的支出分为研究阶段支出与开发阶段支出。 研究阶段的支出，于发生时计入当期损益。</w:t>
      </w:r>
      <w:r>
        <w:rPr>
          <w:spacing w:val="-33"/>
        </w:rPr>
        <w:t> </w:t>
      </w:r>
      <w:r>
        <w:rPr>
          <w:spacing w:val="-33"/>
        </w:rPr>
      </w:r>
      <w:r>
        <w:rPr>
          <w:spacing w:val="-3"/>
        </w:rPr>
        <w:t>开发阶段的支出同时满足下列条件的，确认为无形资产，不能满足下述条件的开发阶段的支出计入当期损益：</w:t>
      </w:r>
    </w:p>
    <w:p>
      <w:pPr>
        <w:pStyle w:val="BodyText"/>
        <w:spacing w:line="240" w:lineRule="auto" w:before="26"/>
        <w:ind w:left="513" w:right="1055"/>
        <w:jc w:val="left"/>
      </w:pPr>
      <w:r>
        <w:rPr/>
        <w:t>①</w:t>
      </w:r>
      <w:r>
        <w:rPr>
          <w:spacing w:val="85"/>
        </w:rPr>
        <w:t> </w:t>
      </w:r>
      <w:r>
        <w:rPr>
          <w:spacing w:val="-3"/>
        </w:rPr>
        <w:t>完成该无形资产以使其能够使用或出售在技术上具有可行性；</w:t>
      </w:r>
    </w:p>
    <w:p>
      <w:pPr>
        <w:pStyle w:val="BodyText"/>
        <w:spacing w:line="240" w:lineRule="auto" w:before="115"/>
        <w:ind w:left="513" w:right="1055"/>
        <w:jc w:val="left"/>
      </w:pPr>
      <w:r>
        <w:rPr/>
        <w:t>②</w:t>
      </w:r>
      <w:r>
        <w:rPr>
          <w:spacing w:val="61"/>
        </w:rPr>
        <w:t> </w:t>
      </w:r>
      <w:r>
        <w:rPr>
          <w:spacing w:val="-3"/>
        </w:rPr>
        <w:t>具有完成该无形资产并使用或出售的意图；</w:t>
      </w:r>
    </w:p>
    <w:p>
      <w:pPr>
        <w:pStyle w:val="BodyText"/>
        <w:spacing w:line="357" w:lineRule="auto" w:before="115"/>
        <w:ind w:right="1055" w:firstLine="360"/>
        <w:jc w:val="left"/>
      </w:pPr>
      <w:r>
        <w:rPr/>
        <w:t>③</w:t>
      </w:r>
      <w:r>
        <w:rPr>
          <w:spacing w:val="36"/>
        </w:rPr>
        <w:t> </w:t>
      </w:r>
      <w:r>
        <w:rPr>
          <w:spacing w:val="-3"/>
        </w:rPr>
        <w:t>无形资产产生经济利益的方式，包括能够证明运用该无形资产生产的产品存在市场或无形资产自身存在市场，无形</w:t>
      </w:r>
      <w:r>
        <w:rPr>
          <w:w w:val="101"/>
        </w:rPr>
        <w:t> </w:t>
      </w:r>
      <w:r>
        <w:rPr>
          <w:spacing w:val="-3"/>
        </w:rPr>
        <w:t>资产将在内部使用的，能够证明其有用性；</w:t>
      </w:r>
    </w:p>
    <w:p>
      <w:pPr>
        <w:pStyle w:val="BodyText"/>
        <w:spacing w:line="240" w:lineRule="auto" w:before="26"/>
        <w:ind w:left="513" w:right="1055"/>
        <w:jc w:val="left"/>
      </w:pPr>
      <w:r>
        <w:rPr/>
        <w:t>④ </w:t>
      </w:r>
      <w:r>
        <w:rPr>
          <w:spacing w:val="46"/>
        </w:rPr>
        <w:t> </w:t>
      </w:r>
      <w:r>
        <w:rPr>
          <w:spacing w:val="-3"/>
        </w:rPr>
        <w:t>有足够的技术、财务资源和其他资源支持，以完成该无形资产的开发，并有能力使用或出售该无形资产；</w:t>
      </w:r>
    </w:p>
    <w:p>
      <w:pPr>
        <w:pStyle w:val="BodyText"/>
        <w:spacing w:line="357" w:lineRule="auto" w:before="115"/>
        <w:ind w:left="513" w:right="1055"/>
        <w:jc w:val="left"/>
      </w:pPr>
      <w:r>
        <w:rPr/>
        <w:t>⑤ </w:t>
      </w:r>
      <w:r>
        <w:rPr>
          <w:spacing w:val="-3"/>
        </w:rPr>
        <w:t>归属于该无形资产开发阶段的支出能够可靠地计量。</w:t>
      </w:r>
      <w:r>
        <w:rPr>
          <w:spacing w:val="-18"/>
        </w:rPr>
        <w:t> </w:t>
      </w:r>
      <w:r>
        <w:rPr>
          <w:spacing w:val="-18"/>
        </w:rPr>
      </w:r>
      <w:r>
        <w:rPr>
          <w:spacing w:val="-3"/>
        </w:rPr>
        <w:t>无法区分研究阶段支出和开发阶段支出的，将发生的研发支出全部计入当期损益。</w:t>
      </w:r>
    </w:p>
    <w:p>
      <w:pPr>
        <w:spacing w:line="240" w:lineRule="auto" w:before="5"/>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14" w:firstLine="360"/>
        <w:jc w:val="left"/>
      </w:pPr>
      <w:r>
        <w:rPr>
          <w:spacing w:val="-4"/>
          <w:w w:val="101"/>
        </w:rPr>
        <w:t>长期待摊费用为已经发生但应由报告期和以后各期负担的分摊期限在一年以上的各项费用。长期待摊费用在预计受益期</w:t>
      </w:r>
      <w:r>
        <w:rPr>
          <w:w w:val="101"/>
        </w:rPr>
        <w:t> </w:t>
      </w:r>
      <w:r>
        <w:rPr/>
        <w:t>间按直线法摊销。</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3" w:firstLine="360"/>
        <w:jc w:val="both"/>
      </w:pPr>
      <w:r>
        <w:rPr>
          <w:spacing w:val="-5"/>
        </w:rPr>
        <w:t>对于固定资产、在建工程、使用寿命有限的无形资产、以成本模式计量的投资性房地产及对子公司、合营企业、联营企</w:t>
      </w:r>
      <w:r>
        <w:rPr>
          <w:w w:val="101"/>
        </w:rPr>
        <w:t> </w:t>
      </w:r>
      <w:r>
        <w:rPr>
          <w:spacing w:val="-4"/>
        </w:rPr>
        <w:t>业的长期股权投资等非流动非金融资产，本公司于资产负债表日判断是否存在减值迹象。如存在减值迹象的，则估计其可收</w:t>
      </w:r>
      <w:r>
        <w:rPr>
          <w:spacing w:val="43"/>
        </w:rPr>
        <w:t> </w:t>
      </w:r>
      <w:r>
        <w:rPr>
          <w:spacing w:val="43"/>
        </w:rPr>
      </w:r>
      <w:r>
        <w:rPr>
          <w:spacing w:val="-4"/>
        </w:rPr>
        <w:t>回金额，进行减值测试。商誉、使用寿命不确定的无形资产和尚未达到可使用状态的无形资产，无论是否存在减值迹象，每</w:t>
      </w:r>
      <w:r>
        <w:rPr>
          <w:spacing w:val="40"/>
        </w:rPr>
        <w:t> </w:t>
      </w:r>
      <w:r>
        <w:rPr>
          <w:spacing w:val="40"/>
        </w:rPr>
      </w:r>
      <w:r>
        <w:rPr>
          <w:spacing w:val="-3"/>
        </w:rPr>
        <w:t>年均进行减值测试。</w:t>
      </w:r>
    </w:p>
    <w:p>
      <w:pPr>
        <w:pStyle w:val="BodyText"/>
        <w:spacing w:line="357" w:lineRule="auto" w:before="27"/>
        <w:ind w:right="1004" w:firstLine="360"/>
        <w:jc w:val="left"/>
      </w:pPr>
      <w:r>
        <w:rPr>
          <w:spacing w:val="-4"/>
        </w:rPr>
        <w:t>减值测试结果表明资产的可收回金额低于其账面价值的，按其差额计提减值准备并计入减值损失。可收回金额为资产的</w:t>
      </w:r>
      <w:r>
        <w:rPr>
          <w:w w:val="101"/>
        </w:rPr>
        <w:t> </w:t>
      </w:r>
      <w:r>
        <w:rPr>
          <w:spacing w:val="-4"/>
          <w:w w:val="101"/>
        </w:rPr>
        <w:t>公允价值减去处置费用后的净额与资产预计未来现金流量的现值两者之间的较高者。资产的公允价值根据公平交易中销售协</w:t>
      </w:r>
      <w:r>
        <w:rPr>
          <w:w w:val="101"/>
        </w:rPr>
        <w:t> </w:t>
      </w:r>
      <w:r>
        <w:rPr>
          <w:spacing w:val="-4"/>
        </w:rPr>
        <w:t>议价格确定；不存在销售协议但存在资产活跃市场的，公允价值按照该资产的买方出价确定；不存在销售协议和资产活跃市</w:t>
      </w:r>
      <w:r>
        <w:rPr>
          <w:spacing w:val="43"/>
        </w:rPr>
        <w:t> </w:t>
      </w:r>
      <w:r>
        <w:rPr>
          <w:spacing w:val="43"/>
        </w:rPr>
      </w:r>
      <w:r>
        <w:rPr>
          <w:spacing w:val="-4"/>
        </w:rPr>
        <w:t>场的，则以可获取的最佳信息为基础估计资产的公允价值。处置费用包括与资产处置有关的法律费用、相关税费、搬运费以</w:t>
      </w:r>
      <w:r>
        <w:rPr>
          <w:spacing w:val="40"/>
        </w:rPr>
        <w:t> </w:t>
      </w:r>
      <w:r>
        <w:rPr>
          <w:spacing w:val="40"/>
        </w:rPr>
      </w:r>
      <w:r>
        <w:rPr>
          <w:spacing w:val="-4"/>
        </w:rPr>
        <w:t>及为使资产达到可销售状态所发生的直接费用。资产预计未来现金流量的现值，按照资产在持续使用过程中和最终处置时所</w:t>
      </w:r>
      <w:r>
        <w:rPr>
          <w:spacing w:val="43"/>
        </w:rPr>
        <w:t> </w:t>
      </w:r>
      <w:r>
        <w:rPr>
          <w:spacing w:val="43"/>
        </w:rPr>
      </w:r>
      <w:r>
        <w:rPr>
          <w:spacing w:val="-6"/>
          <w:w w:val="101"/>
        </w:rPr>
        <w:t>产生的预计未来现金流量，选择恰当的折现率对其进行折现后的金额加以确定。资产减值准备按单项资产为基础计算并确认，</w:t>
      </w:r>
      <w:r>
        <w:rPr>
          <w:spacing w:val="-69"/>
          <w:w w:val="101"/>
        </w:rPr>
        <w:t> </w:t>
      </w:r>
      <w:r>
        <w:rPr>
          <w:spacing w:val="-69"/>
          <w:w w:val="101"/>
        </w:rPr>
      </w:r>
      <w:r>
        <w:rPr>
          <w:spacing w:val="-4"/>
        </w:rPr>
        <w:t>如果难以对单项资产的可收回金额进行估计的，以该资产所属的资产组确定资产组的可收回金额。资产组是能够独立产生现</w:t>
      </w:r>
      <w:r>
        <w:rPr>
          <w:spacing w:val="43"/>
        </w:rPr>
        <w:t> </w:t>
      </w:r>
      <w:r>
        <w:rPr>
          <w:spacing w:val="43"/>
        </w:rPr>
      </w:r>
      <w:r>
        <w:rPr>
          <w:spacing w:val="-3"/>
        </w:rPr>
        <w:t>金流入的最小资产组合。</w:t>
      </w:r>
    </w:p>
    <w:p>
      <w:pPr>
        <w:pStyle w:val="BodyText"/>
        <w:spacing w:line="357" w:lineRule="auto" w:before="26"/>
        <w:ind w:right="1124" w:firstLine="360"/>
        <w:jc w:val="both"/>
      </w:pPr>
      <w:r>
        <w:rPr>
          <w:spacing w:val="-5"/>
        </w:rPr>
        <w:t>在财务报表中单独列示的商誉，在进行减值测试时，将商誉的账面价值分摊至预期从企业合并的协同效应中受益的资产</w:t>
      </w:r>
      <w:r>
        <w:rPr>
          <w:w w:val="101"/>
        </w:rPr>
        <w:t> </w:t>
      </w:r>
      <w:r>
        <w:rPr>
          <w:spacing w:val="-4"/>
        </w:rPr>
        <w:t>组或资产组组合。测试结果表明包含分摊的商誉的资产组或资产组组合的可收回金额低于其账面价值的，确认相应的减值损</w:t>
      </w:r>
      <w:r>
        <w:rPr>
          <w:spacing w:val="43"/>
        </w:rPr>
        <w:t> </w:t>
      </w:r>
      <w:r>
        <w:rPr>
          <w:spacing w:val="43"/>
        </w:rPr>
      </w:r>
      <w:r>
        <w:rPr>
          <w:spacing w:val="-4"/>
        </w:rPr>
        <w:t>失。减值损失金额先抵减分摊至该资产组或资产组组合的商誉的账面价值，再根据资产组或资产组组合中除商誉以外的其他</w:t>
      </w:r>
      <w:r>
        <w:rPr>
          <w:spacing w:val="42"/>
        </w:rPr>
        <w:t> </w:t>
      </w:r>
      <w:r>
        <w:rPr>
          <w:spacing w:val="42"/>
        </w:rPr>
      </w:r>
      <w:r>
        <w:rPr>
          <w:spacing w:val="-3"/>
        </w:rPr>
        <w:t>各项资产的账面价值所占比重，按比例抵减其他各项资产的账面价值。</w:t>
      </w:r>
    </w:p>
    <w:p>
      <w:pPr>
        <w:pStyle w:val="BodyText"/>
        <w:spacing w:line="240" w:lineRule="auto" w:before="26"/>
        <w:ind w:left="513" w:right="1055"/>
        <w:jc w:val="left"/>
      </w:pPr>
      <w:r>
        <w:rPr>
          <w:spacing w:val="-3"/>
        </w:rPr>
        <w:t>上述资产减值损失一经确认，以后期间不予转回价值得以恢复的部分。</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004" w:firstLine="360"/>
        <w:jc w:val="left"/>
      </w:pPr>
      <w:r>
        <w:rPr>
          <w:spacing w:val="-5"/>
        </w:rPr>
        <w:t>短期薪酬主要包括工资、奖金、津贴和补贴、职工福利费、医疗保险费、生育保险费、工伤保险费、住房公积金、工会</w:t>
      </w:r>
      <w:r>
        <w:rPr>
          <w:w w:val="101"/>
        </w:rPr>
        <w:t> </w:t>
      </w:r>
      <w:r>
        <w:rPr>
          <w:spacing w:val="-6"/>
          <w:w w:val="101"/>
        </w:rPr>
        <w:t>经费和职工教育经费、非货币性福利等。本公司在职工为本公司提供服务的会计期间将实际发生的短期职工薪酬确认为负债，</w:t>
      </w:r>
      <w:r>
        <w:rPr>
          <w:spacing w:val="-66"/>
          <w:w w:val="101"/>
        </w:rPr>
        <w:t> </w:t>
      </w:r>
      <w:r>
        <w:rPr>
          <w:spacing w:val="-66"/>
          <w:w w:val="101"/>
        </w:rPr>
      </w:r>
      <w:r>
        <w:rPr>
          <w:spacing w:val="-3"/>
        </w:rPr>
        <w:t>并计入当期损益或相关资产成本。其中非货币性福利按公允价值计量。</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055" w:firstLine="360"/>
        <w:jc w:val="left"/>
      </w:pPr>
      <w:r>
        <w:rPr>
          <w:spacing w:val="-4"/>
        </w:rPr>
        <w:t>离职后福利主要包括基本养老保险、失业保险等。离职后福利计划包括设定提存计划及设定受益计划。采用设定提存计</w:t>
      </w:r>
      <w:r>
        <w:rPr>
          <w:w w:val="101"/>
        </w:rPr>
        <w:t> </w:t>
      </w:r>
      <w:r>
        <w:rPr>
          <w:spacing w:val="-3"/>
        </w:rPr>
        <w:t>划的，相应的应缴存金额于发生时计入相关资产成本或当期损益。</w:t>
      </w:r>
    </w:p>
    <w:p>
      <w:pPr>
        <w:pStyle w:val="BodyText"/>
        <w:spacing w:line="240" w:lineRule="auto" w:before="26"/>
        <w:ind w:left="513" w:right="1055"/>
        <w:jc w:val="left"/>
      </w:pPr>
      <w:r>
        <w:rPr>
          <w:spacing w:val="-3"/>
        </w:rPr>
        <w:t>本公司仅涉及设定提存计划。设定提存计划包括基本养老保险、失业保险等。</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5" w:lineRule="auto"/>
        <w:ind w:right="1055" w:firstLine="360"/>
        <w:jc w:val="left"/>
      </w:pPr>
      <w:r>
        <w:rPr>
          <w:spacing w:val="-4"/>
        </w:rPr>
        <w:t>在职工劳动合同到期之前解除与职工的劳动关系，或为鼓励职工自愿接受裁减而提出给予补偿的建议，在本公司不能单</w:t>
      </w:r>
      <w:r>
        <w:rPr>
          <w:w w:val="101"/>
        </w:rPr>
        <w:t> </w:t>
      </w:r>
      <w:r>
        <w:rPr>
          <w:spacing w:val="-4"/>
          <w:w w:val="101"/>
        </w:rPr>
        <w:t>方面撤回因解除劳动关系计划或裁减建议所提供的辞退福利时，和本公司确认与涉及支付辞退福利的重组相关的成本两者孰</w:t>
      </w:r>
      <w:r>
        <w:rPr>
          <w:w w:val="101"/>
        </w:rPr>
        <w:t> </w:t>
      </w:r>
      <w:r>
        <w:rPr>
          <w:spacing w:val="-6"/>
        </w:rPr>
        <w:t>早日，确认辞退福利产生的职工薪酬负债，并计入当期损益。但辞退福利预期在年度报告期结束后十二个月不能完全支付的，</w:t>
      </w:r>
      <w:r>
        <w:rPr>
          <w:spacing w:val="70"/>
        </w:rPr>
        <w:t> </w:t>
      </w:r>
      <w:r>
        <w:rPr>
          <w:spacing w:val="70"/>
        </w:rPr>
      </w:r>
      <w:r>
        <w:rPr>
          <w:spacing w:val="-3"/>
        </w:rPr>
        <w:t>按照其他长期职工薪酬处理。</w:t>
      </w:r>
    </w:p>
    <w:p>
      <w:pPr>
        <w:spacing w:line="240" w:lineRule="auto" w:before="6"/>
        <w:rPr>
          <w:rFonts w:ascii="宋体" w:hAnsi="宋体" w:cs="宋体" w:eastAsia="宋体" w:hint="default"/>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4"/>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055" w:firstLine="360"/>
        <w:jc w:val="left"/>
      </w:pP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）该义务是本公司承担的现时义务；（</w:t>
      </w:r>
      <w:r>
        <w:rPr>
          <w:rFonts w:ascii="宋体" w:hAnsi="宋体" w:cs="宋体" w:eastAsia="宋体" w:hint="default"/>
          <w:spacing w:val="-4"/>
        </w:rPr>
        <w:t>2</w:t>
      </w:r>
      <w:r>
        <w:rPr>
          <w:spacing w:val="-4"/>
        </w:rPr>
        <w:t>）履行该义</w:t>
      </w:r>
      <w:r>
        <w:rPr>
          <w:w w:val="101"/>
        </w:rPr>
        <w:t> </w:t>
      </w:r>
      <w:r>
        <w:rPr>
          <w:spacing w:val="-3"/>
        </w:rPr>
        <w:t>务很可能导致经济利益流出；（</w:t>
      </w:r>
      <w:r>
        <w:rPr>
          <w:rFonts w:ascii="宋体" w:hAnsi="宋体" w:cs="宋体" w:eastAsia="宋体" w:hint="default"/>
          <w:spacing w:val="-3"/>
        </w:rPr>
        <w:t>3</w:t>
      </w:r>
      <w:r>
        <w:rPr>
          <w:spacing w:val="-3"/>
        </w:rPr>
        <w:t>）该义务的金额能够可靠地计量。</w:t>
      </w:r>
    </w:p>
    <w:p>
      <w:pPr>
        <w:pStyle w:val="BodyText"/>
        <w:spacing w:line="357" w:lineRule="auto" w:before="26"/>
        <w:ind w:right="1055" w:firstLine="360"/>
        <w:jc w:val="left"/>
      </w:pPr>
      <w:r>
        <w:rPr>
          <w:spacing w:val="-4"/>
        </w:rPr>
        <w:t>在资产负债表日，考虑与或有事项有关的风险、不确定性和货币时间价值等因素，按照履行相关现时义务所需支出的最</w:t>
      </w:r>
      <w:r>
        <w:rPr>
          <w:w w:val="101"/>
        </w:rPr>
        <w:t> </w:t>
      </w:r>
      <w:r>
        <w:rPr>
          <w:spacing w:val="-3"/>
        </w:rPr>
        <w:t>佳估计数对预计负债进行计量。</w:t>
      </w:r>
    </w:p>
    <w:p>
      <w:pPr>
        <w:pStyle w:val="BodyText"/>
        <w:spacing w:line="357" w:lineRule="auto" w:before="26"/>
        <w:ind w:right="1055" w:firstLine="360"/>
        <w:jc w:val="left"/>
      </w:pPr>
      <w:r>
        <w:rPr>
          <w:spacing w:val="-4"/>
        </w:rPr>
        <w:t>如果清偿预计负债所需支出全部或部分预期由第三方补偿的，补偿金额在基本确定能够收到时，作为资产单独确认，且</w:t>
      </w:r>
      <w:r>
        <w:rPr>
          <w:w w:val="101"/>
        </w:rPr>
        <w:t> </w:t>
      </w:r>
      <w:r>
        <w:rPr>
          <w:spacing w:val="-3"/>
        </w:rPr>
        <w:t>确认的补偿金额不超过预计负债的账面价值。</w:t>
      </w:r>
    </w:p>
    <w:p>
      <w:pPr>
        <w:pStyle w:val="BodyText"/>
        <w:spacing w:line="357" w:lineRule="auto" w:before="26"/>
        <w:ind w:left="513" w:right="1055"/>
        <w:jc w:val="left"/>
      </w:pPr>
      <w:r>
        <w:rPr/>
        <w:t>（</w:t>
      </w:r>
      <w:r>
        <w:rPr>
          <w:rFonts w:ascii="宋体" w:hAnsi="宋体" w:cs="宋体" w:eastAsia="宋体" w:hint="default"/>
        </w:rPr>
        <w:t>1</w:t>
      </w:r>
      <w:r>
        <w:rPr/>
        <w:t>）亏损合同</w:t>
      </w:r>
      <w:r>
        <w:rPr>
          <w:spacing w:val="-85"/>
        </w:rPr>
        <w:t> </w:t>
      </w:r>
      <w:r>
        <w:rPr>
          <w:spacing w:val="-85"/>
        </w:rPr>
      </w:r>
      <w:r>
        <w:rPr>
          <w:spacing w:val="-5"/>
        </w:rPr>
        <w:t>亏损合同是履行合同义务不可避免会发生的成本超过预期经济利益的合同。待执行合同变成亏损合同，且该亏损合同产</w:t>
      </w:r>
    </w:p>
    <w:p>
      <w:pPr>
        <w:pStyle w:val="BodyText"/>
        <w:spacing w:line="357" w:lineRule="auto" w:before="27"/>
        <w:ind w:right="1055"/>
        <w:jc w:val="left"/>
      </w:pPr>
      <w:r>
        <w:rPr>
          <w:spacing w:val="-4"/>
        </w:rPr>
        <w:t>生的义务满足上述预计负债的确认条件的，将合同预计损失超过合同标的资产已确认的减值损失（如有）的部分，确认为预</w:t>
      </w:r>
      <w:r>
        <w:rPr>
          <w:spacing w:val="40"/>
        </w:rPr>
        <w:t> </w:t>
      </w:r>
      <w:r>
        <w:rPr>
          <w:spacing w:val="40"/>
        </w:rPr>
      </w:r>
      <w:r>
        <w:rPr/>
        <w:t>计负债。</w:t>
      </w:r>
    </w:p>
    <w:p>
      <w:pPr>
        <w:pStyle w:val="BodyText"/>
        <w:spacing w:line="357" w:lineRule="auto" w:before="22"/>
        <w:ind w:left="513" w:right="1055"/>
        <w:jc w:val="left"/>
      </w:pPr>
      <w:r>
        <w:rPr/>
        <w:t>（</w:t>
      </w:r>
      <w:r>
        <w:rPr>
          <w:rFonts w:ascii="宋体" w:hAnsi="宋体" w:cs="宋体" w:eastAsia="宋体" w:hint="default"/>
        </w:rPr>
        <w:t>2</w:t>
      </w:r>
      <w:r>
        <w:rPr/>
        <w:t>）重组义务</w:t>
      </w:r>
      <w:r>
        <w:rPr>
          <w:spacing w:val="-85"/>
        </w:rPr>
        <w:t> </w:t>
      </w:r>
      <w:r>
        <w:rPr>
          <w:spacing w:val="-85"/>
        </w:rPr>
      </w:r>
      <w:r>
        <w:rPr>
          <w:spacing w:val="-4"/>
        </w:rPr>
        <w:t>对于有详细、正式并且已经对外公告的重组计划，在满足前述预计负债的确认条件的情况下，按照与重组有关的直接支</w:t>
      </w:r>
    </w:p>
    <w:p>
      <w:pPr>
        <w:pStyle w:val="BodyText"/>
        <w:spacing w:line="240" w:lineRule="auto" w:before="26"/>
        <w:ind w:right="1055"/>
        <w:jc w:val="left"/>
      </w:pPr>
      <w:r>
        <w:rPr/>
        <w:t>出确定预计负债金额。</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12"/>
        <w:rPr>
          <w:rFonts w:ascii="宋体" w:hAnsi="宋体" w:cs="宋体" w:eastAsia="宋体" w:hint="default"/>
          <w:b/>
          <w:bCs/>
          <w:sz w:val="21"/>
          <w:szCs w:val="21"/>
        </w:rPr>
      </w:pPr>
    </w:p>
    <w:p>
      <w:pPr>
        <w:pStyle w:val="BodyText"/>
        <w:spacing w:line="357" w:lineRule="auto"/>
        <w:ind w:left="513" w:right="1114"/>
        <w:jc w:val="left"/>
      </w:pPr>
      <w:r>
        <w:rPr>
          <w:spacing w:val="-3"/>
        </w:rPr>
        <w:t>（</w:t>
      </w:r>
      <w:r>
        <w:rPr>
          <w:rFonts w:ascii="宋体" w:hAnsi="宋体" w:cs="宋体" w:eastAsia="宋体" w:hint="default"/>
          <w:spacing w:val="-3"/>
        </w:rPr>
        <w:t>1</w:t>
      </w:r>
      <w:r>
        <w:rPr>
          <w:spacing w:val="-3"/>
        </w:rPr>
        <w:t>）股份支付的会计处理方法</w:t>
      </w:r>
      <w:r>
        <w:rPr>
          <w:spacing w:val="-46"/>
        </w:rPr>
        <w:t> </w:t>
      </w:r>
      <w:r>
        <w:rPr>
          <w:spacing w:val="-46"/>
        </w:rPr>
      </w:r>
      <w:r>
        <w:rPr>
          <w:spacing w:val="-4"/>
          <w:w w:val="101"/>
        </w:rPr>
        <w:t>股份支付是为了获取职工或其他方提供服务而授予权益工具或者承担以权益工具为基础确定的负债的交易。股份支付分</w:t>
      </w:r>
      <w:r>
        <w:rPr>
          <w:spacing w:val="-4"/>
        </w:rPr>
      </w:r>
    </w:p>
    <w:p>
      <w:pPr>
        <w:pStyle w:val="BodyText"/>
        <w:spacing w:line="240" w:lineRule="auto" w:before="27"/>
        <w:ind w:right="0"/>
        <w:jc w:val="both"/>
      </w:pPr>
      <w:r>
        <w:rPr>
          <w:spacing w:val="-3"/>
        </w:rPr>
        <w:t>为以权益结算的股份支付和以现金结算的股份支付。</w:t>
      </w:r>
    </w:p>
    <w:p>
      <w:pPr>
        <w:pStyle w:val="BodyText"/>
        <w:spacing w:line="357" w:lineRule="auto" w:before="115"/>
        <w:ind w:left="513" w:right="1055"/>
        <w:jc w:val="left"/>
      </w:pPr>
      <w:r>
        <w:rPr/>
        <w:t>① </w:t>
      </w:r>
      <w:r>
        <w:rPr>
          <w:spacing w:val="-3"/>
        </w:rPr>
        <w:t>以权益结算的股份支付</w:t>
      </w:r>
      <w:r>
        <w:rPr>
          <w:spacing w:val="-58"/>
        </w:rPr>
        <w:t> </w:t>
      </w:r>
      <w:r>
        <w:rPr>
          <w:spacing w:val="-58"/>
        </w:rPr>
      </w:r>
      <w:r>
        <w:rPr>
          <w:spacing w:val="-4"/>
        </w:rPr>
        <w:t>用以换取职工提供的服务的权益结算的股份支付，以授予职工权益工具在授予日的公允价值计量。该公允价值的金额在</w:t>
      </w:r>
    </w:p>
    <w:p>
      <w:pPr>
        <w:pStyle w:val="BodyText"/>
        <w:spacing w:line="357" w:lineRule="auto" w:before="26"/>
        <w:ind w:right="1124"/>
        <w:jc w:val="both"/>
      </w:pPr>
      <w:r>
        <w:rPr>
          <w:spacing w:val="-4"/>
        </w:rPr>
        <w:t>完成等待期内的服务或达到规定业绩条件才可行权的情况下，在等待期内以对可行权权益工具数量的最佳估计为基础，按直</w:t>
      </w:r>
      <w:r>
        <w:rPr>
          <w:spacing w:val="44"/>
        </w:rPr>
        <w:t> </w:t>
      </w:r>
      <w:r>
        <w:rPr>
          <w:spacing w:val="44"/>
        </w:rPr>
      </w:r>
      <w:r>
        <w:rPr>
          <w:spacing w:val="-3"/>
        </w:rPr>
        <w:t>线法计算计入相关成本或费用</w:t>
      </w:r>
      <w:r>
        <w:rPr>
          <w:rFonts w:ascii="宋体" w:hAnsi="宋体" w:cs="宋体" w:eastAsia="宋体" w:hint="default"/>
          <w:spacing w:val="-3"/>
        </w:rPr>
        <w:t>/</w:t>
      </w:r>
      <w:r>
        <w:rPr>
          <w:spacing w:val="-3"/>
        </w:rPr>
        <w:t>在授予后立即可行权时，在授予日计入相关成本或费用，相应增加资本公积。</w:t>
      </w:r>
    </w:p>
    <w:p>
      <w:pPr>
        <w:pStyle w:val="BodyText"/>
        <w:spacing w:line="357" w:lineRule="auto" w:before="26"/>
        <w:ind w:right="1122" w:firstLine="360"/>
        <w:jc w:val="both"/>
      </w:pPr>
      <w:r>
        <w:rPr>
          <w:spacing w:val="-4"/>
        </w:rPr>
        <w:t>在等待期内每个资产负债表日，本公司根据最新取得的可行权职工人数变动等后续信息做出最佳估计，修正预计可行权</w:t>
      </w:r>
      <w:r>
        <w:rPr>
          <w:w w:val="101"/>
        </w:rPr>
        <w:t> </w:t>
      </w:r>
      <w:r>
        <w:rPr>
          <w:spacing w:val="-3"/>
        </w:rPr>
        <w:t>的权益工具数量。上述估计的影响计入当期相关成本或费用，并相应调整资本公积。</w:t>
      </w:r>
    </w:p>
    <w:p>
      <w:pPr>
        <w:pStyle w:val="BodyText"/>
        <w:spacing w:line="357" w:lineRule="auto" w:before="26"/>
        <w:ind w:right="1124" w:firstLine="360"/>
        <w:jc w:val="both"/>
      </w:pPr>
      <w:r>
        <w:rPr>
          <w:spacing w:val="-4"/>
        </w:rPr>
        <w:t>用以换取其他方服务的权益结算的股份支付，如果其他方服务的公允价值能够可靠计量，按照其他方服务在取得日的公</w:t>
      </w:r>
      <w:r>
        <w:rPr>
          <w:w w:val="101"/>
        </w:rPr>
        <w:t> </w:t>
      </w:r>
      <w:r>
        <w:rPr>
          <w:spacing w:val="-4"/>
        </w:rPr>
        <w:t>允价值计量，如果其他方服务的公允价值不能可靠计量，但权益工具的公允价值能够可靠计量的，按照权益工具在服务取得</w:t>
      </w:r>
      <w:r>
        <w:rPr>
          <w:spacing w:val="43"/>
        </w:rPr>
        <w:t> </w:t>
      </w:r>
      <w:r>
        <w:rPr>
          <w:spacing w:val="43"/>
        </w:rPr>
      </w:r>
      <w:r>
        <w:rPr>
          <w:spacing w:val="-3"/>
        </w:rPr>
        <w:t>日的公允价值计量，计入相关成本或费用，相应增加股东权益。</w:t>
      </w:r>
    </w:p>
    <w:p>
      <w:pPr>
        <w:pStyle w:val="BodyText"/>
        <w:spacing w:line="357" w:lineRule="auto" w:before="26"/>
        <w:ind w:left="513" w:right="1055"/>
        <w:jc w:val="left"/>
      </w:pPr>
      <w:r>
        <w:rPr/>
        <w:t>② </w:t>
      </w:r>
      <w:r>
        <w:rPr>
          <w:spacing w:val="-3"/>
        </w:rPr>
        <w:t>以现金结算的股份支付</w:t>
      </w:r>
      <w:r>
        <w:rPr>
          <w:spacing w:val="-58"/>
        </w:rPr>
        <w:t> </w:t>
      </w:r>
      <w:r>
        <w:rPr>
          <w:spacing w:val="-58"/>
        </w:rPr>
      </w:r>
      <w:r>
        <w:rPr>
          <w:spacing w:val="-4"/>
        </w:rPr>
        <w:t>以现金结算的股份支付，按照本公司承担的以股份或其他权益工具为基础确定的负债的公允价值计量。如授予后立即可</w:t>
      </w:r>
    </w:p>
    <w:p>
      <w:pPr>
        <w:pStyle w:val="BodyText"/>
        <w:spacing w:line="357" w:lineRule="auto" w:before="26"/>
        <w:ind w:right="1124"/>
        <w:jc w:val="both"/>
      </w:pPr>
      <w:r>
        <w:rPr>
          <w:spacing w:val="-4"/>
        </w:rPr>
        <w:t>行权，在授予日计入相关成本或费用，相应增加负债；如须完成等待期内的服务或达到规定业绩条件以后才可行权，在等待</w:t>
      </w:r>
      <w:r>
        <w:rPr>
          <w:spacing w:val="40"/>
        </w:rPr>
        <w:t> </w:t>
      </w:r>
      <w:r>
        <w:rPr>
          <w:spacing w:val="40"/>
        </w:rPr>
      </w:r>
      <w:r>
        <w:rPr>
          <w:spacing w:val="-4"/>
        </w:rPr>
        <w:t>期的每个资产负债表日，以对可行权情况的最佳估计为基础，按照本公司承担负债的公允价值金额，将当期取得的服务计入</w:t>
      </w:r>
      <w:r>
        <w:rPr>
          <w:spacing w:val="43"/>
        </w:rPr>
        <w:t> </w:t>
      </w:r>
      <w:r>
        <w:rPr>
          <w:spacing w:val="43"/>
        </w:rPr>
      </w:r>
      <w:r>
        <w:rPr>
          <w:spacing w:val="-3"/>
        </w:rPr>
        <w:t>成本或费用，相应增加负债。</w:t>
      </w:r>
    </w:p>
    <w:p>
      <w:pPr>
        <w:pStyle w:val="BodyText"/>
        <w:spacing w:line="240" w:lineRule="auto" w:before="26"/>
        <w:ind w:left="513" w:right="1055"/>
        <w:jc w:val="left"/>
      </w:pPr>
      <w:r>
        <w:rPr>
          <w:spacing w:val="-3"/>
        </w:rPr>
        <w:t>在相关负债结算前的每个资产负债表日以及结算日，对负债的公允价值重新计量，其变动计入当期损益。</w:t>
      </w:r>
    </w:p>
    <w:p>
      <w:pPr>
        <w:pStyle w:val="BodyText"/>
        <w:spacing w:line="357" w:lineRule="auto" w:before="115"/>
        <w:ind w:left="513" w:right="1055"/>
        <w:jc w:val="left"/>
      </w:pPr>
      <w:r>
        <w:rPr>
          <w:spacing w:val="-3"/>
        </w:rPr>
        <w:t>（</w:t>
      </w:r>
      <w:r>
        <w:rPr>
          <w:rFonts w:ascii="宋体" w:hAnsi="宋体" w:cs="宋体" w:eastAsia="宋体" w:hint="default"/>
          <w:spacing w:val="-3"/>
        </w:rPr>
        <w:t>2</w:t>
      </w:r>
      <w:r>
        <w:rPr>
          <w:spacing w:val="-3"/>
        </w:rPr>
        <w:t>）修改、终止股份支付计划的相关会计处理</w:t>
      </w:r>
      <w:r>
        <w:rPr>
          <w:spacing w:val="-23"/>
        </w:rPr>
        <w:t> </w:t>
      </w:r>
      <w:r>
        <w:rPr>
          <w:spacing w:val="-23"/>
        </w:rPr>
      </w:r>
      <w:r>
        <w:rPr>
          <w:spacing w:val="-4"/>
        </w:rPr>
        <w:t>本公司对股份支付计划进行修改时，若修改增加了所授予权益工具的公允价值，按照权益工具公允价值的增加相应确认</w:t>
      </w:r>
    </w:p>
    <w:p>
      <w:pPr>
        <w:pStyle w:val="BodyText"/>
        <w:spacing w:line="357" w:lineRule="auto" w:before="22"/>
        <w:ind w:right="1123"/>
        <w:jc w:val="both"/>
      </w:pPr>
      <w:r>
        <w:rPr>
          <w:spacing w:val="-4"/>
        </w:rPr>
        <w:t>取得服务的增加。权益工具公允价值的增加是指修改前后的权益工具在修改日的公允价值之间的差额。若修改减少了股份支</w:t>
      </w:r>
      <w:r>
        <w:rPr>
          <w:spacing w:val="42"/>
        </w:rPr>
        <w:t> </w:t>
      </w:r>
      <w:r>
        <w:rPr>
          <w:spacing w:val="42"/>
        </w:rPr>
      </w:r>
      <w:r>
        <w:rPr>
          <w:spacing w:val="-4"/>
        </w:rPr>
        <w:t>付公允价值总额或采用了其他不利于职工的方式，则仍继续对取得的服务进行会计处理，视同该变更从未发生，除非本公司</w:t>
      </w:r>
      <w:r>
        <w:rPr>
          <w:spacing w:val="43"/>
        </w:rPr>
        <w:t> </w:t>
      </w:r>
      <w:r>
        <w:rPr>
          <w:spacing w:val="43"/>
        </w:rPr>
      </w:r>
      <w:r>
        <w:rPr>
          <w:spacing w:val="-3"/>
        </w:rPr>
        <w:t>取消了部分或全部已授予的权益工具。</w:t>
      </w:r>
    </w:p>
    <w:p>
      <w:pPr>
        <w:pStyle w:val="BodyText"/>
        <w:spacing w:line="357" w:lineRule="auto" w:before="26"/>
        <w:ind w:right="1124" w:firstLine="360"/>
        <w:jc w:val="both"/>
      </w:pPr>
      <w:r>
        <w:rPr>
          <w:spacing w:val="-4"/>
        </w:rPr>
        <w:t>在等待期内，如果取消了授予的权益工具，本公司对取消所授予的权益性工具作为加速行权处理，将剩余等待期内应确</w:t>
      </w:r>
      <w:r>
        <w:rPr>
          <w:w w:val="101"/>
        </w:rPr>
        <w:t> </w:t>
      </w:r>
      <w:r>
        <w:rPr>
          <w:spacing w:val="-4"/>
        </w:rPr>
        <w:t>认的金额立即计入当期损益，同时确认资本公积。职工或其他方能够选择满足非可行权条件但在等待期内未满足的，本公司</w:t>
      </w:r>
      <w:r>
        <w:rPr>
          <w:spacing w:val="43"/>
        </w:rPr>
        <w:t> </w:t>
      </w:r>
      <w:r>
        <w:rPr>
          <w:spacing w:val="43"/>
        </w:rPr>
      </w:r>
      <w:r>
        <w:rPr>
          <w:spacing w:val="-3"/>
        </w:rPr>
        <w:t>将其作为授予权益工具的取消处理。</w:t>
      </w:r>
    </w:p>
    <w:p>
      <w:pPr>
        <w:pStyle w:val="BodyText"/>
        <w:spacing w:line="357" w:lineRule="auto" w:before="27"/>
        <w:ind w:left="513" w:right="1055"/>
        <w:jc w:val="left"/>
      </w:pPr>
      <w:r>
        <w:rPr>
          <w:spacing w:val="-3"/>
        </w:rPr>
        <w:t>（</w:t>
      </w:r>
      <w:r>
        <w:rPr>
          <w:rFonts w:ascii="宋体" w:hAnsi="宋体" w:cs="宋体" w:eastAsia="宋体" w:hint="default"/>
          <w:spacing w:val="-3"/>
        </w:rPr>
        <w:t>3</w:t>
      </w:r>
      <w:r>
        <w:rPr>
          <w:spacing w:val="-3"/>
        </w:rPr>
        <w:t>）涉及本公司与本公司股东或实际控制人的股份支付交易的会计处理</w:t>
      </w:r>
      <w:r>
        <w:rPr>
          <w:spacing w:val="6"/>
        </w:rPr>
        <w:t> </w:t>
      </w:r>
      <w:r>
        <w:rPr>
          <w:spacing w:val="6"/>
        </w:rPr>
      </w:r>
      <w:r>
        <w:rPr>
          <w:spacing w:val="-4"/>
        </w:rPr>
        <w:t>涉及本公司与本公司股东或实际控制人的股份支付交易，结算企业与接受服务企业中其一在本公司内，另一在本公司外</w:t>
      </w:r>
    </w:p>
    <w:p>
      <w:pPr>
        <w:pStyle w:val="BodyText"/>
        <w:spacing w:line="240" w:lineRule="auto" w:before="26"/>
        <w:ind w:right="0"/>
        <w:jc w:val="both"/>
      </w:pPr>
      <w:r>
        <w:rPr>
          <w:spacing w:val="-3"/>
        </w:rPr>
        <w:t>的，在本公司合并财务报表中按照以下规定进行会计处理：</w:t>
      </w:r>
    </w:p>
    <w:p>
      <w:pPr>
        <w:pStyle w:val="BodyText"/>
        <w:spacing w:line="357" w:lineRule="auto" w:before="115"/>
        <w:ind w:right="1133" w:firstLine="360"/>
        <w:jc w:val="both"/>
      </w:pPr>
      <w:r>
        <w:rPr/>
        <w:t>①</w:t>
      </w:r>
      <w:r>
        <w:rPr>
          <w:spacing w:val="36"/>
        </w:rPr>
        <w:t> </w:t>
      </w:r>
      <w:r>
        <w:rPr>
          <w:spacing w:val="-3"/>
        </w:rPr>
        <w:t>结算企业以其本身权益工具结算的，将该股份支付交易作为权益结算的股份支付处理；除此之外，作为现金结算的</w:t>
      </w:r>
      <w:r>
        <w:rPr>
          <w:w w:val="101"/>
        </w:rPr>
        <w:t> </w:t>
      </w:r>
      <w:r>
        <w:rPr>
          <w:spacing w:val="-3"/>
        </w:rPr>
        <w:t>股份支付处理。</w:t>
      </w:r>
    </w:p>
    <w:p>
      <w:pPr>
        <w:pStyle w:val="BodyText"/>
        <w:spacing w:line="357" w:lineRule="auto" w:before="27"/>
        <w:ind w:right="1128" w:firstLine="360"/>
        <w:jc w:val="both"/>
      </w:pPr>
      <w:r>
        <w:rPr>
          <w:spacing w:val="-5"/>
          <w:w w:val="101"/>
        </w:rPr>
        <w:t>结算企业是接受服务企业的投资者的，按照授予日权益工具的公允价值或应承担负债的公允价值确认为对接受服务企业</w:t>
      </w:r>
      <w:r>
        <w:rPr>
          <w:w w:val="101"/>
        </w:rPr>
        <w:t> </w:t>
      </w:r>
      <w:r>
        <w:rPr>
          <w:spacing w:val="-3"/>
        </w:rPr>
        <w:t>的长期股权投资，同时确认资本公积（其他资本公积）或负债。</w:t>
      </w:r>
    </w:p>
    <w:p>
      <w:pPr>
        <w:pStyle w:val="BodyText"/>
        <w:spacing w:line="357" w:lineRule="auto" w:before="26"/>
        <w:ind w:right="1124" w:firstLine="360"/>
        <w:jc w:val="both"/>
      </w:pPr>
      <w:r>
        <w:rPr/>
        <w:t>②</w:t>
      </w:r>
      <w:r>
        <w:rPr>
          <w:spacing w:val="28"/>
        </w:rPr>
        <w:t> </w:t>
      </w:r>
      <w:r>
        <w:rPr>
          <w:spacing w:val="-3"/>
        </w:rPr>
        <w:t>接受服务企业没有结算义务或授予本企业职工的是其本身权益工具的，将该股份支付交易作为权益结算的股份支付</w:t>
      </w:r>
      <w:r>
        <w:rPr>
          <w:w w:val="101"/>
        </w:rPr>
        <w:t> </w:t>
      </w:r>
      <w:r>
        <w:rPr>
          <w:spacing w:val="-4"/>
        </w:rPr>
        <w:t>处理；接受服务企业具有结算义务且授予本企业职工的并非其本身权益工具的，将该股份支付交易作为现金结算的股份支付</w:t>
      </w:r>
      <w:r>
        <w:rPr>
          <w:spacing w:val="43"/>
        </w:rPr>
        <w:t> </w:t>
      </w:r>
      <w:r>
        <w:rPr>
          <w:spacing w:val="43"/>
        </w:rPr>
      </w:r>
      <w:r>
        <w:rPr/>
        <w:t>处理。</w:t>
      </w:r>
    </w:p>
    <w:p>
      <w:pPr>
        <w:pStyle w:val="BodyText"/>
        <w:spacing w:line="357" w:lineRule="auto" w:before="26"/>
        <w:ind w:right="1124" w:firstLine="360"/>
        <w:jc w:val="both"/>
      </w:pPr>
      <w:r>
        <w:rPr>
          <w:spacing w:val="-4"/>
        </w:rPr>
        <w:t>本公司内各企业之间发生的股份支付交易，接受服务企业和结算企业不是同一企业的，在接受服务企业和结算企业各自</w:t>
      </w:r>
      <w:r>
        <w:rPr>
          <w:w w:val="101"/>
        </w:rPr>
        <w:t> </w:t>
      </w:r>
      <w:r>
        <w:rPr>
          <w:spacing w:val="-3"/>
        </w:rPr>
        <w:t>的个别财务报表中对该股份支付交易的确认和计量，比照上述原则处理。</w:t>
      </w:r>
    </w:p>
    <w:p>
      <w:pPr>
        <w:spacing w:after="0" w:line="357" w:lineRule="auto"/>
        <w:jc w:val="both"/>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7602"/>
        <w:jc w:val="left"/>
      </w:pPr>
      <w:r>
        <w:rPr>
          <w:spacing w:val="-3"/>
        </w:rPr>
        <w:t>公司是否需要遵守特殊行业的披露要求</w:t>
      </w:r>
      <w:r>
        <w:rPr>
          <w:spacing w:val="-39"/>
        </w:rPr>
        <w:t> </w:t>
      </w:r>
      <w:r>
        <w:rPr>
          <w:spacing w:val="-39"/>
        </w:rPr>
      </w:r>
      <w:r>
        <w:rPr/>
        <w:t>是</w:t>
      </w:r>
    </w:p>
    <w:p>
      <w:pPr>
        <w:pStyle w:val="BodyText"/>
        <w:spacing w:line="240" w:lineRule="auto" w:before="10"/>
        <w:ind w:right="1055"/>
        <w:jc w:val="left"/>
      </w:pPr>
      <w:r>
        <w:rPr/>
        <w:t>电子商务业</w:t>
      </w:r>
    </w:p>
    <w:p>
      <w:pPr>
        <w:pStyle w:val="BodyText"/>
        <w:spacing w:line="240" w:lineRule="auto" w:before="38"/>
        <w:ind w:left="513" w:right="1055"/>
        <w:jc w:val="left"/>
      </w:pPr>
      <w:r>
        <w:rPr/>
        <w:t>（</w:t>
      </w:r>
      <w:r>
        <w:rPr>
          <w:rFonts w:ascii="宋体" w:hAnsi="宋体" w:cs="宋体" w:eastAsia="宋体" w:hint="default"/>
        </w:rPr>
        <w:t>1</w:t>
      </w:r>
      <w:r>
        <w:rPr/>
        <w:t>）一般原则</w:t>
      </w:r>
    </w:p>
    <w:p>
      <w:pPr>
        <w:pStyle w:val="BodyText"/>
        <w:spacing w:line="357" w:lineRule="auto" w:before="115"/>
        <w:ind w:left="513" w:right="1055"/>
        <w:jc w:val="left"/>
      </w:pPr>
      <w:r>
        <w:rPr>
          <w:spacing w:val="-3"/>
        </w:rPr>
        <w:t>①商品销售收入</w:t>
      </w:r>
      <w:r>
        <w:rPr>
          <w:spacing w:val="-68"/>
        </w:rPr>
        <w:t> </w:t>
      </w:r>
      <w:r>
        <w:rPr>
          <w:spacing w:val="-68"/>
        </w:rPr>
      </w:r>
      <w:r>
        <w:rPr>
          <w:spacing w:val="-4"/>
        </w:rPr>
        <w:t>在已将商品所有权上的主要风险和报酬转移给买方，既没有保留通常与所有权相联系的继续管理权，也没有对已售商品</w:t>
      </w:r>
    </w:p>
    <w:p>
      <w:pPr>
        <w:pStyle w:val="BodyText"/>
        <w:spacing w:line="357" w:lineRule="auto" w:before="26"/>
        <w:ind w:right="1055"/>
        <w:jc w:val="left"/>
      </w:pPr>
      <w:r>
        <w:rPr>
          <w:spacing w:val="-4"/>
        </w:rPr>
        <w:t>实施有效控制，收入的金额能够可靠地计量，相关的经济利益很可能流入企业，相关的已发生或将发生的成本能够可靠地计</w:t>
      </w:r>
      <w:r>
        <w:rPr>
          <w:spacing w:val="43"/>
        </w:rPr>
        <w:t> </w:t>
      </w:r>
      <w:r>
        <w:rPr>
          <w:spacing w:val="43"/>
        </w:rPr>
      </w:r>
      <w:r>
        <w:rPr>
          <w:spacing w:val="-3"/>
        </w:rPr>
        <w:t>量时，确认商品销售收入的实现。</w:t>
      </w:r>
    </w:p>
    <w:p>
      <w:pPr>
        <w:pStyle w:val="BodyText"/>
        <w:spacing w:line="357" w:lineRule="auto" w:before="26"/>
        <w:ind w:left="513" w:right="1055"/>
        <w:jc w:val="left"/>
      </w:pPr>
      <w:r>
        <w:rPr>
          <w:spacing w:val="-3"/>
        </w:rPr>
        <w:t>②提供劳务收入</w:t>
      </w:r>
      <w:r>
        <w:rPr>
          <w:spacing w:val="-68"/>
        </w:rPr>
        <w:t> </w:t>
      </w:r>
      <w:r>
        <w:rPr>
          <w:spacing w:val="-68"/>
        </w:rPr>
      </w:r>
      <w:r>
        <w:rPr>
          <w:spacing w:val="-4"/>
        </w:rPr>
        <w:t>在提供劳务交易的结果能够可靠估计的情况下，于资产负债表日按照完工百分比法确认提供的劳务收入。劳务交易的完</w:t>
      </w:r>
    </w:p>
    <w:p>
      <w:pPr>
        <w:pStyle w:val="BodyText"/>
        <w:spacing w:line="357" w:lineRule="auto" w:before="26"/>
        <w:ind w:left="513" w:right="1055" w:hanging="360"/>
        <w:jc w:val="left"/>
      </w:pPr>
      <w:r>
        <w:rPr>
          <w:spacing w:val="-3"/>
        </w:rPr>
        <w:t>工进度按已经提供的劳务占应提供劳务总量的比例确定。</w:t>
      </w:r>
      <w:r>
        <w:rPr>
          <w:spacing w:val="-15"/>
        </w:rPr>
        <w:t> </w:t>
      </w:r>
      <w:r>
        <w:rPr>
          <w:spacing w:val="-15"/>
        </w:rPr>
      </w:r>
      <w:r>
        <w:rPr>
          <w:spacing w:val="-6"/>
        </w:rPr>
        <w:t>提供劳务交易的结果能够可靠估计是指同时满足：</w:t>
      </w:r>
      <w:r>
        <w:rPr>
          <w:rFonts w:ascii="宋体" w:hAnsi="宋体" w:cs="宋体" w:eastAsia="宋体" w:hint="default"/>
          <w:spacing w:val="-6"/>
        </w:rPr>
        <w:t>A</w:t>
      </w:r>
      <w:r>
        <w:rPr>
          <w:spacing w:val="-6"/>
        </w:rPr>
        <w:t>、收入的金额能够可靠地计量；</w:t>
      </w:r>
      <w:r>
        <w:rPr>
          <w:rFonts w:ascii="宋体" w:hAnsi="宋体" w:cs="宋体" w:eastAsia="宋体" w:hint="default"/>
          <w:spacing w:val="-6"/>
        </w:rPr>
        <w:t>B</w:t>
      </w:r>
      <w:r>
        <w:rPr>
          <w:spacing w:val="-6"/>
        </w:rPr>
        <w:t>、相关的经济利益很可能流入企业；</w:t>
      </w:r>
    </w:p>
    <w:p>
      <w:pPr>
        <w:pStyle w:val="BodyText"/>
        <w:spacing w:line="357" w:lineRule="auto" w:before="27"/>
        <w:ind w:left="513" w:right="1055" w:hanging="360"/>
        <w:jc w:val="left"/>
      </w:pPr>
      <w:r>
        <w:rPr>
          <w:rFonts w:ascii="宋体" w:hAnsi="宋体" w:cs="宋体" w:eastAsia="宋体" w:hint="default"/>
          <w:spacing w:val="-3"/>
        </w:rPr>
        <w:t>C</w:t>
      </w:r>
      <w:r>
        <w:rPr>
          <w:spacing w:val="-3"/>
        </w:rPr>
        <w:t>、交易的完工程度能够可靠地确定；</w:t>
      </w:r>
      <w:r>
        <w:rPr>
          <w:rFonts w:ascii="宋体" w:hAnsi="宋体" w:cs="宋体" w:eastAsia="宋体" w:hint="default"/>
          <w:spacing w:val="-3"/>
        </w:rPr>
        <w:t>D</w:t>
      </w:r>
      <w:r>
        <w:rPr>
          <w:spacing w:val="-3"/>
        </w:rPr>
        <w:t>、交易中已发生和将发生的成本能够可靠地计量。</w:t>
      </w:r>
      <w:r>
        <w:rPr>
          <w:spacing w:val="28"/>
        </w:rPr>
        <w:t> </w:t>
      </w:r>
      <w:r>
        <w:rPr>
          <w:spacing w:val="28"/>
        </w:rPr>
      </w:r>
      <w:r>
        <w:rPr>
          <w:spacing w:val="-4"/>
        </w:rPr>
        <w:t>如果提供劳务交易的结果不能够可靠估计，则按已经发生并预计能够得到补偿的劳务成本金额确认提供的劳务收入，并</w:t>
      </w:r>
    </w:p>
    <w:p>
      <w:pPr>
        <w:pStyle w:val="BodyText"/>
        <w:spacing w:line="240" w:lineRule="auto" w:before="26"/>
        <w:ind w:right="1055"/>
        <w:jc w:val="left"/>
      </w:pPr>
      <w:r>
        <w:rPr>
          <w:spacing w:val="-3"/>
        </w:rPr>
        <w:t>将已发生的劳务成本作为当期费用。已经发生的劳务成本如预计不能得到补偿的，则不确认收入。</w:t>
      </w:r>
    </w:p>
    <w:p>
      <w:pPr>
        <w:pStyle w:val="BodyText"/>
        <w:spacing w:line="357" w:lineRule="auto" w:before="115"/>
        <w:ind w:left="513" w:right="5655"/>
        <w:jc w:val="left"/>
      </w:pPr>
      <w:r>
        <w:rPr/>
        <w:t>③利息收入</w:t>
      </w:r>
      <w:r>
        <w:rPr>
          <w:w w:val="101"/>
        </w:rPr>
        <w:t> </w:t>
      </w:r>
      <w:r>
        <w:rPr>
          <w:spacing w:val="-3"/>
        </w:rPr>
        <w:t>按照他人使用本公司货币资金的时间和实际利率计算确定。</w:t>
      </w:r>
    </w:p>
    <w:p>
      <w:pPr>
        <w:pStyle w:val="BodyText"/>
        <w:spacing w:line="240" w:lineRule="auto" w:before="27"/>
        <w:ind w:left="513" w:right="1055"/>
        <w:jc w:val="left"/>
      </w:pPr>
      <w:r>
        <w:rPr>
          <w:spacing w:val="-3"/>
        </w:rPr>
        <w:t>（</w:t>
      </w:r>
      <w:r>
        <w:rPr>
          <w:rFonts w:ascii="宋体" w:hAnsi="宋体" w:cs="宋体" w:eastAsia="宋体" w:hint="default"/>
          <w:spacing w:val="-3"/>
        </w:rPr>
        <w:t>2</w:t>
      </w:r>
      <w:r>
        <w:rPr>
          <w:spacing w:val="-3"/>
        </w:rPr>
        <w:t>）收入确认的具体方法</w:t>
      </w:r>
    </w:p>
    <w:p>
      <w:pPr>
        <w:pStyle w:val="BodyText"/>
        <w:spacing w:line="357" w:lineRule="auto" w:before="115"/>
        <w:ind w:right="1055" w:firstLine="360"/>
        <w:jc w:val="left"/>
      </w:pPr>
      <w:r>
        <w:rPr>
          <w:spacing w:val="-5"/>
        </w:rPr>
        <w:t>①本公司商品销售收入主要有金融专用设备、软件产品、系统集成收入、电子商务商品销售收入，其收入的具体确认原</w:t>
      </w:r>
      <w:r>
        <w:rPr>
          <w:w w:val="101"/>
        </w:rPr>
        <w:t> </w:t>
      </w:r>
      <w:r>
        <w:rPr/>
        <w:t>则：</w:t>
      </w:r>
    </w:p>
    <w:p>
      <w:pPr>
        <w:pStyle w:val="BodyText"/>
        <w:spacing w:line="355" w:lineRule="auto" w:before="26"/>
        <w:ind w:left="513" w:right="1055"/>
        <w:jc w:val="left"/>
      </w:pPr>
      <w:r>
        <w:rPr>
          <w:rFonts w:ascii="宋体" w:hAnsi="宋体" w:cs="宋体" w:eastAsia="宋体" w:hint="default"/>
          <w:spacing w:val="-3"/>
        </w:rPr>
        <w:t>A</w:t>
      </w:r>
      <w:r>
        <w:rPr>
          <w:spacing w:val="-3"/>
        </w:rPr>
        <w:t>、金融专用设备：是指各类以辅助银行等金融机构办公应用为主、提升日常工作效率或控制风险的专用设备。</w:t>
      </w:r>
      <w:r>
        <w:rPr>
          <w:spacing w:val="58"/>
        </w:rPr>
        <w:t> </w:t>
      </w:r>
      <w:r>
        <w:rPr>
          <w:spacing w:val="58"/>
        </w:rPr>
      </w:r>
      <w:r>
        <w:rPr>
          <w:spacing w:val="-3"/>
        </w:rPr>
        <w:t>对于金融专用设备在按照双方约定于设备发货后客户签收（含电子签收）后确认收入。</w:t>
      </w:r>
      <w:r>
        <w:rPr>
          <w:spacing w:val="20"/>
        </w:rPr>
        <w:t> </w:t>
      </w:r>
      <w:r>
        <w:rPr>
          <w:spacing w:val="20"/>
        </w:rPr>
      </w:r>
      <w:r>
        <w:rPr>
          <w:rFonts w:ascii="宋体" w:hAnsi="宋体" w:cs="宋体" w:eastAsia="宋体" w:hint="default"/>
          <w:spacing w:val="-4"/>
        </w:rPr>
        <w:t>B</w:t>
      </w:r>
      <w:r>
        <w:rPr>
          <w:spacing w:val="-4"/>
        </w:rPr>
        <w:t>、系统集成：是指与本公司为客户提供的软件产品和软件开发相关的，应客户要求代客户购买硬件设备或第三方软件，</w:t>
      </w:r>
    </w:p>
    <w:p>
      <w:pPr>
        <w:pStyle w:val="BodyText"/>
        <w:spacing w:line="357" w:lineRule="auto" w:before="28"/>
        <w:ind w:left="513" w:right="1055" w:hanging="360"/>
        <w:jc w:val="left"/>
      </w:pPr>
      <w:r>
        <w:rPr>
          <w:spacing w:val="-3"/>
        </w:rPr>
        <w:t>并提供相应的集成服务。</w:t>
      </w:r>
      <w:r>
        <w:rPr>
          <w:spacing w:val="-56"/>
        </w:rPr>
        <w:t> </w:t>
      </w:r>
      <w:r>
        <w:rPr>
          <w:spacing w:val="-56"/>
        </w:rPr>
      </w:r>
      <w:r>
        <w:rPr>
          <w:spacing w:val="-5"/>
          <w:w w:val="101"/>
        </w:rPr>
        <w:t>系统集成在按照合同约定内容向购买方移交了所提供的硬件设备或第三方软件的所有权，并取得了购买方的验收单据后</w:t>
      </w:r>
      <w:r>
        <w:rPr>
          <w:spacing w:val="-5"/>
        </w:rPr>
      </w:r>
    </w:p>
    <w:p>
      <w:pPr>
        <w:pStyle w:val="BodyText"/>
        <w:spacing w:line="240" w:lineRule="auto" w:before="26"/>
        <w:ind w:right="1055"/>
        <w:jc w:val="left"/>
      </w:pPr>
      <w:r>
        <w:rPr/>
        <w:t>确认收入。</w:t>
      </w:r>
    </w:p>
    <w:p>
      <w:pPr>
        <w:pStyle w:val="BodyText"/>
        <w:spacing w:line="357" w:lineRule="auto" w:before="115"/>
        <w:ind w:right="1055" w:firstLine="360"/>
        <w:jc w:val="left"/>
      </w:pPr>
      <w:r>
        <w:rPr>
          <w:rFonts w:ascii="宋体" w:hAnsi="宋体" w:cs="宋体" w:eastAsia="宋体" w:hint="default"/>
          <w:spacing w:val="-3"/>
        </w:rPr>
        <w:t>C</w:t>
      </w:r>
      <w:r>
        <w:rPr>
          <w:spacing w:val="-3"/>
        </w:rPr>
        <w:t>、电子商务商品销售收入：客户通过在公司自有网站或第三方销售平台（如亿贝、亚马逊等）下订单并按公司指定的</w:t>
      </w:r>
      <w:r>
        <w:rPr>
          <w:w w:val="101"/>
        </w:rPr>
        <w:t> </w:t>
      </w:r>
      <w:r>
        <w:rPr>
          <w:spacing w:val="-3"/>
        </w:rPr>
        <w:t>付款方式支付货款后，公司在将商品发出并交付予物流公司时确认收入。</w:t>
      </w:r>
    </w:p>
    <w:p>
      <w:pPr>
        <w:pStyle w:val="BodyText"/>
        <w:spacing w:line="357" w:lineRule="auto" w:before="26"/>
        <w:ind w:left="513" w:right="1055"/>
        <w:jc w:val="left"/>
      </w:pPr>
      <w:r>
        <w:rPr>
          <w:spacing w:val="-3"/>
        </w:rPr>
        <w:t>②本公司提供劳务收入主要有软件开发和服务类收入，其收入的具体确认原则：</w:t>
      </w:r>
      <w:r>
        <w:rPr>
          <w:spacing w:val="13"/>
        </w:rPr>
        <w:t> </w:t>
      </w:r>
      <w:r>
        <w:rPr>
          <w:spacing w:val="13"/>
        </w:rPr>
      </w:r>
      <w:r>
        <w:rPr>
          <w:rFonts w:ascii="宋体" w:hAnsi="宋体" w:cs="宋体" w:eastAsia="宋体" w:hint="default"/>
          <w:spacing w:val="-3"/>
        </w:rPr>
        <w:t>A</w:t>
      </w:r>
      <w:r>
        <w:rPr>
          <w:spacing w:val="-3"/>
        </w:rPr>
        <w:t>软件开发：是指本公司在自主研发的各种底层开发平台或技术的基础上，按照客户的个性化需求进行定制性开发而形</w:t>
      </w:r>
    </w:p>
    <w:p>
      <w:pPr>
        <w:pStyle w:val="BodyText"/>
        <w:spacing w:line="357" w:lineRule="auto" w:before="26"/>
        <w:ind w:left="513" w:right="1055" w:hanging="360"/>
        <w:jc w:val="left"/>
      </w:pPr>
      <w:r>
        <w:rPr>
          <w:spacing w:val="-3"/>
        </w:rPr>
        <w:t>成的应用软件。</w:t>
      </w:r>
      <w:r>
        <w:rPr>
          <w:spacing w:val="-68"/>
        </w:rPr>
        <w:t> </w:t>
      </w:r>
      <w:r>
        <w:rPr>
          <w:spacing w:val="-68"/>
        </w:rPr>
      </w:r>
      <w:r>
        <w:rPr>
          <w:spacing w:val="-4"/>
        </w:rPr>
        <w:t>对于软件开发本公司在按照合同约定内容实施了开发工作，并为购买方完成了安装、调试工作，且至少具备以下条件之</w:t>
      </w:r>
    </w:p>
    <w:p>
      <w:pPr>
        <w:pStyle w:val="BodyText"/>
        <w:spacing w:line="357" w:lineRule="auto" w:before="26"/>
        <w:ind w:left="513" w:right="1055" w:hanging="360"/>
        <w:jc w:val="left"/>
      </w:pPr>
      <w:r>
        <w:rPr>
          <w:spacing w:val="-3"/>
        </w:rPr>
        <w:t>一时确认收入：已取得购买方的验收文件；取得购买方对软件已正式投入使用的确认文件；已符合合同约定的验收条件。</w:t>
      </w:r>
      <w:r>
        <w:rPr>
          <w:spacing w:val="66"/>
        </w:rPr>
        <w:t> </w:t>
      </w:r>
      <w:r>
        <w:rPr>
          <w:spacing w:val="66"/>
        </w:rPr>
      </w:r>
      <w:r>
        <w:rPr>
          <w:rFonts w:ascii="宋体" w:hAnsi="宋体" w:cs="宋体" w:eastAsia="宋体" w:hint="default"/>
          <w:spacing w:val="-3"/>
        </w:rPr>
        <w:t>B</w:t>
      </w:r>
      <w:r>
        <w:rPr>
          <w:spacing w:val="-3"/>
        </w:rPr>
        <w:t>技术服务：是指本公司对已销售的软件产品、软件开发、系统集成等，为客户提供的后续技术支持或维护服务。</w:t>
      </w:r>
      <w:r>
        <w:rPr>
          <w:w w:val="101"/>
        </w:rPr>
        <w:t> </w:t>
      </w:r>
      <w:r>
        <w:rPr>
          <w:spacing w:val="-4"/>
        </w:rPr>
        <w:t>对于按期提供劳务并计价收费的技术服务，本公司在按照合同约定内容提供了劳务后，分期确认收入；对于按次提供劳</w:t>
      </w:r>
    </w:p>
    <w:p>
      <w:pPr>
        <w:pStyle w:val="BodyText"/>
        <w:spacing w:line="357" w:lineRule="auto" w:before="26"/>
        <w:ind w:left="513" w:right="1055" w:hanging="360"/>
        <w:jc w:val="left"/>
      </w:pPr>
      <w:r>
        <w:rPr>
          <w:spacing w:val="-3"/>
        </w:rPr>
        <w:t>务并计价收费的技术服务，本公司在劳务已经提供，并取得购买方的服务确认单据后确认收入。</w:t>
      </w:r>
      <w:r>
        <w:rPr>
          <w:spacing w:val="31"/>
        </w:rPr>
        <w:t> </w:t>
      </w:r>
      <w:r>
        <w:rPr>
          <w:spacing w:val="31"/>
        </w:rPr>
      </w:r>
      <w:r>
        <w:rPr>
          <w:rFonts w:ascii="宋体" w:hAnsi="宋体" w:cs="宋体" w:eastAsia="宋体" w:hint="default"/>
          <w:spacing w:val="-3"/>
        </w:rPr>
        <w:t>C</w:t>
      </w:r>
      <w:r>
        <w:rPr>
          <w:spacing w:val="-3"/>
        </w:rPr>
        <w:t>短彩信服务业务，公司向客户提供短彩信移动信息化解决方案和运营服务，以业务统计表记录实际提供的服务量，并</w:t>
      </w:r>
    </w:p>
    <w:p>
      <w:pPr>
        <w:pStyle w:val="BodyText"/>
        <w:spacing w:line="357" w:lineRule="auto" w:before="26"/>
        <w:ind w:left="513" w:right="1055" w:hanging="360"/>
        <w:jc w:val="left"/>
      </w:pPr>
      <w:r>
        <w:rPr>
          <w:spacing w:val="-3"/>
        </w:rPr>
        <w:t>据以计算应向客户收取的服务费，于资产负债表日向客户发出结算通知，待客户核对后确认收入。</w:t>
      </w:r>
      <w:r>
        <w:rPr>
          <w:spacing w:val="37"/>
        </w:rPr>
        <w:t> </w:t>
      </w:r>
      <w:r>
        <w:rPr>
          <w:spacing w:val="37"/>
        </w:rPr>
      </w:r>
      <w:r>
        <w:rPr>
          <w:rFonts w:ascii="宋体" w:hAnsi="宋体" w:cs="宋体" w:eastAsia="宋体" w:hint="default"/>
          <w:spacing w:val="-3"/>
        </w:rPr>
        <w:t>D</w:t>
      </w:r>
      <w:r>
        <w:rPr>
          <w:spacing w:val="-3"/>
        </w:rPr>
        <w:t>业务平台开发业务，按照与客户签署的相关合同确定提供劳务预计总收入，于资产负债表日根据开发的完工进度确认</w:t>
      </w:r>
    </w:p>
    <w:p>
      <w:pPr>
        <w:spacing w:after="0" w:line="357"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240" w:lineRule="auto" w:before="46"/>
        <w:ind w:right="1055"/>
        <w:jc w:val="left"/>
      </w:pPr>
      <w:r>
        <w:rPr/>
        <w:t>收入。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3" w:right="1055"/>
        <w:jc w:val="left"/>
      </w:pPr>
      <w:r>
        <w:rPr>
          <w:spacing w:val="-3"/>
        </w:rPr>
        <w:t>与资产相关的政府补助，确认为递延收益，并在相关资产的使用寿命内按照合理、系统的方法分期计入当期损益。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4" w:firstLine="360"/>
        <w:jc w:val="both"/>
      </w:pPr>
      <w:r>
        <w:rPr>
          <w:spacing w:val="-4"/>
        </w:rPr>
        <w:t>与收益相关的政府补助，用于补偿以后期间的相关成本费用或损失的，确认为递延收益，并在确认相关成本费用或损失</w:t>
      </w:r>
      <w:r>
        <w:rPr>
          <w:w w:val="101"/>
        </w:rPr>
        <w:t> </w:t>
      </w:r>
      <w:r>
        <w:rPr>
          <w:spacing w:val="-3"/>
        </w:rPr>
        <w:t>的期间计入当期损益；用于补偿已经发生的相关成本费用或损失的，直接计入当期损益。</w:t>
      </w:r>
    </w:p>
    <w:p>
      <w:pPr>
        <w:pStyle w:val="BodyText"/>
        <w:spacing w:line="357" w:lineRule="auto" w:before="26"/>
        <w:ind w:right="1124" w:firstLine="360"/>
        <w:jc w:val="both"/>
      </w:pPr>
      <w:r>
        <w:rPr>
          <w:spacing w:val="-4"/>
        </w:rPr>
        <w:t>同时包含与资产相关部分和与收益相关部分的政府补助，区分不同部分分别进行会计处理；难以区分的，将其整体归类</w:t>
      </w:r>
      <w:r>
        <w:rPr>
          <w:w w:val="101"/>
        </w:rPr>
        <w:t> </w:t>
      </w:r>
      <w:r>
        <w:rPr>
          <w:spacing w:val="-3"/>
        </w:rPr>
        <w:t>为与收益相关的政府补助。</w:t>
      </w:r>
    </w:p>
    <w:p>
      <w:pPr>
        <w:pStyle w:val="BodyText"/>
        <w:spacing w:line="357" w:lineRule="auto" w:before="27"/>
        <w:ind w:right="1123" w:firstLine="360"/>
        <w:jc w:val="both"/>
      </w:pPr>
      <w:r>
        <w:rPr>
          <w:spacing w:val="-4"/>
        </w:rPr>
        <w:t>与本公司日常活动相关的政府补助，按照经济业务的实质，计入其他收益或冲减相关成本费用；与日常活动无关的政府</w:t>
      </w:r>
      <w:r>
        <w:rPr>
          <w:w w:val="101"/>
        </w:rPr>
        <w:t> </w:t>
      </w:r>
      <w:r>
        <w:rPr>
          <w:spacing w:val="-3"/>
        </w:rPr>
        <w:t>补助，计入营业外收支。</w:t>
      </w:r>
    </w:p>
    <w:p>
      <w:pPr>
        <w:pStyle w:val="BodyText"/>
        <w:spacing w:line="352" w:lineRule="auto" w:before="26"/>
        <w:ind w:right="1124" w:firstLine="360"/>
        <w:jc w:val="both"/>
      </w:pPr>
      <w:r>
        <w:rPr>
          <w:spacing w:val="-5"/>
        </w:rPr>
        <w:t>已确认的政府补助需要退回时，存在相关递延收益余额的，冲减相关递延收益账面余额，超出部分计入当期损益；属于</w:t>
      </w:r>
      <w:r>
        <w:rPr>
          <w:w w:val="101"/>
        </w:rPr>
        <w:t> </w:t>
      </w:r>
      <w:r>
        <w:rPr>
          <w:spacing w:val="-3"/>
        </w:rPr>
        <w:t>其他情况的，直接计入当期损益。</w:t>
      </w:r>
    </w:p>
    <w:p>
      <w:pPr>
        <w:spacing w:line="240" w:lineRule="auto" w:before="8"/>
        <w:rPr>
          <w:rFonts w:ascii="宋体" w:hAnsi="宋体" w:cs="宋体" w:eastAsia="宋体" w:hint="default"/>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w:t>
      </w:r>
      <w:r>
        <w:rPr>
          <w:spacing w:val="-19"/>
        </w:rPr>
        <w:t> </w:t>
      </w:r>
      <w:r>
        <w:rPr/>
        <w:t>其他</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3" w:firstLine="360"/>
        <w:jc w:val="both"/>
      </w:pPr>
      <w:r>
        <w:rPr>
          <w:spacing w:val="-5"/>
          <w:w w:val="101"/>
        </w:rPr>
        <w:t>政府补助是指本公司从政府无偿取得货币性资产和非货币性资产，不包括政府以投资者身份并享有相应所有者权益而投</w:t>
      </w:r>
      <w:r>
        <w:rPr>
          <w:w w:val="101"/>
        </w:rPr>
        <w:t> </w:t>
      </w:r>
      <w:r>
        <w:rPr>
          <w:spacing w:val="-4"/>
        </w:rPr>
        <w:t>入的资本。政府补助分为与资产相关的政府补助和与收益相关的政府补助。本公司将所取得的用于购建或以其他方式形成长</w:t>
      </w:r>
      <w:r>
        <w:rPr>
          <w:spacing w:val="43"/>
        </w:rPr>
        <w:t> </w:t>
      </w:r>
      <w:r>
        <w:rPr>
          <w:spacing w:val="43"/>
        </w:rPr>
      </w:r>
      <w:r>
        <w:rPr>
          <w:spacing w:val="-4"/>
        </w:rPr>
        <w:t>期资产的政府补助界定为与资产相关的政府补助；其余政府补助界定为与收益相关的政府补助。若政府文件未明确规定补助</w:t>
      </w:r>
      <w:r>
        <w:rPr>
          <w:spacing w:val="44"/>
        </w:rPr>
        <w:t> </w:t>
      </w:r>
      <w:r>
        <w:rPr>
          <w:spacing w:val="44"/>
        </w:rPr>
      </w:r>
      <w:r>
        <w:rPr>
          <w:spacing w:val="-3"/>
        </w:rPr>
        <w:t>对象，则采用以下方式将补助款划分为与收益相关的政府补助和与资产相关的政府补助：（</w:t>
      </w:r>
      <w:r>
        <w:rPr>
          <w:rFonts w:ascii="宋体" w:hAnsi="宋体" w:cs="宋体" w:eastAsia="宋体" w:hint="default"/>
          <w:spacing w:val="-3"/>
        </w:rPr>
        <w:t>1</w:t>
      </w:r>
      <w:r>
        <w:rPr>
          <w:spacing w:val="-3"/>
        </w:rPr>
        <w:t>）政府文件明确了补助所针对</w:t>
      </w:r>
      <w:r>
        <w:rPr>
          <w:spacing w:val="71"/>
        </w:rPr>
        <w:t> </w:t>
      </w:r>
      <w:r>
        <w:rPr>
          <w:spacing w:val="71"/>
        </w:rPr>
      </w:r>
      <w:r>
        <w:rPr>
          <w:spacing w:val="-4"/>
        </w:rPr>
        <w:t>的特定项目的，根据该特定项目的预算中将形成资产的支出金额和计入费用的支出金额的相对比例进行划分，对该划分比例</w:t>
      </w:r>
      <w:r>
        <w:rPr>
          <w:spacing w:val="44"/>
        </w:rPr>
        <w:t> </w:t>
      </w:r>
      <w:r>
        <w:rPr>
          <w:spacing w:val="44"/>
        </w:rPr>
      </w:r>
      <w:r>
        <w:rPr>
          <w:spacing w:val="-3"/>
        </w:rPr>
        <w:t>需在每个资产负债表日进行复核，必要时进行变更；（</w:t>
      </w:r>
      <w:r>
        <w:rPr>
          <w:rFonts w:ascii="宋体" w:hAnsi="宋体" w:cs="宋体" w:eastAsia="宋体" w:hint="default"/>
          <w:spacing w:val="-3"/>
        </w:rPr>
        <w:t>2</w:t>
      </w:r>
      <w:r>
        <w:rPr>
          <w:spacing w:val="-3"/>
        </w:rPr>
        <w:t>）政府文件中对用途仅作一般性表述，没有指明特定项目的，作为</w:t>
      </w:r>
      <w:r>
        <w:rPr>
          <w:spacing w:val="71"/>
        </w:rPr>
        <w:t> </w:t>
      </w:r>
      <w:r>
        <w:rPr>
          <w:spacing w:val="71"/>
        </w:rPr>
      </w:r>
      <w:r>
        <w:rPr>
          <w:spacing w:val="-4"/>
        </w:rPr>
        <w:t>与收益相关的政府补助。政府补助为货币性资产的，按照收到或应收的金额计量。政府补助为非货币性资产的，按照公允价</w:t>
      </w:r>
      <w:r>
        <w:rPr>
          <w:spacing w:val="40"/>
        </w:rPr>
        <w:t> </w:t>
      </w:r>
      <w:r>
        <w:rPr>
          <w:spacing w:val="40"/>
        </w:rPr>
      </w:r>
      <w:r>
        <w:rPr>
          <w:spacing w:val="-3"/>
        </w:rPr>
        <w:t>值计量；公允价值不能够可靠取得的，按照名义金额计量。按照名义金额计量的政府补助，直接计入当期损益。</w:t>
      </w:r>
    </w:p>
    <w:p>
      <w:pPr>
        <w:pStyle w:val="BodyText"/>
        <w:spacing w:line="357" w:lineRule="auto" w:before="27"/>
        <w:ind w:right="1037" w:firstLine="360"/>
        <w:jc w:val="both"/>
      </w:pPr>
      <w:r>
        <w:rPr>
          <w:spacing w:val="-4"/>
        </w:rPr>
        <w:t>本公司对于政府补助通常在实际收到时，按照实收金额予以确认和计量。但对于期末有确凿证据表明能够符合财政扶持</w:t>
      </w:r>
      <w:r>
        <w:rPr>
          <w:w w:val="101"/>
        </w:rPr>
        <w:t> </w:t>
      </w:r>
      <w:r>
        <w:rPr>
          <w:spacing w:val="-6"/>
          <w:w w:val="101"/>
        </w:rPr>
        <w:t>政策规定的相关条件预计能够收到财政扶持资金，按照应收的金额计量。按照应收金额计量的政府补助应同时符合以下条件：</w:t>
      </w:r>
      <w:r>
        <w:rPr>
          <w:spacing w:val="-6"/>
        </w:rPr>
      </w:r>
    </w:p>
    <w:p>
      <w:pPr>
        <w:pStyle w:val="BodyText"/>
        <w:spacing w:line="355" w:lineRule="auto" w:before="26"/>
        <w:ind w:right="1019"/>
        <w:jc w:val="left"/>
      </w:pPr>
      <w:r>
        <w:rPr>
          <w:spacing w:val="-4"/>
        </w:rPr>
        <w:t>（</w:t>
      </w:r>
      <w:r>
        <w:rPr>
          <w:rFonts w:ascii="宋体" w:hAnsi="宋体" w:cs="宋体" w:eastAsia="宋体" w:hint="default"/>
          <w:spacing w:val="-4"/>
        </w:rPr>
        <w:t>1</w:t>
      </w:r>
      <w:r>
        <w:rPr>
          <w:spacing w:val="-4"/>
        </w:rPr>
        <w:t>）应收补助款的金额已经过有权政府部门发文确认，或者可根据正式发布的财政资金管理办法的有关规定自行合理测算，</w:t>
      </w:r>
      <w:r>
        <w:rPr>
          <w:spacing w:val="48"/>
        </w:rPr>
        <w:t> </w:t>
      </w:r>
      <w:r>
        <w:rPr>
          <w:spacing w:val="48"/>
        </w:rPr>
      </w:r>
      <w:r>
        <w:rPr>
          <w:spacing w:val="-3"/>
        </w:rPr>
        <w:t>且预计其金额不存在重大不确定性；（</w:t>
      </w:r>
      <w:r>
        <w:rPr>
          <w:rFonts w:ascii="宋体" w:hAnsi="宋体" w:cs="宋体" w:eastAsia="宋体" w:hint="default"/>
          <w:spacing w:val="-3"/>
        </w:rPr>
        <w:t>2</w:t>
      </w:r>
      <w:r>
        <w:rPr>
          <w:spacing w:val="-3"/>
        </w:rPr>
        <w:t>）所依据的是当地财政部门正式发布并按照《政府信息公开条例》的规定予以主动</w:t>
      </w:r>
      <w:r>
        <w:rPr>
          <w:spacing w:val="67"/>
        </w:rPr>
        <w:t> </w:t>
      </w:r>
      <w:r>
        <w:rPr>
          <w:spacing w:val="67"/>
        </w:rPr>
      </w:r>
      <w:r>
        <w:rPr>
          <w:spacing w:val="-4"/>
        </w:rPr>
        <w:t>公开的财政扶持项目及其财政资金管理办法，且该管理办法应当是普惠性的（任何符合规定条件的企业均可申请），而不是</w:t>
      </w:r>
      <w:r>
        <w:rPr>
          <w:spacing w:val="40"/>
        </w:rPr>
        <w:t> </w:t>
      </w:r>
      <w:r>
        <w:rPr>
          <w:spacing w:val="40"/>
        </w:rPr>
      </w:r>
      <w:r>
        <w:rPr>
          <w:spacing w:val="-3"/>
        </w:rPr>
        <w:t>专门针对特定企业制定的；（</w:t>
      </w:r>
      <w:r>
        <w:rPr>
          <w:rFonts w:ascii="宋体" w:hAnsi="宋体" w:cs="宋体" w:eastAsia="宋体" w:hint="default"/>
          <w:spacing w:val="-3"/>
        </w:rPr>
        <w:t>3</w:t>
      </w:r>
      <w:r>
        <w:rPr>
          <w:spacing w:val="-3"/>
        </w:rPr>
        <w:t>）相关的补助款批文中已明确承诺了拨付期限，且该款项的拨付是有相应财政预算作为保障</w:t>
      </w:r>
      <w:r>
        <w:rPr>
          <w:spacing w:val="70"/>
        </w:rPr>
        <w:t> </w:t>
      </w:r>
      <w:r>
        <w:rPr>
          <w:spacing w:val="70"/>
        </w:rPr>
      </w:r>
      <w:r>
        <w:rPr>
          <w:spacing w:val="-7"/>
          <w:w w:val="101"/>
        </w:rPr>
        <w:t>的，因而可以合理保证其可在规定期限内收到；（</w:t>
      </w:r>
      <w:r>
        <w:rPr>
          <w:rFonts w:ascii="宋体" w:hAnsi="宋体" w:cs="宋体" w:eastAsia="宋体" w:hint="default"/>
          <w:spacing w:val="-7"/>
          <w:w w:val="101"/>
        </w:rPr>
        <w:t>4</w:t>
      </w:r>
      <w:r>
        <w:rPr>
          <w:spacing w:val="-7"/>
          <w:w w:val="101"/>
        </w:rPr>
        <w:t>）根据本公司和该补助事项的具体情况，应满足的其他相关条件（如有）。</w:t>
      </w:r>
      <w:r>
        <w:rPr>
          <w:spacing w:val="-7"/>
        </w:rPr>
      </w:r>
    </w:p>
    <w:p>
      <w:pPr>
        <w:spacing w:line="240" w:lineRule="auto" w:before="6"/>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left="513" w:right="1055"/>
        <w:jc w:val="left"/>
      </w:pPr>
      <w:r>
        <w:rPr/>
        <w:t>（</w:t>
      </w:r>
      <w:r>
        <w:rPr>
          <w:rFonts w:ascii="宋体" w:hAnsi="宋体" w:cs="宋体" w:eastAsia="宋体" w:hint="default"/>
        </w:rPr>
        <w:t>1</w:t>
      </w:r>
      <w:r>
        <w:rPr/>
        <w:t>）当期所得税</w:t>
      </w:r>
      <w:r>
        <w:rPr>
          <w:spacing w:val="-87"/>
        </w:rPr>
        <w:t> </w:t>
      </w:r>
      <w:r>
        <w:rPr>
          <w:spacing w:val="-87"/>
        </w:rPr>
      </w:r>
      <w:r>
        <w:rPr>
          <w:spacing w:val="-3"/>
        </w:rPr>
        <w:t>资产负债表日，对于当期和以前期间形成的当期所得税负债（或资产），以按照税法规定计算的预期应交纳（或返还）</w:t>
      </w:r>
    </w:p>
    <w:p>
      <w:pPr>
        <w:pStyle w:val="BodyText"/>
        <w:spacing w:line="240" w:lineRule="auto" w:before="26"/>
        <w:ind w:right="1055"/>
        <w:jc w:val="left"/>
      </w:pPr>
      <w:r>
        <w:rPr>
          <w:w w:val="101"/>
        </w:rPr>
        <w:t>的</w:t>
      </w:r>
      <w:r>
        <w:rPr>
          <w:spacing w:val="-5"/>
          <w:w w:val="101"/>
        </w:rPr>
        <w:t>所</w:t>
      </w:r>
      <w:r>
        <w:rPr>
          <w:w w:val="101"/>
        </w:rPr>
        <w:t>得</w:t>
      </w:r>
      <w:r>
        <w:rPr>
          <w:spacing w:val="-5"/>
          <w:w w:val="101"/>
        </w:rPr>
        <w:t>税</w:t>
      </w:r>
      <w:r>
        <w:rPr>
          <w:w w:val="101"/>
        </w:rPr>
        <w:t>金</w:t>
      </w:r>
      <w:r>
        <w:rPr>
          <w:spacing w:val="-5"/>
          <w:w w:val="101"/>
        </w:rPr>
        <w:t>额</w:t>
      </w:r>
      <w:r>
        <w:rPr>
          <w:w w:val="101"/>
        </w:rPr>
        <w:t>计</w:t>
      </w:r>
      <w:r>
        <w:rPr>
          <w:spacing w:val="-5"/>
          <w:w w:val="101"/>
        </w:rPr>
        <w:t>量</w:t>
      </w:r>
      <w:r>
        <w:rPr>
          <w:spacing w:val="-82"/>
          <w:w w:val="101"/>
        </w:rPr>
        <w:t>。</w:t>
      </w:r>
      <w:r>
        <w:rPr>
          <w:spacing w:val="-5"/>
          <w:w w:val="101"/>
        </w:rPr>
        <w:t>计</w:t>
      </w:r>
      <w:r>
        <w:rPr>
          <w:w w:val="101"/>
        </w:rPr>
        <w:t>算</w:t>
      </w:r>
      <w:r>
        <w:rPr>
          <w:spacing w:val="-5"/>
          <w:w w:val="101"/>
        </w:rPr>
        <w:t>当</w:t>
      </w:r>
      <w:r>
        <w:rPr>
          <w:w w:val="101"/>
        </w:rPr>
        <w:t>期</w:t>
      </w:r>
      <w:r>
        <w:rPr>
          <w:spacing w:val="-5"/>
          <w:w w:val="101"/>
        </w:rPr>
        <w:t>所</w:t>
      </w:r>
      <w:r>
        <w:rPr>
          <w:w w:val="101"/>
        </w:rPr>
        <w:t>得</w:t>
      </w:r>
      <w:r>
        <w:rPr>
          <w:spacing w:val="-5"/>
          <w:w w:val="101"/>
        </w:rPr>
        <w:t>税</w:t>
      </w:r>
      <w:r>
        <w:rPr>
          <w:w w:val="101"/>
        </w:rPr>
        <w:t>费</w:t>
      </w:r>
      <w:r>
        <w:rPr>
          <w:spacing w:val="-5"/>
          <w:w w:val="101"/>
        </w:rPr>
        <w:t>用</w:t>
      </w:r>
      <w:r>
        <w:rPr>
          <w:w w:val="101"/>
        </w:rPr>
        <w:t>所</w:t>
      </w:r>
      <w:r>
        <w:rPr>
          <w:spacing w:val="-5"/>
          <w:w w:val="101"/>
        </w:rPr>
        <w:t>依</w:t>
      </w:r>
      <w:r>
        <w:rPr>
          <w:w w:val="101"/>
        </w:rPr>
        <w:t>据</w:t>
      </w:r>
      <w:r>
        <w:rPr>
          <w:spacing w:val="-5"/>
          <w:w w:val="101"/>
        </w:rPr>
        <w:t>的</w:t>
      </w:r>
      <w:r>
        <w:rPr>
          <w:w w:val="101"/>
        </w:rPr>
        <w:t>应</w:t>
      </w:r>
      <w:r>
        <w:rPr>
          <w:spacing w:val="-5"/>
          <w:w w:val="101"/>
        </w:rPr>
        <w:t>纳</w:t>
      </w:r>
      <w:r>
        <w:rPr>
          <w:w w:val="101"/>
        </w:rPr>
        <w:t>税</w:t>
      </w:r>
      <w:r>
        <w:rPr>
          <w:spacing w:val="-5"/>
          <w:w w:val="101"/>
        </w:rPr>
        <w:t>所得</w:t>
      </w:r>
      <w:r>
        <w:rPr>
          <w:w w:val="101"/>
        </w:rPr>
        <w:t>额</w:t>
      </w:r>
      <w:r>
        <w:rPr>
          <w:spacing w:val="-5"/>
          <w:w w:val="101"/>
        </w:rPr>
        <w:t>系</w:t>
      </w:r>
      <w:r>
        <w:rPr>
          <w:w w:val="101"/>
        </w:rPr>
        <w:t>根</w:t>
      </w:r>
      <w:r>
        <w:rPr>
          <w:spacing w:val="-5"/>
          <w:w w:val="101"/>
        </w:rPr>
        <w:t>据</w:t>
      </w:r>
      <w:r>
        <w:rPr>
          <w:w w:val="101"/>
        </w:rPr>
        <w:t>有</w:t>
      </w:r>
      <w:r>
        <w:rPr>
          <w:spacing w:val="-5"/>
          <w:w w:val="101"/>
        </w:rPr>
        <w:t>关</w:t>
      </w:r>
      <w:r>
        <w:rPr>
          <w:w w:val="101"/>
        </w:rPr>
        <w:t>税</w:t>
      </w:r>
      <w:r>
        <w:rPr>
          <w:spacing w:val="-5"/>
          <w:w w:val="101"/>
        </w:rPr>
        <w:t>法</w:t>
      </w:r>
      <w:r>
        <w:rPr>
          <w:w w:val="101"/>
        </w:rPr>
        <w:t>规</w:t>
      </w:r>
      <w:r>
        <w:rPr>
          <w:spacing w:val="-5"/>
          <w:w w:val="101"/>
        </w:rPr>
        <w:t>定</w:t>
      </w:r>
      <w:r>
        <w:rPr>
          <w:w w:val="101"/>
        </w:rPr>
        <w:t>对</w:t>
      </w:r>
      <w:r>
        <w:rPr>
          <w:spacing w:val="-5"/>
          <w:w w:val="101"/>
        </w:rPr>
        <w:t>本</w:t>
      </w:r>
      <w:r>
        <w:rPr>
          <w:w w:val="101"/>
        </w:rPr>
        <w:t>年</w:t>
      </w:r>
      <w:r>
        <w:rPr>
          <w:spacing w:val="-5"/>
          <w:w w:val="101"/>
        </w:rPr>
        <w:t>度</w:t>
      </w:r>
      <w:r>
        <w:rPr>
          <w:w w:val="101"/>
        </w:rPr>
        <w:t>税</w:t>
      </w:r>
      <w:r>
        <w:rPr>
          <w:spacing w:val="-5"/>
          <w:w w:val="101"/>
        </w:rPr>
        <w:t>前</w:t>
      </w:r>
      <w:r>
        <w:rPr>
          <w:w w:val="101"/>
        </w:rPr>
        <w:t>会</w:t>
      </w:r>
      <w:r>
        <w:rPr>
          <w:spacing w:val="-5"/>
          <w:w w:val="101"/>
        </w:rPr>
        <w:t>计</w:t>
      </w:r>
      <w:r>
        <w:rPr>
          <w:w w:val="101"/>
        </w:rPr>
        <w:t>利</w:t>
      </w:r>
      <w:r>
        <w:rPr>
          <w:spacing w:val="-5"/>
          <w:w w:val="101"/>
        </w:rPr>
        <w:t>润</w:t>
      </w:r>
      <w:r>
        <w:rPr>
          <w:w w:val="101"/>
        </w:rPr>
        <w:t>作</w:t>
      </w:r>
      <w:r>
        <w:rPr>
          <w:spacing w:val="-5"/>
          <w:w w:val="101"/>
        </w:rPr>
        <w:t>相</w:t>
      </w:r>
      <w:r>
        <w:rPr>
          <w:w w:val="101"/>
        </w:rPr>
        <w:t>应</w:t>
      </w:r>
      <w:r>
        <w:rPr>
          <w:spacing w:val="-5"/>
          <w:w w:val="101"/>
        </w:rPr>
        <w:t>调</w:t>
      </w:r>
      <w:r>
        <w:rPr>
          <w:w w:val="101"/>
        </w:rPr>
        <w:t>整</w:t>
      </w:r>
      <w:r>
        <w:rPr>
          <w:spacing w:val="-5"/>
          <w:w w:val="101"/>
        </w:rPr>
        <w:t>后</w:t>
      </w:r>
      <w:r>
        <w:rPr>
          <w:w w:val="101"/>
        </w:rPr>
        <w:t>计</w:t>
      </w:r>
      <w:r>
        <w:rPr/>
      </w:r>
    </w:p>
    <w:p>
      <w:pPr>
        <w:spacing w:after="0" w:line="240" w:lineRule="auto"/>
        <w:jc w:val="left"/>
        <w:sectPr>
          <w:footerReference w:type="default" r:id="rId30"/>
          <w:pgSz w:w="11910" w:h="16840"/>
          <w:pgMar w:footer="1186" w:header="871" w:top="1100" w:bottom="1380" w:left="980" w:right="0"/>
          <w:pgNumType w:start="119"/>
        </w:sectPr>
      </w:pPr>
    </w:p>
    <w:p>
      <w:pPr>
        <w:spacing w:line="240" w:lineRule="auto" w:before="7"/>
        <w:rPr>
          <w:rFonts w:ascii="宋体" w:hAnsi="宋体" w:cs="宋体" w:eastAsia="宋体" w:hint="default"/>
          <w:sz w:val="18"/>
          <w:szCs w:val="18"/>
        </w:rPr>
      </w:pPr>
    </w:p>
    <w:p>
      <w:pPr>
        <w:pStyle w:val="BodyText"/>
        <w:spacing w:line="240" w:lineRule="auto" w:before="46"/>
        <w:ind w:right="1055"/>
        <w:jc w:val="left"/>
      </w:pPr>
      <w:r>
        <w:rPr/>
        <w:t>算得出。</w:t>
      </w:r>
    </w:p>
    <w:p>
      <w:pPr>
        <w:pStyle w:val="BodyText"/>
        <w:spacing w:line="357" w:lineRule="auto" w:before="115"/>
        <w:ind w:left="513" w:right="1055"/>
        <w:jc w:val="left"/>
      </w:pPr>
      <w:r>
        <w:rPr>
          <w:spacing w:val="-3"/>
        </w:rPr>
        <w:t>（</w:t>
      </w:r>
      <w:r>
        <w:rPr>
          <w:rFonts w:ascii="宋体" w:hAnsi="宋体" w:cs="宋体" w:eastAsia="宋体" w:hint="default"/>
          <w:spacing w:val="-3"/>
        </w:rPr>
        <w:t>2</w:t>
      </w:r>
      <w:r>
        <w:rPr>
          <w:spacing w:val="-3"/>
        </w:rPr>
        <w:t>）递延所得税资产及递延所得税负债</w:t>
      </w:r>
      <w:r>
        <w:rPr>
          <w:spacing w:val="-34"/>
        </w:rPr>
        <w:t> </w:t>
      </w:r>
      <w:r>
        <w:rPr>
          <w:spacing w:val="-34"/>
        </w:rPr>
      </w:r>
      <w:r>
        <w:rPr>
          <w:spacing w:val="-5"/>
        </w:rPr>
        <w:t>某些资产、负债项目的账面价值与其计税基础之间的差额，以及未作为资产和负债确认但按照税法规定可以确定其计税</w:t>
      </w:r>
    </w:p>
    <w:p>
      <w:pPr>
        <w:pStyle w:val="BodyText"/>
        <w:spacing w:line="357" w:lineRule="auto" w:before="27"/>
        <w:ind w:right="1128"/>
        <w:jc w:val="both"/>
      </w:pPr>
      <w:r>
        <w:rPr>
          <w:spacing w:val="-4"/>
          <w:w w:val="101"/>
        </w:rPr>
        <w:t>基础的项目的账面价值与计税基础之间的差额产生的暂时性差异，采用资产负债表债务法确认递延所得税资产及递延所得税</w:t>
      </w:r>
      <w:r>
        <w:rPr>
          <w:w w:val="101"/>
        </w:rPr>
        <w:t> </w:t>
      </w:r>
      <w:r>
        <w:rPr/>
        <w:t>负债。</w:t>
      </w:r>
    </w:p>
    <w:p>
      <w:pPr>
        <w:pStyle w:val="BodyText"/>
        <w:spacing w:line="357" w:lineRule="auto" w:before="26"/>
        <w:ind w:right="1122" w:firstLine="360"/>
        <w:jc w:val="both"/>
      </w:pPr>
      <w:r>
        <w:rPr>
          <w:spacing w:val="-5"/>
        </w:rPr>
        <w:t>与商誉的初始确认有关，以及与既不是企业合并、发生时也不影响会计利润和应纳税所得额（或可抵扣亏损）的交易中</w:t>
      </w:r>
      <w:r>
        <w:rPr>
          <w:w w:val="101"/>
        </w:rPr>
        <w:t> </w:t>
      </w:r>
      <w:r>
        <w:rPr>
          <w:spacing w:val="-4"/>
        </w:rPr>
        <w:t>产生的资产或负债的初始确认有关的应纳税暂时性差异，不予确认有关的递延所得税负债。此外，对与子公司、联营企业及</w:t>
      </w:r>
      <w:r>
        <w:rPr>
          <w:spacing w:val="42"/>
        </w:rPr>
        <w:t> </w:t>
      </w:r>
      <w:r>
        <w:rPr>
          <w:spacing w:val="42"/>
        </w:rPr>
      </w:r>
      <w:r>
        <w:rPr>
          <w:spacing w:val="-4"/>
        </w:rPr>
        <w:t>合营企业投资相关的应纳税暂时性差异，如果本公司能够控制暂时性差异转回的时间，而且该暂时性差异在可预见的未来很</w:t>
      </w:r>
      <w:r>
        <w:rPr>
          <w:spacing w:val="43"/>
        </w:rPr>
        <w:t> </w:t>
      </w:r>
      <w:r>
        <w:rPr>
          <w:spacing w:val="43"/>
        </w:rPr>
      </w:r>
      <w:r>
        <w:rPr>
          <w:spacing w:val="-4"/>
        </w:rPr>
        <w:t>可能不会转回，也不予确认有关的递延所得税负债。除上述例外情况，本公司确认其他所有应纳税暂时性差异产生的递延所</w:t>
      </w:r>
      <w:r>
        <w:rPr>
          <w:spacing w:val="43"/>
        </w:rPr>
        <w:t> </w:t>
      </w:r>
      <w:r>
        <w:rPr>
          <w:spacing w:val="43"/>
        </w:rPr>
      </w:r>
      <w:r>
        <w:rPr/>
        <w:t>得税负债。</w:t>
      </w:r>
    </w:p>
    <w:p>
      <w:pPr>
        <w:pStyle w:val="BodyText"/>
        <w:spacing w:line="357" w:lineRule="auto" w:before="22"/>
        <w:ind w:right="1124" w:firstLine="360"/>
        <w:jc w:val="both"/>
      </w:pPr>
      <w:r>
        <w:rPr>
          <w:spacing w:val="-4"/>
        </w:rPr>
        <w:t>与既不是企业合并、发生时也不影响会计利润和应纳税所得额（或可抵扣亏损）的交易中产生的资产或负债的初始确认</w:t>
      </w:r>
      <w:r>
        <w:rPr>
          <w:w w:val="101"/>
        </w:rPr>
        <w:t> </w:t>
      </w:r>
      <w:r>
        <w:rPr>
          <w:spacing w:val="-4"/>
        </w:rPr>
        <w:t>有关的可抵扣暂时性差异，不予确认有关的递延所得税资产。此外，对与子公司、联营企业及合营企业投资相关的可抵扣暂</w:t>
      </w:r>
      <w:r>
        <w:rPr>
          <w:spacing w:val="40"/>
        </w:rPr>
        <w:t> </w:t>
      </w:r>
      <w:r>
        <w:rPr>
          <w:spacing w:val="40"/>
        </w:rPr>
      </w:r>
      <w:r>
        <w:rPr>
          <w:spacing w:val="-4"/>
        </w:rPr>
        <w:t>时性差异，如果暂时性差异在可预见的未来不是很可能转回，或者未来不是很可能获得用来抵扣可抵扣暂时性差异的应纳税</w:t>
      </w:r>
      <w:r>
        <w:rPr>
          <w:spacing w:val="39"/>
        </w:rPr>
        <w:t> </w:t>
      </w:r>
      <w:r>
        <w:rPr>
          <w:spacing w:val="39"/>
        </w:rPr>
      </w:r>
      <w:r>
        <w:rPr>
          <w:spacing w:val="-4"/>
        </w:rPr>
        <w:t>所得额，不予确认有关的递延所得税资产。除上述例外情况，本公司以很可能取得用来抵扣可抵扣暂时性差异的应纳税所得</w:t>
      </w:r>
      <w:r>
        <w:rPr>
          <w:spacing w:val="38"/>
        </w:rPr>
        <w:t> </w:t>
      </w:r>
      <w:r>
        <w:rPr>
          <w:spacing w:val="38"/>
        </w:rPr>
      </w:r>
      <w:r>
        <w:rPr>
          <w:spacing w:val="-3"/>
        </w:rPr>
        <w:t>额为限，确认其他可抵扣暂时性差异产生的递延所得税资产。</w:t>
      </w:r>
    </w:p>
    <w:p>
      <w:pPr>
        <w:pStyle w:val="BodyText"/>
        <w:spacing w:line="357" w:lineRule="auto" w:before="26"/>
        <w:ind w:right="1128" w:firstLine="360"/>
        <w:jc w:val="both"/>
      </w:pPr>
      <w:r>
        <w:rPr>
          <w:spacing w:val="-5"/>
          <w:w w:val="101"/>
        </w:rPr>
        <w:t>对于能够结转以后年度的可抵扣亏损和税款抵减，以很可能获得用来抵扣可抵扣亏损和税款抵减的未来应纳税所得额为</w:t>
      </w:r>
      <w:r>
        <w:rPr>
          <w:w w:val="101"/>
        </w:rPr>
        <w:t> </w:t>
      </w:r>
      <w:r>
        <w:rPr>
          <w:spacing w:val="-3"/>
        </w:rPr>
        <w:t>限，确认相应的递延所得税资产。</w:t>
      </w:r>
    </w:p>
    <w:p>
      <w:pPr>
        <w:pStyle w:val="BodyText"/>
        <w:spacing w:line="357" w:lineRule="auto" w:before="26"/>
        <w:ind w:right="1124" w:firstLine="360"/>
        <w:jc w:val="both"/>
      </w:pPr>
      <w:r>
        <w:rPr>
          <w:spacing w:val="-4"/>
        </w:rPr>
        <w:t>资产负债表日，对于递延所得税资产和递延所得税负债，根据税法规定，按照预期收回相关资产或清偿相关负债期间的</w:t>
      </w:r>
      <w:r>
        <w:rPr>
          <w:w w:val="101"/>
        </w:rPr>
        <w:t> </w:t>
      </w:r>
      <w:r>
        <w:rPr>
          <w:spacing w:val="-3"/>
        </w:rPr>
        <w:t>适用税率计量。</w:t>
      </w:r>
    </w:p>
    <w:p>
      <w:pPr>
        <w:pStyle w:val="BodyText"/>
        <w:spacing w:line="357" w:lineRule="auto" w:before="26"/>
        <w:ind w:right="1128" w:firstLine="360"/>
        <w:jc w:val="both"/>
      </w:pPr>
      <w:r>
        <w:rPr>
          <w:spacing w:val="-5"/>
        </w:rPr>
        <w:t>于资产负债表日，对递延所得税资产的账面价值进行复核，如果未来很可能无法获得足够的应纳税所得额用以抵扣递延</w:t>
      </w:r>
      <w:r>
        <w:rPr>
          <w:w w:val="101"/>
        </w:rPr>
        <w:t> </w:t>
      </w:r>
      <w:r>
        <w:rPr>
          <w:spacing w:val="-3"/>
        </w:rPr>
        <w:t>所得税资产的利益，则减记递延所得税资产的账面价值。在很可能获得足够的应纳税所得额时，减记的金额予以转回。</w:t>
      </w:r>
    </w:p>
    <w:p>
      <w:pPr>
        <w:pStyle w:val="BodyText"/>
        <w:spacing w:line="357" w:lineRule="auto" w:before="26"/>
        <w:ind w:left="513" w:right="6932"/>
        <w:jc w:val="left"/>
      </w:pPr>
      <w:r>
        <w:rPr/>
        <w:t>（</w:t>
      </w:r>
      <w:r>
        <w:rPr>
          <w:rFonts w:ascii="宋体" w:hAnsi="宋体" w:cs="宋体" w:eastAsia="宋体" w:hint="default"/>
        </w:rPr>
        <w:t>3</w:t>
      </w:r>
      <w:r>
        <w:rPr/>
        <w:t>）所得税费用</w:t>
      </w:r>
      <w:r>
        <w:rPr>
          <w:spacing w:val="-87"/>
        </w:rPr>
        <w:t> </w:t>
      </w:r>
      <w:r>
        <w:rPr>
          <w:spacing w:val="-87"/>
        </w:rPr>
      </w:r>
      <w:r>
        <w:rPr>
          <w:spacing w:val="-3"/>
        </w:rPr>
        <w:t>所得税费用包括当期所得税和递延所得税。</w:t>
      </w:r>
    </w:p>
    <w:p>
      <w:pPr>
        <w:pStyle w:val="BodyText"/>
        <w:spacing w:line="357" w:lineRule="auto" w:before="27"/>
        <w:ind w:right="1055" w:firstLine="360"/>
        <w:jc w:val="left"/>
      </w:pPr>
      <w:r>
        <w:rPr>
          <w:spacing w:val="-3"/>
        </w:rPr>
        <w:t>除确认为其他综合收益或直接计入股东权益的交易和事项相关的当期所得税和递延所得税计入其他综合收益或股东权</w:t>
      </w:r>
      <w:r>
        <w:rPr>
          <w:w w:val="101"/>
        </w:rPr>
        <w:t> </w:t>
      </w:r>
      <w:r>
        <w:rPr>
          <w:spacing w:val="-3"/>
        </w:rPr>
        <w:t>益，以及企业合并产生的递延所得税调整商誉的账面价值外，其余当期所得税和递延所得税费用或收益计入当期损益。</w:t>
      </w:r>
    </w:p>
    <w:p>
      <w:pPr>
        <w:pStyle w:val="BodyText"/>
        <w:spacing w:line="357" w:lineRule="auto" w:before="26"/>
        <w:ind w:left="513" w:right="1055"/>
        <w:jc w:val="left"/>
      </w:pPr>
      <w:r>
        <w:rPr/>
        <w:t>（</w:t>
      </w:r>
      <w:r>
        <w:rPr>
          <w:rFonts w:ascii="宋体" w:hAnsi="宋体" w:cs="宋体" w:eastAsia="宋体" w:hint="default"/>
        </w:rPr>
        <w:t>4</w:t>
      </w:r>
      <w:r>
        <w:rPr/>
        <w:t>）所得税的抵销</w:t>
      </w:r>
      <w:r>
        <w:rPr>
          <w:spacing w:val="-85"/>
        </w:rPr>
        <w:t> </w:t>
      </w:r>
      <w:r>
        <w:rPr>
          <w:spacing w:val="-85"/>
        </w:rPr>
      </w:r>
      <w:r>
        <w:rPr>
          <w:spacing w:val="-4"/>
        </w:rPr>
        <w:t>当拥有以净额结算的法定权利，且意图以净额结算或取得资产、清偿负债同时进行时，本公司当期所得税资产及当期所</w:t>
      </w:r>
    </w:p>
    <w:p>
      <w:pPr>
        <w:pStyle w:val="BodyText"/>
        <w:spacing w:line="357" w:lineRule="auto" w:before="27"/>
        <w:ind w:left="513" w:right="1055" w:hanging="360"/>
        <w:jc w:val="left"/>
      </w:pPr>
      <w:r>
        <w:rPr>
          <w:spacing w:val="-3"/>
        </w:rPr>
        <w:t>得税负债以抵销后的净额列报。</w:t>
      </w:r>
      <w:r>
        <w:rPr>
          <w:spacing w:val="-45"/>
        </w:rPr>
        <w:t> </w:t>
      </w:r>
      <w:r>
        <w:rPr>
          <w:spacing w:val="-45"/>
        </w:rPr>
      </w:r>
      <w:r>
        <w:rPr>
          <w:spacing w:val="-5"/>
          <w:w w:val="101"/>
        </w:rPr>
        <w:t>当拥有以净额结算当期所得税资产及当期所得税负债的法定权利，且递延所得税资产及递延所得税负债是与同一税收征</w:t>
      </w:r>
      <w:r>
        <w:rPr>
          <w:spacing w:val="-5"/>
        </w:rPr>
      </w:r>
    </w:p>
    <w:p>
      <w:pPr>
        <w:pStyle w:val="BodyText"/>
        <w:spacing w:line="355" w:lineRule="auto" w:before="26"/>
        <w:ind w:right="1124"/>
        <w:jc w:val="both"/>
      </w:pPr>
      <w:r>
        <w:rPr>
          <w:spacing w:val="-4"/>
          <w:w w:val="101"/>
        </w:rPr>
        <w:t>管部门对同一纳税主体征收的所得税相关或者是对不同的纳税主体相关，但在未来每一具有重要性的递延所得税资产及负债</w:t>
      </w:r>
      <w:r>
        <w:rPr>
          <w:w w:val="101"/>
        </w:rPr>
        <w:t> </w:t>
      </w:r>
      <w:r>
        <w:rPr>
          <w:spacing w:val="-4"/>
        </w:rPr>
        <w:t>转回的期间内，涉及的纳税主体意图以净额结算当期所得税资产和负债或是同时取得资产、清偿负债时，本公司递延所得税</w:t>
      </w:r>
      <w:r>
        <w:rPr>
          <w:spacing w:val="43"/>
        </w:rPr>
        <w:t> </w:t>
      </w:r>
      <w:r>
        <w:rPr>
          <w:spacing w:val="43"/>
        </w:rPr>
      </w:r>
      <w:r>
        <w:rPr>
          <w:spacing w:val="-3"/>
        </w:rPr>
        <w:t>资产及递延所得税负债以抵销后的净额列报。</w:t>
      </w:r>
    </w:p>
    <w:p>
      <w:pPr>
        <w:spacing w:line="240" w:lineRule="auto" w:before="6"/>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left="513" w:right="1055"/>
        <w:jc w:val="left"/>
      </w:pPr>
      <w:r>
        <w:rPr>
          <w:rFonts w:ascii="宋体" w:hAnsi="宋体" w:cs="宋体" w:eastAsia="宋体" w:hint="default"/>
          <w:spacing w:val="-3"/>
        </w:rPr>
        <w:t>1</w:t>
      </w:r>
      <w:r>
        <w:rPr>
          <w:spacing w:val="-3"/>
        </w:rPr>
        <w:t>）本公司作为承租人记录经营租赁业务</w:t>
      </w:r>
      <w:r>
        <w:rPr>
          <w:spacing w:val="-34"/>
        </w:rPr>
        <w:t> </w:t>
      </w:r>
      <w:r>
        <w:rPr>
          <w:spacing w:val="-34"/>
        </w:rPr>
      </w:r>
      <w:r>
        <w:rPr>
          <w:spacing w:val="-5"/>
        </w:rPr>
        <w:t>经营租赁的租金支出在租赁期内的各个期间按直线法计入相关资产成本或当期损益。初始直接费用计入当期损益。或有</w:t>
      </w:r>
    </w:p>
    <w:p>
      <w:pPr>
        <w:pStyle w:val="BodyText"/>
        <w:spacing w:line="357" w:lineRule="auto" w:before="26"/>
        <w:ind w:left="513" w:right="6932" w:hanging="360"/>
        <w:jc w:val="left"/>
      </w:pPr>
      <w:r>
        <w:rPr>
          <w:spacing w:val="-3"/>
        </w:rPr>
        <w:t>租金于实际发生时计入当期损益。</w:t>
      </w:r>
      <w:r>
        <w:rPr>
          <w:spacing w:val="-44"/>
        </w:rPr>
        <w:t> </w:t>
      </w:r>
      <w:r>
        <w:rPr>
          <w:spacing w:val="-44"/>
        </w:rPr>
      </w:r>
      <w:r>
        <w:rPr>
          <w:rFonts w:ascii="宋体" w:hAnsi="宋体" w:cs="宋体" w:eastAsia="宋体" w:hint="default"/>
          <w:spacing w:val="-3"/>
        </w:rPr>
        <w:t>2</w:t>
      </w:r>
      <w:r>
        <w:rPr>
          <w:spacing w:val="-3"/>
        </w:rPr>
        <w:t>）本公司作为出租人记录经营租赁业务</w:t>
      </w:r>
    </w:p>
    <w:p>
      <w:pPr>
        <w:spacing w:after="0" w:line="357"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right="1055" w:firstLine="360"/>
        <w:jc w:val="left"/>
      </w:pPr>
      <w:r>
        <w:rPr>
          <w:spacing w:val="-3"/>
        </w:rPr>
        <w:t>经营租赁的租金收入在租赁期内的各个期间按直线法确认为当期损益。对金额较大的初始直接费用于发生时予以资本</w:t>
      </w:r>
      <w:r>
        <w:rPr>
          <w:w w:val="101"/>
        </w:rPr>
        <w:t> </w:t>
      </w:r>
      <w:r>
        <w:rPr>
          <w:spacing w:val="-4"/>
        </w:rPr>
        <w:t>化，在整个租赁期间内按照与确认租金收入相同的基础分期计入当期损益；其他金额较小的初始直接费用于发生时计入当期</w:t>
      </w:r>
      <w:r>
        <w:rPr>
          <w:spacing w:val="42"/>
        </w:rPr>
        <w:t> </w:t>
      </w:r>
      <w:r>
        <w:rPr>
          <w:spacing w:val="42"/>
        </w:rPr>
      </w:r>
      <w:r>
        <w:rPr>
          <w:spacing w:val="-3"/>
        </w:rPr>
        <w:t>损益。或有租金于实际发生时计入当期损益。</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055" w:firstLine="360"/>
        <w:jc w:val="left"/>
      </w:pPr>
      <w:r>
        <w:rPr>
          <w:spacing w:val="-5"/>
        </w:rPr>
        <w:t>融资租赁为实质上转移了与资产所有权有关的全部风险和报酬的租赁，其所有权最终可能转移，也可能不转移。融资租</w:t>
      </w:r>
      <w:r>
        <w:rPr>
          <w:w w:val="101"/>
        </w:rPr>
        <w:t> </w:t>
      </w:r>
      <w:r>
        <w:rPr>
          <w:spacing w:val="-3"/>
        </w:rPr>
        <w:t>赁以外的其他租赁为经营租赁。</w:t>
      </w:r>
    </w:p>
    <w:p>
      <w:pPr>
        <w:spacing w:line="240" w:lineRule="auto" w:before="4"/>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4"/>
        <w:rPr>
          <w:rFonts w:ascii="宋体" w:hAnsi="宋体" w:cs="宋体" w:eastAsia="宋体" w:hint="default"/>
          <w:b/>
          <w:bCs/>
          <w:sz w:val="22"/>
          <w:szCs w:val="22"/>
        </w:rPr>
      </w:pPr>
    </w:p>
    <w:p>
      <w:pPr>
        <w:pStyle w:val="BodyText"/>
        <w:spacing w:line="355" w:lineRule="auto"/>
        <w:ind w:right="1055" w:firstLine="360"/>
        <w:jc w:val="left"/>
      </w:pPr>
      <w:r>
        <w:rPr>
          <w:spacing w:val="-4"/>
        </w:rPr>
        <w:t>本公司在运用会计政策过程中，由于经营活动内在的不确定性，本公司需要对无法准确计量的报表项目的账面价值进行</w:t>
      </w:r>
      <w:r>
        <w:rPr>
          <w:w w:val="101"/>
        </w:rPr>
        <w:t> </w:t>
      </w:r>
      <w:r>
        <w:rPr>
          <w:spacing w:val="-3"/>
        </w:rPr>
        <w:t>判断、估计和假设。这些判断、估计和假设是基于本公司管理层过去的历史经验，并在考虑其他相关因素的基础上做出的。</w:t>
      </w:r>
      <w:r>
        <w:rPr>
          <w:spacing w:val="66"/>
        </w:rPr>
        <w:t> </w:t>
      </w:r>
      <w:r>
        <w:rPr>
          <w:spacing w:val="66"/>
        </w:rPr>
      </w:r>
      <w:r>
        <w:rPr>
          <w:spacing w:val="-4"/>
        </w:rPr>
        <w:t>这些判断、估计和假设会影响收入、费用、资产和负债的报告金额以及资产负债表日或有负债的披露。然而，这些估计的不</w:t>
      </w:r>
      <w:r>
        <w:rPr>
          <w:spacing w:val="40"/>
        </w:rPr>
        <w:t> </w:t>
      </w:r>
      <w:r>
        <w:rPr>
          <w:spacing w:val="40"/>
        </w:rPr>
      </w:r>
      <w:r>
        <w:rPr>
          <w:spacing w:val="-4"/>
          <w:w w:val="101"/>
        </w:rPr>
        <w:t>确定性所导致的实际结果可能与本公司管理层当前的估计存在差异，进而造成对未来受影响的资产或负债的账面金额进行重</w:t>
      </w:r>
      <w:r>
        <w:rPr>
          <w:w w:val="101"/>
        </w:rPr>
        <w:t> </w:t>
      </w:r>
      <w:r>
        <w:rPr/>
        <w:t>大调整。</w:t>
      </w:r>
    </w:p>
    <w:p>
      <w:pPr>
        <w:pStyle w:val="BodyText"/>
        <w:spacing w:line="357" w:lineRule="auto" w:before="28"/>
        <w:ind w:right="1055" w:firstLine="360"/>
        <w:jc w:val="left"/>
      </w:pPr>
      <w:r>
        <w:rPr>
          <w:spacing w:val="-4"/>
        </w:rPr>
        <w:t>本公司对前述判断、估计和假设在持续经营的基础上进行定期复核，会计估计的变更仅影响变更当期的，其影响数在变</w:t>
      </w:r>
      <w:r>
        <w:rPr>
          <w:w w:val="101"/>
        </w:rPr>
        <w:t> </w:t>
      </w:r>
      <w:r>
        <w:rPr>
          <w:spacing w:val="-3"/>
        </w:rPr>
        <w:t>更当期予以确认；既影响变更当期又影响未来期间的，其影响数在变更当期和未来期间予以确认。</w:t>
      </w:r>
    </w:p>
    <w:p>
      <w:pPr>
        <w:pStyle w:val="BodyText"/>
        <w:spacing w:line="240" w:lineRule="auto" w:before="26"/>
        <w:ind w:left="513" w:right="1055"/>
        <w:jc w:val="left"/>
      </w:pPr>
      <w:r>
        <w:rPr>
          <w:spacing w:val="-3"/>
        </w:rPr>
        <w:t>于资产负债表日，本公司需对财务报表项目金额进行判断、估计和假设的重要领域如下：</w:t>
      </w:r>
    </w:p>
    <w:p>
      <w:pPr>
        <w:pStyle w:val="BodyText"/>
        <w:spacing w:line="357" w:lineRule="auto" w:before="115"/>
        <w:ind w:left="513" w:right="1055"/>
        <w:jc w:val="left"/>
      </w:pPr>
      <w:r>
        <w:rPr/>
        <w:t>（</w:t>
      </w:r>
      <w:r>
        <w:rPr>
          <w:rFonts w:ascii="宋体" w:hAnsi="宋体" w:cs="宋体" w:eastAsia="宋体" w:hint="default"/>
        </w:rPr>
        <w:t>1</w:t>
      </w:r>
      <w:r>
        <w:rPr/>
        <w:t>）租赁的归类</w:t>
      </w:r>
      <w:r>
        <w:rPr>
          <w:spacing w:val="-87"/>
        </w:rPr>
        <w:t> </w:t>
      </w:r>
      <w:r>
        <w:rPr>
          <w:spacing w:val="-87"/>
        </w:rPr>
      </w:r>
      <w:r>
        <w:rPr>
          <w:spacing w:val="-4"/>
        </w:rPr>
        <w:t>本公司根据《企业会计准则第</w:t>
      </w:r>
      <w:r>
        <w:rPr>
          <w:rFonts w:ascii="宋体" w:hAnsi="宋体" w:cs="宋体" w:eastAsia="宋体" w:hint="default"/>
          <w:spacing w:val="-4"/>
        </w:rPr>
        <w:t>21</w:t>
      </w:r>
      <w:r>
        <w:rPr>
          <w:spacing w:val="-4"/>
        </w:rPr>
        <w:t>号——租赁》的规定，将租赁归类为经营租赁和融资租赁，在进行归类时，管理层需要</w:t>
      </w:r>
    </w:p>
    <w:p>
      <w:pPr>
        <w:pStyle w:val="BodyText"/>
        <w:spacing w:line="357" w:lineRule="auto" w:before="26"/>
        <w:ind w:right="1128"/>
        <w:jc w:val="both"/>
      </w:pPr>
      <w:r>
        <w:rPr>
          <w:spacing w:val="-4"/>
          <w:w w:val="101"/>
        </w:rPr>
        <w:t>对是否已将与租出资产所有权有关的全部风险和报酬实质上转移给承租人，或者本公司是否已经实质上承担与租入资产所有</w:t>
      </w:r>
      <w:r>
        <w:rPr>
          <w:w w:val="101"/>
        </w:rPr>
        <w:t> </w:t>
      </w:r>
      <w:r>
        <w:rPr>
          <w:spacing w:val="-3"/>
        </w:rPr>
        <w:t>权有关的全部风险和报酬，作出分析和判断。</w:t>
      </w:r>
    </w:p>
    <w:p>
      <w:pPr>
        <w:pStyle w:val="BodyText"/>
        <w:spacing w:line="357" w:lineRule="auto" w:before="26"/>
        <w:ind w:left="513" w:right="1055"/>
        <w:jc w:val="left"/>
      </w:pPr>
      <w:r>
        <w:rPr/>
        <w:t>（</w:t>
      </w:r>
      <w:r>
        <w:rPr>
          <w:rFonts w:ascii="宋体" w:hAnsi="宋体" w:cs="宋体" w:eastAsia="宋体" w:hint="default"/>
        </w:rPr>
        <w:t>2</w:t>
      </w:r>
      <w:r>
        <w:rPr/>
        <w:t>）坏账准备计提</w:t>
      </w:r>
      <w:r>
        <w:rPr>
          <w:spacing w:val="-85"/>
        </w:rPr>
        <w:t> </w:t>
      </w:r>
      <w:r>
        <w:rPr>
          <w:spacing w:val="-85"/>
        </w:rPr>
      </w:r>
      <w:r>
        <w:rPr>
          <w:spacing w:val="-4"/>
        </w:rPr>
        <w:t>本公司根据应收款项的会计政策，采用备抵法核算坏账损失。应收款项减值是基于评估应收款项的可收回性。鉴定应收</w:t>
      </w:r>
    </w:p>
    <w:p>
      <w:pPr>
        <w:pStyle w:val="BodyText"/>
        <w:spacing w:line="357" w:lineRule="auto" w:before="26"/>
        <w:ind w:right="1128"/>
        <w:jc w:val="both"/>
      </w:pPr>
      <w:r>
        <w:rPr>
          <w:spacing w:val="-4"/>
          <w:w w:val="101"/>
        </w:rPr>
        <w:t>款项减值要求管理层的判断和估计。实际的结果与原先估计的差异将在估计被改变的期间影响应收款项的账面价值及应收款</w:t>
      </w:r>
      <w:r>
        <w:rPr>
          <w:w w:val="101"/>
        </w:rPr>
        <w:t> </w:t>
      </w:r>
      <w:r>
        <w:rPr>
          <w:spacing w:val="-3"/>
        </w:rPr>
        <w:t>项坏账准备的计提或转回。</w:t>
      </w:r>
    </w:p>
    <w:p>
      <w:pPr>
        <w:pStyle w:val="BodyText"/>
        <w:spacing w:line="357" w:lineRule="auto" w:before="26"/>
        <w:ind w:left="513" w:right="1055"/>
        <w:jc w:val="left"/>
      </w:pPr>
      <w:r>
        <w:rPr/>
        <w:t>（</w:t>
      </w:r>
      <w:r>
        <w:rPr>
          <w:rFonts w:ascii="宋体" w:hAnsi="宋体" w:cs="宋体" w:eastAsia="宋体" w:hint="default"/>
        </w:rPr>
        <w:t>3</w:t>
      </w:r>
      <w:r>
        <w:rPr/>
        <w:t>）存货跌价准备</w:t>
      </w:r>
      <w:r>
        <w:rPr>
          <w:spacing w:val="-85"/>
        </w:rPr>
        <w:t> </w:t>
      </w:r>
      <w:r>
        <w:rPr>
          <w:spacing w:val="-85"/>
        </w:rPr>
      </w:r>
      <w:r>
        <w:rPr>
          <w:spacing w:val="-4"/>
        </w:rPr>
        <w:t>本公司根据存货会计政策，按照成本与可变现净值孰低计量，对成本高于可变现净值及陈旧和滞销的存货，计提存货跌</w:t>
      </w:r>
    </w:p>
    <w:p>
      <w:pPr>
        <w:pStyle w:val="BodyText"/>
        <w:spacing w:line="357" w:lineRule="auto" w:before="26"/>
        <w:ind w:right="1124"/>
        <w:jc w:val="both"/>
      </w:pPr>
      <w:r>
        <w:rPr>
          <w:spacing w:val="-4"/>
        </w:rPr>
        <w:t>价准备。存货减值至可变现净值是基于评估存货的可售性及其可变现净值。鉴定存货减值要求管理层在取得确凿证据，并且</w:t>
      </w:r>
      <w:r>
        <w:rPr>
          <w:spacing w:val="42"/>
        </w:rPr>
        <w:t> </w:t>
      </w:r>
      <w:r>
        <w:rPr>
          <w:spacing w:val="42"/>
        </w:rPr>
      </w:r>
      <w:r>
        <w:rPr>
          <w:spacing w:val="-4"/>
        </w:rPr>
        <w:t>考虑持有存货的目的、资产负债表日后事项的影响等因素的基础上作出判断和估计。实际的结果与原先估计的差异将在估计</w:t>
      </w:r>
      <w:r>
        <w:rPr>
          <w:spacing w:val="42"/>
        </w:rPr>
        <w:t> </w:t>
      </w:r>
      <w:r>
        <w:rPr>
          <w:spacing w:val="42"/>
        </w:rPr>
      </w:r>
      <w:r>
        <w:rPr>
          <w:spacing w:val="-3"/>
        </w:rPr>
        <w:t>被改变的期间影响存货的账面价值及存货跌价准备的计提或转回。</w:t>
      </w:r>
    </w:p>
    <w:p>
      <w:pPr>
        <w:pStyle w:val="BodyText"/>
        <w:spacing w:line="357" w:lineRule="auto" w:before="26"/>
        <w:ind w:left="513" w:right="1055"/>
        <w:jc w:val="left"/>
      </w:pPr>
      <w:r>
        <w:rPr/>
        <w:t>（</w:t>
      </w:r>
      <w:r>
        <w:rPr>
          <w:rFonts w:ascii="宋体" w:hAnsi="宋体" w:cs="宋体" w:eastAsia="宋体" w:hint="default"/>
        </w:rPr>
        <w:t>4</w:t>
      </w:r>
      <w:r>
        <w:rPr/>
        <w:t>）金融工具公允价值</w:t>
      </w:r>
      <w:r>
        <w:rPr>
          <w:spacing w:val="-85"/>
        </w:rPr>
        <w:t> </w:t>
      </w:r>
      <w:r>
        <w:rPr>
          <w:spacing w:val="-85"/>
        </w:rPr>
      </w:r>
      <w:r>
        <w:rPr>
          <w:spacing w:val="-4"/>
        </w:rPr>
        <w:t>对不存在活跃交易市场的金融工具，本公司通过各种估值方法确定其公允价值。这些估值方法包括贴现现金流模型分析</w:t>
      </w:r>
    </w:p>
    <w:p>
      <w:pPr>
        <w:pStyle w:val="BodyText"/>
        <w:spacing w:line="352" w:lineRule="auto" w:before="26"/>
        <w:ind w:right="1123"/>
        <w:jc w:val="both"/>
      </w:pPr>
      <w:r>
        <w:rPr>
          <w:spacing w:val="-4"/>
        </w:rPr>
        <w:t>等。估值时本公司需对未来现金流量、信用风险、市场波动率和相关性等方面进行估计，并选择适当的折现率。这些相关假</w:t>
      </w:r>
      <w:r>
        <w:rPr>
          <w:spacing w:val="40"/>
        </w:rPr>
        <w:t> </w:t>
      </w:r>
      <w:r>
        <w:rPr>
          <w:spacing w:val="40"/>
        </w:rPr>
      </w:r>
      <w:r>
        <w:rPr>
          <w:spacing w:val="-3"/>
        </w:rPr>
        <w:t>设具有不确定性，其变化会对金融工具的公允价值产生影响。</w:t>
      </w:r>
    </w:p>
    <w:p>
      <w:pPr>
        <w:pStyle w:val="BodyText"/>
        <w:spacing w:line="357" w:lineRule="auto" w:before="30"/>
        <w:ind w:left="513" w:right="1055"/>
        <w:jc w:val="left"/>
      </w:pPr>
      <w:r>
        <w:rPr/>
        <w:t>（</w:t>
      </w:r>
      <w:r>
        <w:rPr>
          <w:rFonts w:ascii="宋体" w:hAnsi="宋体" w:cs="宋体" w:eastAsia="宋体" w:hint="default"/>
        </w:rPr>
        <w:t>5</w:t>
      </w:r>
      <w:r>
        <w:rPr/>
        <w:t>）可供出售金融资产减值</w:t>
      </w:r>
      <w:r>
        <w:rPr>
          <w:spacing w:val="-85"/>
        </w:rPr>
        <w:t> </w:t>
      </w:r>
      <w:r>
        <w:rPr>
          <w:spacing w:val="-85"/>
        </w:rPr>
      </w:r>
      <w:r>
        <w:rPr>
          <w:spacing w:val="-5"/>
          <w:w w:val="101"/>
        </w:rPr>
        <w:t>本公司确定可供出售金融资产是否减值在很大程度上依赖于管理层的判断和假设，以确定是否需要在利润表中确认其减</w:t>
      </w:r>
      <w:r>
        <w:rPr>
          <w:spacing w:val="-5"/>
        </w:rPr>
      </w:r>
    </w:p>
    <w:p>
      <w:pPr>
        <w:pStyle w:val="BodyText"/>
        <w:spacing w:line="357" w:lineRule="auto" w:before="27"/>
        <w:ind w:right="1124"/>
        <w:jc w:val="both"/>
      </w:pPr>
      <w:r>
        <w:rPr>
          <w:spacing w:val="-4"/>
        </w:rPr>
        <w:t>值损失。在进行判断和作出假设的过程中，本公司需评估该项投资的公允价值低于成本的程度和持续期间，以及被投资对象</w:t>
      </w:r>
      <w:r>
        <w:rPr>
          <w:spacing w:val="43"/>
        </w:rPr>
        <w:t> </w:t>
      </w:r>
      <w:r>
        <w:rPr>
          <w:spacing w:val="43"/>
        </w:rPr>
      </w:r>
      <w:r>
        <w:rPr>
          <w:spacing w:val="-3"/>
        </w:rPr>
        <w:t>的财务状况和短期业务展望，包括行业状况、技术变革、信用评级、违约率和对手方的风险。</w:t>
      </w:r>
    </w:p>
    <w:p>
      <w:pPr>
        <w:pStyle w:val="BodyText"/>
        <w:spacing w:line="240" w:lineRule="auto" w:before="26"/>
        <w:ind w:left="513" w:right="1055"/>
        <w:jc w:val="left"/>
      </w:pPr>
      <w:r>
        <w:rPr/>
        <w:t>（</w:t>
      </w:r>
      <w:r>
        <w:rPr>
          <w:rFonts w:ascii="宋体" w:hAnsi="宋体" w:cs="宋体" w:eastAsia="宋体" w:hint="default"/>
        </w:rPr>
        <w:t>6</w:t>
      </w:r>
      <w:r>
        <w:rPr/>
        <w:t>）长期资产减值准备</w:t>
      </w:r>
    </w:p>
    <w:p>
      <w:pPr>
        <w:spacing w:after="0" w:line="240" w:lineRule="auto"/>
        <w:jc w:val="left"/>
        <w:sectPr>
          <w:footerReference w:type="default" r:id="rId31"/>
          <w:pgSz w:w="11910" w:h="16840"/>
          <w:pgMar w:footer="1186" w:header="871" w:top="1100" w:bottom="1380" w:left="980" w:right="0"/>
          <w:pgNumType w:start="121"/>
        </w:sectPr>
      </w:pPr>
    </w:p>
    <w:p>
      <w:pPr>
        <w:spacing w:line="240" w:lineRule="auto" w:before="7"/>
        <w:rPr>
          <w:rFonts w:ascii="宋体" w:hAnsi="宋体" w:cs="宋体" w:eastAsia="宋体" w:hint="default"/>
          <w:sz w:val="18"/>
          <w:szCs w:val="18"/>
        </w:rPr>
      </w:pPr>
    </w:p>
    <w:p>
      <w:pPr>
        <w:pStyle w:val="BodyText"/>
        <w:spacing w:line="357" w:lineRule="auto" w:before="46"/>
        <w:ind w:right="1123" w:firstLine="360"/>
        <w:jc w:val="both"/>
      </w:pPr>
      <w:r>
        <w:rPr>
          <w:spacing w:val="-5"/>
          <w:w w:val="101"/>
        </w:rPr>
        <w:t>本公司于资产负债表日对除金融资产之外的非流动资产判断是否存在可能发生减值的迹象。对使用寿命不确定的无形资</w:t>
      </w:r>
      <w:r>
        <w:rPr>
          <w:w w:val="101"/>
        </w:rPr>
        <w:t> </w:t>
      </w:r>
      <w:r>
        <w:rPr>
          <w:spacing w:val="-4"/>
        </w:rPr>
        <w:t>产，除每年进行的减值测试外，当其存在减值迹象时，也进行减值测试。其他除金融资产之外的非流动资产，当存在迹象表</w:t>
      </w:r>
      <w:r>
        <w:rPr>
          <w:spacing w:val="40"/>
        </w:rPr>
        <w:t> </w:t>
      </w:r>
      <w:r>
        <w:rPr>
          <w:spacing w:val="40"/>
        </w:rPr>
      </w:r>
      <w:r>
        <w:rPr>
          <w:spacing w:val="-3"/>
        </w:rPr>
        <w:t>明其账面金额不可收回时，进行减值测试。</w:t>
      </w:r>
    </w:p>
    <w:p>
      <w:pPr>
        <w:pStyle w:val="BodyText"/>
        <w:spacing w:line="357" w:lineRule="auto" w:before="27"/>
        <w:ind w:right="1055" w:firstLine="360"/>
        <w:jc w:val="left"/>
      </w:pPr>
      <w:r>
        <w:rPr>
          <w:spacing w:val="-3"/>
        </w:rPr>
        <w:t>当资产或资产组的账面价值高于可收回金额，即公允价值减去处置费用后的净额和预计未来现金流量的现值中的较高</w:t>
      </w:r>
      <w:r>
        <w:rPr>
          <w:w w:val="101"/>
        </w:rPr>
        <w:t> </w:t>
      </w:r>
      <w:r>
        <w:rPr/>
        <w:t>者，表明发生了减值。</w:t>
      </w:r>
    </w:p>
    <w:p>
      <w:pPr>
        <w:pStyle w:val="BodyText"/>
        <w:spacing w:line="357" w:lineRule="auto" w:before="26"/>
        <w:ind w:right="1055" w:firstLine="360"/>
        <w:jc w:val="left"/>
      </w:pPr>
      <w:r>
        <w:rPr>
          <w:spacing w:val="-4"/>
        </w:rPr>
        <w:t>公允价值减去处置费用后的净额，参考公平交易中类似资产的销售协议价格或可观察到的市场价格，减去可直接归属于</w:t>
      </w:r>
      <w:r>
        <w:rPr>
          <w:w w:val="101"/>
        </w:rPr>
        <w:t> </w:t>
      </w:r>
      <w:r>
        <w:rPr>
          <w:spacing w:val="-3"/>
        </w:rPr>
        <w:t>该资产处置的增量成本确定。</w:t>
      </w:r>
    </w:p>
    <w:p>
      <w:pPr>
        <w:pStyle w:val="BodyText"/>
        <w:spacing w:line="357" w:lineRule="auto" w:before="26"/>
        <w:ind w:right="1004" w:firstLine="360"/>
        <w:jc w:val="left"/>
      </w:pPr>
      <w:r>
        <w:rPr>
          <w:spacing w:val="-5"/>
        </w:rPr>
        <w:t>在预计未来现金流量现值时，需要对该资产（或资产组）的产量、售价、相关经营成本以及计算现值时使用的折现率等</w:t>
      </w:r>
      <w:r>
        <w:rPr>
          <w:w w:val="101"/>
        </w:rPr>
        <w:t> </w:t>
      </w:r>
      <w:r>
        <w:rPr>
          <w:spacing w:val="-6"/>
          <w:w w:val="101"/>
        </w:rPr>
        <w:t>作出重大判断。本公司在估计可收回金额时会采用所有能够获得的相关资料，包括根据合理和可支持的假设所作出有关产量、</w:t>
      </w:r>
      <w:r>
        <w:rPr>
          <w:spacing w:val="-70"/>
          <w:w w:val="101"/>
        </w:rPr>
        <w:t> </w:t>
      </w:r>
      <w:r>
        <w:rPr>
          <w:spacing w:val="-70"/>
          <w:w w:val="101"/>
        </w:rPr>
      </w:r>
      <w:r>
        <w:rPr>
          <w:spacing w:val="-3"/>
        </w:rPr>
        <w:t>售价和相关经营成本的预测。</w:t>
      </w:r>
    </w:p>
    <w:p>
      <w:pPr>
        <w:pStyle w:val="BodyText"/>
        <w:spacing w:line="357" w:lineRule="auto" w:before="22"/>
        <w:ind w:right="1055" w:firstLine="360"/>
        <w:jc w:val="left"/>
      </w:pPr>
      <w:r>
        <w:rPr>
          <w:spacing w:val="-3"/>
        </w:rPr>
        <w:t>本公司至少每年测试商誉是否发生减值。这要求对分配了商誉的资产组或者资产组组合的未来现金流量的现值进行预</w:t>
      </w:r>
      <w:r>
        <w:rPr>
          <w:w w:val="101"/>
        </w:rPr>
        <w:t> </w:t>
      </w:r>
      <w:r>
        <w:rPr>
          <w:spacing w:val="-4"/>
        </w:rPr>
        <w:t>计。对未来现金流量的现值进行预计时，本公司需要预计未来资产组或者资产组组合产生的现金流量，同时选择恰当的折现</w:t>
      </w:r>
      <w:r>
        <w:rPr>
          <w:spacing w:val="43"/>
        </w:rPr>
        <w:t> </w:t>
      </w:r>
      <w:r>
        <w:rPr>
          <w:spacing w:val="43"/>
        </w:rPr>
      </w:r>
      <w:r>
        <w:rPr>
          <w:spacing w:val="-3"/>
        </w:rPr>
        <w:t>率确定未来现金流量的现值。</w:t>
      </w:r>
    </w:p>
    <w:p>
      <w:pPr>
        <w:pStyle w:val="BodyText"/>
        <w:spacing w:line="357" w:lineRule="auto" w:before="27"/>
        <w:ind w:left="513" w:right="1055"/>
        <w:jc w:val="left"/>
      </w:pPr>
      <w:r>
        <w:rPr/>
        <w:t>（</w:t>
      </w:r>
      <w:r>
        <w:rPr>
          <w:rFonts w:ascii="宋体" w:hAnsi="宋体" w:cs="宋体" w:eastAsia="宋体" w:hint="default"/>
        </w:rPr>
        <w:t>7</w:t>
      </w:r>
      <w:r>
        <w:rPr/>
        <w:t>）折旧和摊销</w:t>
      </w:r>
      <w:r>
        <w:rPr>
          <w:spacing w:val="-87"/>
        </w:rPr>
        <w:t> </w:t>
      </w:r>
      <w:r>
        <w:rPr>
          <w:spacing w:val="-87"/>
        </w:rPr>
      </w:r>
      <w:r>
        <w:rPr>
          <w:spacing w:val="-4"/>
        </w:rPr>
        <w:t>本公司对投资性房地产、固定资产和无形资产在考虑其残值后，在使用寿命内按直线法计提折旧和摊销。本公司定期复</w:t>
      </w:r>
    </w:p>
    <w:p>
      <w:pPr>
        <w:pStyle w:val="BodyText"/>
        <w:spacing w:line="357" w:lineRule="auto" w:before="26"/>
        <w:ind w:right="1123"/>
        <w:jc w:val="both"/>
      </w:pPr>
      <w:r>
        <w:rPr>
          <w:spacing w:val="-4"/>
        </w:rPr>
        <w:t>核使用寿命，以决定将计入每个报告期的折旧和摊销费用数额。使用寿命是本公司根据对同类资产的以往经验并结合预期的</w:t>
      </w:r>
      <w:r>
        <w:rPr>
          <w:spacing w:val="42"/>
        </w:rPr>
        <w:t> </w:t>
      </w:r>
      <w:r>
        <w:rPr>
          <w:spacing w:val="42"/>
        </w:rPr>
      </w:r>
      <w:r>
        <w:rPr>
          <w:spacing w:val="-3"/>
        </w:rPr>
        <w:t>技术更新而确定的。如果以前的估计发生重大变化，则会在未来期间对折旧和摊销费用进行调整。</w:t>
      </w:r>
    </w:p>
    <w:p>
      <w:pPr>
        <w:pStyle w:val="BodyText"/>
        <w:spacing w:line="357" w:lineRule="auto" w:before="26"/>
        <w:ind w:left="513" w:right="1055"/>
        <w:jc w:val="left"/>
      </w:pPr>
      <w:r>
        <w:rPr/>
        <w:t>（</w:t>
      </w:r>
      <w:r>
        <w:rPr>
          <w:rFonts w:ascii="宋体" w:hAnsi="宋体" w:cs="宋体" w:eastAsia="宋体" w:hint="default"/>
        </w:rPr>
        <w:t>8</w:t>
      </w:r>
      <w:r>
        <w:rPr/>
        <w:t>）开发支出</w:t>
      </w:r>
      <w:r>
        <w:rPr>
          <w:spacing w:val="-85"/>
        </w:rPr>
        <w:t> </w:t>
      </w:r>
      <w:r>
        <w:rPr>
          <w:spacing w:val="-85"/>
        </w:rPr>
      </w:r>
      <w:r>
        <w:rPr>
          <w:spacing w:val="-3"/>
        </w:rPr>
        <w:t>确定资本化的金额时，本公司管理层需要作出有关资产的预计未来现金流量、适用的折现率以及预计受益期间的假设。</w:t>
      </w:r>
      <w:r>
        <w:rPr>
          <w:spacing w:val="60"/>
        </w:rPr>
        <w:t> </w:t>
      </w:r>
      <w:r>
        <w:rPr>
          <w:spacing w:val="60"/>
        </w:rPr>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日本公司自行开发的无形资产在资产负债表中的余额为人民币</w:t>
      </w:r>
      <w:r>
        <w:rPr>
          <w:rFonts w:ascii="宋体" w:hAnsi="宋体" w:cs="宋体" w:eastAsia="宋体" w:hint="default"/>
          <w:spacing w:val="-2"/>
        </w:rPr>
        <w:t>37,249,991.96</w:t>
      </w:r>
      <w:r>
        <w:rPr>
          <w:spacing w:val="-2"/>
        </w:rPr>
        <w:t>元。本公司管理层认为该业</w:t>
      </w:r>
    </w:p>
    <w:p>
      <w:pPr>
        <w:pStyle w:val="BodyText"/>
        <w:spacing w:line="357" w:lineRule="auto" w:before="26"/>
        <w:ind w:right="1122"/>
        <w:jc w:val="both"/>
      </w:pPr>
      <w:r>
        <w:rPr>
          <w:spacing w:val="-4"/>
        </w:rPr>
        <w:t>务的前景和目前的发展良好，市场对以该类无形资产生产的产品的反应也证实了管理层之前对这一项目预期收入的估计。但</w:t>
      </w:r>
      <w:r>
        <w:rPr>
          <w:spacing w:val="45"/>
        </w:rPr>
        <w:t> </w:t>
      </w:r>
      <w:r>
        <w:rPr>
          <w:spacing w:val="45"/>
        </w:rPr>
      </w:r>
      <w:r>
        <w:rPr>
          <w:spacing w:val="-4"/>
        </w:rPr>
        <w:t>是日益增加的竞争也使得管理层重新考虑对市场份额和有关产品的预计毛利等方面的假设。经过全面的检视后，本公司管理</w:t>
      </w:r>
      <w:r>
        <w:rPr>
          <w:spacing w:val="39"/>
        </w:rPr>
        <w:t> </w:t>
      </w:r>
      <w:r>
        <w:rPr>
          <w:spacing w:val="39"/>
        </w:rPr>
      </w:r>
      <w:r>
        <w:rPr>
          <w:spacing w:val="-4"/>
        </w:rPr>
        <w:t>层认为即使在产品回报率出现下调的情况下，仍可以全额收回该类无形资产账面价值。本公司将继续密切检视有关情况，一</w:t>
      </w:r>
      <w:r>
        <w:rPr>
          <w:spacing w:val="43"/>
        </w:rPr>
        <w:t> </w:t>
      </w:r>
      <w:r>
        <w:rPr>
          <w:spacing w:val="43"/>
        </w:rPr>
      </w:r>
      <w:r>
        <w:rPr>
          <w:spacing w:val="-3"/>
        </w:rPr>
        <w:t>旦有迹象表明需要调整相关会计估计的假设，本公司将在有关迹象发生的期间作出调整。</w:t>
      </w:r>
    </w:p>
    <w:p>
      <w:pPr>
        <w:pStyle w:val="BodyText"/>
        <w:spacing w:line="357" w:lineRule="auto" w:before="26"/>
        <w:ind w:left="513" w:right="1055"/>
        <w:jc w:val="left"/>
      </w:pPr>
      <w:r>
        <w:rPr/>
        <w:t>（</w:t>
      </w:r>
      <w:r>
        <w:rPr>
          <w:rFonts w:ascii="宋体" w:hAnsi="宋体" w:cs="宋体" w:eastAsia="宋体" w:hint="default"/>
        </w:rPr>
        <w:t>9</w:t>
      </w:r>
      <w:r>
        <w:rPr/>
        <w:t>）递延所得税资产</w:t>
      </w:r>
      <w:r>
        <w:rPr>
          <w:spacing w:val="-88"/>
        </w:rPr>
        <w:t> </w:t>
      </w:r>
      <w:r>
        <w:rPr>
          <w:spacing w:val="-88"/>
        </w:rPr>
      </w:r>
      <w:r>
        <w:rPr>
          <w:spacing w:val="-4"/>
        </w:rPr>
        <w:t>在很有可能有足够的应纳税利润来抵扣亏损的限度内，本公司就所有未利用的税务亏损确认递延所得税资产。这需要本</w:t>
      </w:r>
    </w:p>
    <w:p>
      <w:pPr>
        <w:pStyle w:val="BodyText"/>
        <w:spacing w:line="357" w:lineRule="auto" w:before="26"/>
        <w:ind w:right="1128"/>
        <w:jc w:val="both"/>
      </w:pPr>
      <w:r>
        <w:rPr>
          <w:spacing w:val="-4"/>
        </w:rPr>
        <w:t>公司管理层运用大量的判断来估计未来应纳税利润发生的时间和金额，结合纳税筹划策略，以决定应确认的递延所得税资产</w:t>
      </w:r>
      <w:r>
        <w:rPr>
          <w:spacing w:val="39"/>
        </w:rPr>
        <w:t> </w:t>
      </w:r>
      <w:r>
        <w:rPr>
          <w:spacing w:val="39"/>
        </w:rPr>
      </w:r>
      <w:r>
        <w:rPr/>
        <w:t>的金额。</w:t>
      </w:r>
    </w:p>
    <w:p>
      <w:pPr>
        <w:pStyle w:val="BodyText"/>
        <w:spacing w:line="357" w:lineRule="auto" w:before="26"/>
        <w:ind w:left="513" w:right="1055"/>
        <w:jc w:val="left"/>
      </w:pPr>
      <w:r>
        <w:rPr/>
        <w:t>（</w:t>
      </w:r>
      <w:r>
        <w:rPr>
          <w:rFonts w:ascii="宋体" w:hAnsi="宋体" w:cs="宋体" w:eastAsia="宋体" w:hint="default"/>
        </w:rPr>
        <w:t>10</w:t>
      </w:r>
      <w:r>
        <w:rPr/>
        <w:t>）所得税</w:t>
      </w:r>
      <w:r>
        <w:rPr>
          <w:spacing w:val="-86"/>
        </w:rPr>
        <w:t> </w:t>
      </w:r>
      <w:r>
        <w:rPr>
          <w:spacing w:val="-86"/>
        </w:rPr>
      </w:r>
      <w:r>
        <w:rPr>
          <w:spacing w:val="-4"/>
        </w:rPr>
        <w:t>本公司在正常的经营活动中，有部分交易其最终的税务处理和计算存在一定的不确定性。部分项目是否能够在税前列支</w:t>
      </w:r>
    </w:p>
    <w:p>
      <w:pPr>
        <w:pStyle w:val="BodyText"/>
        <w:spacing w:line="357" w:lineRule="auto" w:before="22"/>
        <w:ind w:right="1124"/>
        <w:jc w:val="both"/>
      </w:pPr>
      <w:r>
        <w:rPr>
          <w:spacing w:val="-4"/>
        </w:rPr>
        <w:t>需要税收主管机关的审批。如果这些税务事项的最终认定结果同最初估计的金额存在差异，则该差异将对其最终认定期间的</w:t>
      </w:r>
      <w:r>
        <w:rPr>
          <w:spacing w:val="43"/>
        </w:rPr>
        <w:t> </w:t>
      </w:r>
      <w:r>
        <w:rPr>
          <w:spacing w:val="43"/>
        </w:rPr>
      </w:r>
      <w:r>
        <w:rPr>
          <w:spacing w:val="-3"/>
        </w:rPr>
        <w:t>当期所得税和递延所得税产生影响。</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2"/>
          <w:szCs w:val="22"/>
        </w:rPr>
      </w:pPr>
    </w:p>
    <w:p>
      <w:pPr>
        <w:pStyle w:val="BodyText"/>
        <w:spacing w:line="264" w:lineRule="auto"/>
        <w:ind w:left="513" w:right="1055"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日财政部发布了《关于修订印发</w:t>
      </w:r>
      <w:r>
        <w:rPr>
          <w:rFonts w:ascii="宋体" w:hAnsi="宋体" w:cs="宋体" w:eastAsia="宋体" w:hint="default"/>
          <w:spacing w:val="-3"/>
        </w:rPr>
        <w:t>2018</w:t>
      </w:r>
      <w:r>
        <w:rPr>
          <w:spacing w:val="-3"/>
        </w:rPr>
        <w:t>年度一般企业财务报表格式的通知》，公司按照通知的要求相应变更</w:t>
      </w:r>
    </w:p>
    <w:p>
      <w:pPr>
        <w:pStyle w:val="BodyText"/>
        <w:spacing w:line="357" w:lineRule="auto" w:before="96"/>
        <w:ind w:left="513" w:right="1055" w:hanging="360"/>
        <w:jc w:val="left"/>
      </w:pPr>
      <w:r>
        <w:rPr>
          <w:spacing w:val="-3"/>
        </w:rPr>
        <w:t>财务报表格式。</w:t>
      </w:r>
      <w:r>
        <w:rPr>
          <w:spacing w:val="-68"/>
        </w:rPr>
        <w:t> </w:t>
      </w:r>
      <w:r>
        <w:rPr>
          <w:spacing w:val="-68"/>
        </w:rPr>
      </w:r>
      <w:r>
        <w:rPr>
          <w:spacing w:val="-4"/>
        </w:rPr>
        <w:t>根据财政部的修订要求，公司调整以下财务报表项目的列示，并对可比会计期间的比较数据进行相应调整，调整内容主</w:t>
      </w:r>
    </w:p>
    <w:p>
      <w:pPr>
        <w:spacing w:after="0" w:line="357" w:lineRule="auto"/>
        <w:jc w:val="left"/>
        <w:sectPr>
          <w:footerReference w:type="default" r:id="rId32"/>
          <w:pgSz w:w="11910" w:h="16840"/>
          <w:pgMar w:footer="1186" w:header="871" w:top="1100" w:bottom="1380" w:left="980" w:right="0"/>
          <w:pgNumType w:start="122"/>
        </w:sectPr>
      </w:pPr>
    </w:p>
    <w:p>
      <w:pPr>
        <w:spacing w:line="240" w:lineRule="auto" w:before="7"/>
        <w:rPr>
          <w:rFonts w:ascii="宋体" w:hAnsi="宋体" w:cs="宋体" w:eastAsia="宋体" w:hint="default"/>
          <w:sz w:val="18"/>
          <w:szCs w:val="18"/>
        </w:rPr>
      </w:pPr>
    </w:p>
    <w:p>
      <w:pPr>
        <w:pStyle w:val="BodyText"/>
        <w:spacing w:line="240" w:lineRule="auto" w:before="46"/>
        <w:ind w:left="233" w:right="398"/>
        <w:jc w:val="left"/>
      </w:pPr>
      <w:r>
        <w:rPr/>
        <w:t>要包括：</w:t>
      </w:r>
    </w:p>
    <w:p>
      <w:pPr>
        <w:pStyle w:val="BodyText"/>
        <w:spacing w:line="240" w:lineRule="auto" w:before="115"/>
        <w:ind w:left="593" w:right="398"/>
        <w:jc w:val="left"/>
      </w:pPr>
      <w:r>
        <w:rPr>
          <w:spacing w:val="-3"/>
        </w:rPr>
        <w:t>①原“应收票据”和“应收账款”项目合并计入新增的“应收票据及应收账款”项目；</w:t>
      </w:r>
    </w:p>
    <w:p>
      <w:pPr>
        <w:pStyle w:val="BodyText"/>
        <w:spacing w:line="240" w:lineRule="auto" w:before="115"/>
        <w:ind w:left="593" w:right="398"/>
        <w:jc w:val="left"/>
      </w:pPr>
      <w:r>
        <w:rPr>
          <w:spacing w:val="-3"/>
        </w:rPr>
        <w:t>②原“应收利息”、“应收股利”和“其他应收款”项目合并计入“其他应收款”项目；</w:t>
      </w:r>
    </w:p>
    <w:p>
      <w:pPr>
        <w:pStyle w:val="BodyText"/>
        <w:spacing w:line="240" w:lineRule="auto" w:before="115"/>
        <w:ind w:left="593" w:right="398"/>
        <w:jc w:val="left"/>
      </w:pPr>
      <w:r>
        <w:rPr>
          <w:spacing w:val="-3"/>
        </w:rPr>
        <w:t>③原“固定资产清理”和“固定资产”项目合并计入“固定资产”项目；</w:t>
      </w:r>
    </w:p>
    <w:p>
      <w:pPr>
        <w:pStyle w:val="BodyText"/>
        <w:spacing w:line="240" w:lineRule="auto" w:before="115"/>
        <w:ind w:left="593" w:right="398"/>
        <w:jc w:val="left"/>
      </w:pPr>
      <w:r>
        <w:rPr>
          <w:spacing w:val="-3"/>
        </w:rPr>
        <w:t>④原“工程物资”项目归并至“在建工程”项目；</w:t>
      </w:r>
    </w:p>
    <w:p>
      <w:pPr>
        <w:pStyle w:val="BodyText"/>
        <w:spacing w:line="240" w:lineRule="auto" w:before="115"/>
        <w:ind w:left="593" w:right="398"/>
        <w:jc w:val="left"/>
      </w:pPr>
      <w:r>
        <w:rPr>
          <w:spacing w:val="-3"/>
        </w:rPr>
        <w:t>⑤原“应付票据”和“应付账款”项目合并计入新增的“应付票据及应付账款”项目；</w:t>
      </w:r>
    </w:p>
    <w:p>
      <w:pPr>
        <w:pStyle w:val="BodyText"/>
        <w:spacing w:line="240" w:lineRule="auto" w:before="115"/>
        <w:ind w:left="593" w:right="398"/>
        <w:jc w:val="left"/>
      </w:pPr>
      <w:r>
        <w:rPr>
          <w:spacing w:val="-3"/>
        </w:rPr>
        <w:t>⑥原“应付利息”、“应付股利”和“其他应付款”项目合并计入“其他应付款”项目；</w:t>
      </w:r>
    </w:p>
    <w:p>
      <w:pPr>
        <w:pStyle w:val="BodyText"/>
        <w:spacing w:line="240" w:lineRule="auto" w:before="115"/>
        <w:ind w:left="593" w:right="398"/>
        <w:jc w:val="left"/>
      </w:pPr>
      <w:r>
        <w:rPr>
          <w:spacing w:val="-3"/>
        </w:rPr>
        <w:t>⑦原“专项应付款”项目归并至“长期应付款”项目；</w:t>
      </w:r>
    </w:p>
    <w:p>
      <w:pPr>
        <w:pStyle w:val="BodyText"/>
        <w:spacing w:line="240" w:lineRule="auto" w:before="115"/>
        <w:ind w:left="593" w:right="398"/>
        <w:jc w:val="left"/>
      </w:pPr>
      <w:r>
        <w:rPr>
          <w:spacing w:val="-3"/>
        </w:rPr>
        <w:t>⑧新增“研发费用”项目，原计入“管理费用”项目的研发费用单独列示为“研发费用”项目；</w:t>
      </w:r>
    </w:p>
    <w:p>
      <w:pPr>
        <w:pStyle w:val="BodyText"/>
        <w:spacing w:line="240" w:lineRule="auto" w:before="115"/>
        <w:ind w:left="593" w:right="398"/>
        <w:jc w:val="left"/>
      </w:pPr>
      <w:r>
        <w:rPr>
          <w:spacing w:val="-3"/>
        </w:rPr>
        <w:t>⑨在“财务费用”项目下列示“利息费用”和“利息收入”明细项目；</w:t>
      </w:r>
    </w:p>
    <w:p>
      <w:pPr>
        <w:pStyle w:val="BodyText"/>
        <w:spacing w:line="357" w:lineRule="auto" w:before="110"/>
        <w:ind w:left="233" w:right="398" w:firstLine="360"/>
        <w:jc w:val="left"/>
      </w:pPr>
      <w:r>
        <w:rPr>
          <w:spacing w:val="-5"/>
        </w:rPr>
        <w:t>⑩公司根据《中华人民共和国个人所得税法》收到的扣缴税款手续费，作为其他与日常活动相关的项目在利润表的“其</w:t>
      </w:r>
      <w:r>
        <w:rPr>
          <w:w w:val="101"/>
        </w:rPr>
        <w:t> </w:t>
      </w:r>
      <w:r>
        <w:rPr>
          <w:spacing w:val="-3"/>
        </w:rPr>
        <w:t>他收益”项目中填列，并对可比期间的比较数据进行调整；</w:t>
      </w:r>
    </w:p>
    <w:p>
      <w:pPr>
        <w:pStyle w:val="BodyText"/>
        <w:spacing w:line="496" w:lineRule="exact"/>
        <w:ind w:left="593" w:right="398"/>
        <w:jc w:val="left"/>
      </w:pPr>
      <w:r>
        <w:rPr>
          <w:rFonts w:ascii="Cambria Math" w:hAnsi="Cambria Math" w:cs="Cambria Math" w:eastAsia="Cambria Math" w:hint="default"/>
          <w:spacing w:val="-3"/>
        </w:rPr>
        <w:t>⑪</w:t>
      </w:r>
      <w:r>
        <w:rPr>
          <w:spacing w:val="-3"/>
        </w:rPr>
        <w:t>公司实际收到的政府补助，无论是与资产相关还是与收益相关，在编制现金流量表时均作为经营活动产生的现金流</w:t>
      </w:r>
    </w:p>
    <w:p>
      <w:pPr>
        <w:pStyle w:val="BodyText"/>
        <w:spacing w:line="118" w:lineRule="exact"/>
        <w:ind w:left="233" w:right="398"/>
        <w:jc w:val="left"/>
      </w:pPr>
      <w:r>
        <w:rPr/>
        <w:t>量列报。</w:t>
      </w:r>
    </w:p>
    <w:p>
      <w:pPr>
        <w:pStyle w:val="BodyText"/>
        <w:spacing w:line="240" w:lineRule="auto" w:before="115"/>
        <w:ind w:left="593" w:right="398"/>
        <w:jc w:val="left"/>
      </w:pPr>
      <w:r>
        <w:rPr>
          <w:spacing w:val="-3"/>
        </w:rPr>
        <w:t>对本期期末财务报表的影响列示如下：</w:t>
      </w:r>
    </w:p>
    <w:p>
      <w:pPr>
        <w:pStyle w:val="BodyText"/>
        <w:spacing w:line="240" w:lineRule="auto" w:before="115"/>
        <w:ind w:left="0" w:right="1122"/>
        <w:jc w:val="right"/>
      </w:pPr>
      <w:r>
        <w:rPr>
          <w:spacing w:val="-2"/>
        </w:rPr>
        <w:t>单位：元</w:t>
      </w:r>
    </w:p>
    <w:p>
      <w:pPr>
        <w:spacing w:line="240" w:lineRule="auto" w:before="4"/>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468"/>
        <w:gridCol w:w="2463"/>
        <w:gridCol w:w="2463"/>
        <w:gridCol w:w="2463"/>
      </w:tblGrid>
      <w:tr>
        <w:trPr>
          <w:trHeight w:val="3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3" w:right="0"/>
              <w:jc w:val="left"/>
              <w:rPr>
                <w:rFonts w:ascii="宋体" w:hAnsi="宋体" w:cs="宋体" w:eastAsia="宋体" w:hint="default"/>
                <w:sz w:val="18"/>
                <w:szCs w:val="18"/>
              </w:rPr>
            </w:pPr>
            <w:r>
              <w:rPr>
                <w:rFonts w:ascii="宋体" w:hAnsi="宋体" w:cs="宋体" w:eastAsia="宋体" w:hint="default"/>
                <w:sz w:val="18"/>
                <w:szCs w:val="18"/>
              </w:rPr>
              <w:t>按原报表列示金额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8" w:right="0"/>
              <w:jc w:val="left"/>
              <w:rPr>
                <w:rFonts w:ascii="宋体" w:hAnsi="宋体" w:cs="宋体" w:eastAsia="宋体" w:hint="default"/>
                <w:sz w:val="18"/>
                <w:szCs w:val="18"/>
              </w:rPr>
            </w:pPr>
            <w:r>
              <w:rPr>
                <w:rFonts w:ascii="宋体" w:hAnsi="宋体" w:cs="宋体" w:eastAsia="宋体" w:hint="default"/>
                <w:sz w:val="18"/>
                <w:szCs w:val="18"/>
              </w:rPr>
              <w:t>按新报表列示金额</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391,523,120.23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-391,523,120.23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391,523,120.23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spacing w:val="-1"/>
                <w:sz w:val="18"/>
              </w:rPr>
              <w:t>391,523,120.23</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315,616.44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-315,616.44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43,580,786.01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315,616.44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spacing w:val="-1"/>
                <w:sz w:val="18"/>
              </w:rPr>
              <w:t>43,896,402.45</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55,722,833.97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-55,722,833.97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45,562,442.24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-45,562,442.24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101,285,276.21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4"/>
              <w:jc w:val="right"/>
              <w:rPr>
                <w:rFonts w:ascii="Times New Roman" w:hAnsi="Times New Roman" w:cs="Times New Roman" w:eastAsia="Times New Roman" w:hint="default"/>
                <w:sz w:val="18"/>
                <w:szCs w:val="18"/>
              </w:rPr>
            </w:pPr>
            <w:r>
              <w:rPr>
                <w:rFonts w:ascii="Times New Roman"/>
                <w:spacing w:val="-1"/>
                <w:sz w:val="18"/>
              </w:rPr>
              <w:t>101,285,276.21</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669,234.71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-669,234.71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18,213,033.35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669,234.71</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spacing w:val="-1"/>
                <w:sz w:val="18"/>
              </w:rPr>
              <w:t>18,882,268.06</w:t>
            </w:r>
          </w:p>
        </w:tc>
      </w:tr>
      <w:tr>
        <w:trPr>
          <w:trHeight w:val="3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2"/>
                <w:sz w:val="18"/>
              </w:rPr>
              <w:t>119,476,042.67</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-40,622,464.36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spacing w:val="-1"/>
                <w:sz w:val="18"/>
              </w:rPr>
              <w:t>78,853,578.31</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40,622,464.36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4"/>
              <w:jc w:val="right"/>
              <w:rPr>
                <w:rFonts w:ascii="Times New Roman" w:hAnsi="Times New Roman" w:cs="Times New Roman" w:eastAsia="Times New Roman" w:hint="default"/>
                <w:sz w:val="18"/>
                <w:szCs w:val="18"/>
              </w:rPr>
            </w:pPr>
            <w:r>
              <w:rPr>
                <w:rFonts w:ascii="Times New Roman"/>
                <w:spacing w:val="-1"/>
                <w:sz w:val="18"/>
              </w:rPr>
              <w:t>40,622,464.36</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3,750,978.96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-27,908.75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spacing w:val="-1"/>
                <w:sz w:val="18"/>
              </w:rPr>
              <w:t>3,723,070.21</w:t>
            </w:r>
          </w:p>
        </w:tc>
      </w:tr>
      <w:tr>
        <w:trPr>
          <w:trHeight w:val="32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8,152,485.05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27,908.75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spacing w:val="-1"/>
                <w:sz w:val="18"/>
              </w:rPr>
              <w:t>8,180,393.80</w:t>
            </w:r>
          </w:p>
        </w:tc>
      </w:tr>
    </w:tbl>
    <w:p>
      <w:pPr>
        <w:spacing w:line="240" w:lineRule="auto" w:before="10"/>
        <w:rPr>
          <w:rFonts w:ascii="宋体" w:hAnsi="宋体" w:cs="宋体" w:eastAsia="宋体" w:hint="default"/>
          <w:sz w:val="20"/>
          <w:szCs w:val="20"/>
        </w:rPr>
      </w:pPr>
    </w:p>
    <w:p>
      <w:pPr>
        <w:pStyle w:val="BodyText"/>
        <w:spacing w:line="357" w:lineRule="auto" w:before="46"/>
        <w:ind w:left="233" w:right="398" w:firstLine="360"/>
        <w:jc w:val="left"/>
      </w:pPr>
      <w:r>
        <w:rPr>
          <w:spacing w:val="-6"/>
          <w:w w:val="101"/>
        </w:rPr>
        <w:t>除上述项目变动影响外，本次会计政策变更不涉及对公司以前年度的追溯调整。本次会计政策的变更不会对公司总资产、</w:t>
      </w:r>
      <w:r>
        <w:rPr>
          <w:w w:val="101"/>
        </w:rPr>
        <w:t> </w:t>
      </w:r>
      <w:r>
        <w:rPr>
          <w:spacing w:val="-3"/>
        </w:rPr>
        <w:t>负债总额、净资产及净利润产生任何影响。</w:t>
      </w:r>
    </w:p>
    <w:p>
      <w:pPr>
        <w:spacing w:line="240" w:lineRule="auto" w:before="4"/>
        <w:rPr>
          <w:rFonts w:ascii="宋体" w:hAnsi="宋体" w:cs="宋体" w:eastAsia="宋体" w:hint="default"/>
          <w:sz w:val="24"/>
          <w:szCs w:val="24"/>
        </w:rPr>
      </w:pPr>
    </w:p>
    <w:p>
      <w:pPr>
        <w:pStyle w:val="Heading3"/>
        <w:spacing w:line="240" w:lineRule="auto"/>
        <w:ind w:left="233" w:right="39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233" w:right="39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00" w:right="0"/>
        </w:sectPr>
      </w:pPr>
    </w:p>
    <w:p>
      <w:pPr>
        <w:spacing w:line="240" w:lineRule="auto" w:before="2"/>
        <w:rPr>
          <w:rFonts w:ascii="宋体" w:hAnsi="宋体" w:cs="宋体" w:eastAsia="宋体" w:hint="default"/>
          <w:sz w:val="19"/>
          <w:szCs w:val="19"/>
        </w:rPr>
      </w:pPr>
    </w:p>
    <w:p>
      <w:pPr>
        <w:pStyle w:val="Heading2"/>
        <w:spacing w:line="240" w:lineRule="auto" w:before="26"/>
        <w:ind w:right="1055"/>
        <w:jc w:val="left"/>
        <w:rPr>
          <w:b w:val="0"/>
          <w:bCs w:val="0"/>
        </w:rPr>
      </w:pPr>
      <w:r>
        <w:rPr/>
        <w:t>六、税项</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产品销售收入、服务收入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pStyle w:val="BodyText"/>
        <w:spacing w:line="240" w:lineRule="auto" w:before="10"/>
        <w:ind w:right="1055"/>
        <w:jc w:val="left"/>
      </w:pPr>
      <w:r>
        <w:rPr>
          <w:spacing w:val="-3"/>
        </w:rPr>
        <w:t>存在不同企业所得税税率纳税主体的，披露情况说明</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深圳市银之杰科技股份有限公司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深圳市科安电子商务有限公司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安尼数码（香港）科技有限公司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深圳银之杰智慧科技有限公司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深圳市银之杰金融设备有限公司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深圳银之杰拓扑技术有限公司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深圳银之杰资产管理有限公司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left="513" w:right="2850"/>
        <w:jc w:val="left"/>
      </w:pPr>
      <w:r>
        <w:rPr>
          <w:spacing w:val="-3"/>
        </w:rPr>
        <w:t>（</w:t>
      </w:r>
      <w:r>
        <w:rPr>
          <w:rFonts w:ascii="宋体" w:hAnsi="宋体" w:cs="宋体" w:eastAsia="宋体" w:hint="default"/>
          <w:spacing w:val="-3"/>
        </w:rPr>
        <w:t>1</w:t>
      </w:r>
      <w:r>
        <w:rPr>
          <w:spacing w:val="-3"/>
        </w:rPr>
        <w:t>）增值税及享受的税收优惠政策</w:t>
      </w:r>
      <w:r>
        <w:rPr>
          <w:spacing w:val="-40"/>
        </w:rPr>
        <w:t> </w:t>
      </w:r>
      <w:r>
        <w:rPr>
          <w:spacing w:val="-40"/>
        </w:rPr>
      </w:r>
      <w:r>
        <w:rPr>
          <w:spacing w:val="-3"/>
        </w:rPr>
        <w:t>本公司及控股子公司为增值税一般纳税人，适用</w:t>
      </w:r>
      <w:r>
        <w:rPr>
          <w:rFonts w:ascii="宋体" w:hAnsi="宋体" w:cs="宋体" w:eastAsia="宋体" w:hint="default"/>
          <w:spacing w:val="-3"/>
        </w:rPr>
        <w:t>16%</w:t>
      </w:r>
      <w:r>
        <w:rPr>
          <w:spacing w:val="-3"/>
        </w:rPr>
        <w:t>的基本税率。</w:t>
      </w:r>
    </w:p>
    <w:p>
      <w:pPr>
        <w:pStyle w:val="BodyText"/>
        <w:spacing w:line="355" w:lineRule="auto" w:before="26"/>
        <w:ind w:right="1055" w:firstLine="360"/>
        <w:jc w:val="left"/>
      </w:pPr>
      <w:r>
        <w:rPr>
          <w:spacing w:val="-3"/>
        </w:rPr>
        <w:t>根据财政部、国家税务总局</w:t>
      </w: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13</w:t>
      </w:r>
      <w:r>
        <w:rPr>
          <w:spacing w:val="-3"/>
        </w:rPr>
        <w:t>日发布的《财政部、国家税务总局关于软件产品增值税政策的通知》（财税</w:t>
      </w:r>
      <w:r>
        <w:rPr>
          <w:w w:val="101"/>
        </w:rPr>
        <w:t> </w:t>
      </w:r>
      <w:r>
        <w:rPr>
          <w:rFonts w:ascii="宋体" w:hAnsi="宋体" w:cs="宋体" w:eastAsia="宋体" w:hint="default"/>
          <w:spacing w:val="-3"/>
        </w:rPr>
        <w:t>[2011]100</w:t>
      </w:r>
      <w:r>
        <w:rPr>
          <w:spacing w:val="-3"/>
        </w:rPr>
        <w:t>号文）的有关规定，自</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日起对增值税一般纳税人销售其自行开发生产的软件产品，按</w:t>
      </w:r>
      <w:r>
        <w:rPr>
          <w:rFonts w:ascii="宋体" w:hAnsi="宋体" w:cs="宋体" w:eastAsia="宋体" w:hint="default"/>
          <w:spacing w:val="-3"/>
        </w:rPr>
        <w:t>16</w:t>
      </w:r>
      <w:r>
        <w:rPr>
          <w:spacing w:val="-3"/>
        </w:rPr>
        <w:t>％的法定税率</w:t>
      </w:r>
      <w:r>
        <w:rPr>
          <w:spacing w:val="8"/>
        </w:rPr>
        <w:t> </w:t>
      </w:r>
      <w:r>
        <w:rPr>
          <w:spacing w:val="8"/>
        </w:rPr>
      </w:r>
      <w:r>
        <w:rPr>
          <w:spacing w:val="-3"/>
        </w:rPr>
        <w:t>征收增值税后，对其增值税实际税负超过</w:t>
      </w:r>
      <w:r>
        <w:rPr>
          <w:rFonts w:ascii="宋体" w:hAnsi="宋体" w:cs="宋体" w:eastAsia="宋体" w:hint="default"/>
          <w:spacing w:val="-3"/>
        </w:rPr>
        <w:t>3</w:t>
      </w:r>
      <w:r>
        <w:rPr>
          <w:spacing w:val="-3"/>
        </w:rPr>
        <w:t>％的部分实行即征即退政策。</w:t>
      </w:r>
    </w:p>
    <w:p>
      <w:pPr>
        <w:pStyle w:val="BodyText"/>
        <w:spacing w:line="357" w:lineRule="auto" w:before="28"/>
        <w:ind w:right="1055" w:firstLine="360"/>
        <w:jc w:val="left"/>
      </w:pPr>
      <w:r>
        <w:rPr>
          <w:spacing w:val="-4"/>
        </w:rPr>
        <w:t>根据财税</w:t>
      </w:r>
      <w:r>
        <w:rPr>
          <w:rFonts w:ascii="宋体" w:hAnsi="宋体" w:cs="宋体" w:eastAsia="宋体" w:hint="default"/>
          <w:spacing w:val="-4"/>
        </w:rPr>
        <w:t>[2011]131</w:t>
      </w:r>
      <w:r>
        <w:rPr>
          <w:spacing w:val="-4"/>
        </w:rPr>
        <w:t>号《财政部</w:t>
      </w:r>
      <w:r>
        <w:rPr>
          <w:spacing w:val="33"/>
        </w:rPr>
        <w:t> </w:t>
      </w:r>
      <w:r>
        <w:rPr>
          <w:spacing w:val="-4"/>
        </w:rPr>
        <w:t>国家税务总局关于应税服务适用增值税零税率和免税政策的通知》，试点地区的单位和</w:t>
      </w:r>
      <w:r>
        <w:rPr>
          <w:w w:val="101"/>
        </w:rPr>
        <w:t> </w:t>
      </w:r>
      <w:r>
        <w:rPr>
          <w:spacing w:val="-3"/>
        </w:rPr>
        <w:t>个人提供适用零税率的应税服务，按月向主管退税的税务机关申报办理增值税免抵退税或免税手续。</w:t>
      </w:r>
    </w:p>
    <w:p>
      <w:pPr>
        <w:pStyle w:val="BodyText"/>
        <w:spacing w:line="240" w:lineRule="auto" w:before="26"/>
        <w:ind w:left="513" w:right="1055"/>
        <w:jc w:val="left"/>
      </w:pPr>
      <w:r>
        <w:rPr>
          <w:spacing w:val="-3"/>
        </w:rPr>
        <w:t>（</w:t>
      </w:r>
      <w:r>
        <w:rPr>
          <w:rFonts w:ascii="宋体" w:hAnsi="宋体" w:cs="宋体" w:eastAsia="宋体" w:hint="default"/>
          <w:spacing w:val="-3"/>
        </w:rPr>
        <w:t>2</w:t>
      </w:r>
      <w:r>
        <w:rPr>
          <w:spacing w:val="-3"/>
        </w:rPr>
        <w:t>）企业所得税及享受的税收优惠政策</w:t>
      </w:r>
    </w:p>
    <w:p>
      <w:pPr>
        <w:pStyle w:val="BodyText"/>
        <w:spacing w:line="357" w:lineRule="auto" w:before="115"/>
        <w:ind w:right="1122" w:firstLine="360"/>
        <w:jc w:val="both"/>
      </w:pPr>
      <w:r>
        <w:rPr/>
        <w:t>①本公司于</w:t>
      </w:r>
      <w:r>
        <w:rPr>
          <w:rFonts w:ascii="宋体" w:hAnsi="宋体" w:cs="宋体" w:eastAsia="宋体" w:hint="default"/>
        </w:rPr>
        <w:t>2017 </w:t>
      </w:r>
      <w:r>
        <w:rPr/>
        <w:t>年</w:t>
      </w:r>
      <w:r>
        <w:rPr>
          <w:rFonts w:ascii="宋体" w:hAnsi="宋体" w:cs="宋体" w:eastAsia="宋体" w:hint="default"/>
        </w:rPr>
        <w:t>10</w:t>
      </w:r>
      <w:r>
        <w:rPr>
          <w:rFonts w:ascii="宋体" w:hAnsi="宋体" w:cs="宋体" w:eastAsia="宋体" w:hint="default"/>
          <w:spacing w:val="30"/>
        </w:rPr>
        <w:t> </w:t>
      </w:r>
      <w:r>
        <w:rPr>
          <w:spacing w:val="-5"/>
        </w:rPr>
        <w:t>月</w:t>
      </w:r>
      <w:r>
        <w:rPr>
          <w:rFonts w:ascii="宋体" w:hAnsi="宋体" w:cs="宋体" w:eastAsia="宋体" w:hint="default"/>
          <w:spacing w:val="-5"/>
        </w:rPr>
        <w:t>31</w:t>
      </w:r>
      <w:r>
        <w:rPr>
          <w:spacing w:val="-5"/>
        </w:rPr>
        <w:t>日通过高新技术企业重新认定，取得深圳市科技创新委员会、深圳市财政委员会、深圳市国</w:t>
      </w:r>
      <w:r>
        <w:rPr>
          <w:w w:val="101"/>
        </w:rPr>
        <w:t> </w:t>
      </w:r>
      <w:r>
        <w:rPr>
          <w:spacing w:val="-4"/>
        </w:rPr>
        <w:t>家税务局、深圳市地方税务局联合下发的《高新技术企业证书》，有效期三年。根据相关规定，公司自</w:t>
      </w:r>
      <w:r>
        <w:rPr>
          <w:rFonts w:ascii="宋体" w:hAnsi="宋体" w:cs="宋体" w:eastAsia="宋体" w:hint="default"/>
          <w:spacing w:val="-4"/>
        </w:rPr>
        <w:t>2017</w:t>
      </w:r>
      <w:r>
        <w:rPr>
          <w:spacing w:val="-4"/>
        </w:rPr>
        <w:t>年度起连续三年</w:t>
      </w:r>
      <w:r>
        <w:rPr>
          <w:spacing w:val="49"/>
        </w:rPr>
        <w:t> </w:t>
      </w:r>
      <w:r>
        <w:rPr>
          <w:spacing w:val="49"/>
        </w:rPr>
      </w:r>
      <w:r>
        <w:rPr>
          <w:spacing w:val="-3"/>
        </w:rPr>
        <w:t>内将继续享受高新技术企业的相关优惠政策，即按</w:t>
      </w:r>
      <w:r>
        <w:rPr>
          <w:rFonts w:ascii="宋体" w:hAnsi="宋体" w:cs="宋体" w:eastAsia="宋体" w:hint="default"/>
          <w:spacing w:val="-3"/>
        </w:rPr>
        <w:t>15%</w:t>
      </w:r>
      <w:r>
        <w:rPr>
          <w:spacing w:val="-3"/>
        </w:rPr>
        <w:t>的税率缴纳企业所得税。</w:t>
      </w:r>
    </w:p>
    <w:p>
      <w:pPr>
        <w:pStyle w:val="BodyText"/>
        <w:spacing w:line="357" w:lineRule="auto" w:before="27"/>
        <w:ind w:right="1055" w:firstLine="360"/>
        <w:jc w:val="left"/>
      </w:pPr>
      <w:r>
        <w:rPr>
          <w:spacing w:val="-3"/>
          <w:w w:val="101"/>
        </w:rPr>
        <w:t>②本公司的控股子公司北京亿美软通科技有限公司于</w:t>
      </w:r>
      <w:r>
        <w:rPr>
          <w:rFonts w:ascii="宋体" w:hAnsi="宋体" w:cs="宋体" w:eastAsia="宋体" w:hint="default"/>
          <w:spacing w:val="-3"/>
          <w:w w:val="101"/>
        </w:rPr>
        <w:t>2017</w:t>
      </w:r>
      <w:r>
        <w:rPr>
          <w:rFonts w:ascii="宋体" w:hAnsi="宋体" w:cs="宋体" w:eastAsia="宋体" w:hint="default"/>
          <w:w w:val="101"/>
        </w:rPr>
        <w:t> </w:t>
      </w:r>
      <w:r>
        <w:rPr>
          <w:spacing w:val="-4"/>
          <w:w w:val="101"/>
        </w:rPr>
        <w:t>年</w:t>
      </w:r>
      <w:r>
        <w:rPr>
          <w:rFonts w:ascii="宋体" w:hAnsi="宋体" w:cs="宋体" w:eastAsia="宋体" w:hint="default"/>
          <w:spacing w:val="-4"/>
          <w:w w:val="101"/>
        </w:rPr>
        <w:t>10</w:t>
      </w:r>
      <w:r>
        <w:rPr>
          <w:rFonts w:ascii="宋体" w:hAnsi="宋体" w:cs="宋体" w:eastAsia="宋体" w:hint="default"/>
          <w:w w:val="101"/>
        </w:rPr>
        <w:t> </w:t>
      </w:r>
      <w:r>
        <w:rPr>
          <w:w w:val="101"/>
        </w:rPr>
        <w:t>月 </w:t>
      </w:r>
      <w:r>
        <w:rPr>
          <w:rFonts w:ascii="宋体" w:hAnsi="宋体" w:cs="宋体" w:eastAsia="宋体" w:hint="default"/>
          <w:w w:val="101"/>
        </w:rPr>
        <w:t>25</w:t>
      </w:r>
      <w:r>
        <w:rPr>
          <w:rFonts w:ascii="宋体" w:hAnsi="宋体" w:cs="宋体" w:eastAsia="宋体" w:hint="default"/>
          <w:spacing w:val="19"/>
          <w:w w:val="101"/>
        </w:rPr>
        <w:t> </w:t>
      </w:r>
      <w:r>
        <w:rPr>
          <w:spacing w:val="-7"/>
          <w:w w:val="101"/>
        </w:rPr>
        <w:t>日通过高新技术企业重新认定，取得北京市科学</w:t>
      </w:r>
      <w:r>
        <w:rPr>
          <w:w w:val="101"/>
        </w:rPr>
        <w:t> </w:t>
      </w:r>
      <w:r>
        <w:rPr>
          <w:spacing w:val="-3"/>
        </w:rPr>
        <w:t>技术委员会、北京市财政委员会、北京市国家税务局、北京市地方税务局联合下发的《高新技术企业证书》，有效期三年。</w:t>
      </w:r>
      <w:r>
        <w:rPr>
          <w:spacing w:val="66"/>
        </w:rPr>
        <w:t> </w:t>
      </w:r>
      <w:r>
        <w:rPr>
          <w:spacing w:val="66"/>
        </w:rPr>
      </w:r>
      <w:r>
        <w:rPr>
          <w:spacing w:val="-3"/>
        </w:rPr>
        <w:t>根据相关规定，公司自</w:t>
      </w:r>
      <w:r>
        <w:rPr>
          <w:rFonts w:ascii="宋体" w:hAnsi="宋体" w:cs="宋体" w:eastAsia="宋体" w:hint="default"/>
          <w:spacing w:val="-3"/>
        </w:rPr>
        <w:t>2017</w:t>
      </w:r>
      <w:r>
        <w:rPr>
          <w:spacing w:val="-3"/>
        </w:rPr>
        <w:t>年度起连续三年内将继续享受高新技术企业的相关优惠政策，即按</w:t>
      </w:r>
      <w:r>
        <w:rPr>
          <w:rFonts w:ascii="宋体" w:hAnsi="宋体" w:cs="宋体" w:eastAsia="宋体" w:hint="default"/>
          <w:spacing w:val="-3"/>
        </w:rPr>
        <w:t>15%</w:t>
      </w:r>
      <w:r>
        <w:rPr>
          <w:spacing w:val="-3"/>
        </w:rPr>
        <w:t>的税率缴纳企业所得税。</w:t>
      </w:r>
    </w:p>
    <w:p>
      <w:pPr>
        <w:pStyle w:val="BodyText"/>
        <w:spacing w:line="357" w:lineRule="auto" w:before="26"/>
        <w:ind w:right="1122" w:firstLine="360"/>
        <w:jc w:val="both"/>
      </w:pPr>
      <w:r>
        <w:rPr>
          <w:spacing w:val="-3"/>
        </w:rPr>
        <w:t>③本公司的控股子公司安科创新（深圳）有限公司于</w:t>
      </w:r>
      <w:r>
        <w:rPr>
          <w:rFonts w:ascii="宋体" w:hAnsi="宋体" w:cs="宋体" w:eastAsia="宋体" w:hint="default"/>
          <w:spacing w:val="-3"/>
        </w:rPr>
        <w:t>2017 </w:t>
      </w:r>
      <w:r>
        <w:rPr>
          <w:spacing w:val="-3"/>
        </w:rPr>
        <w:t>年</w:t>
      </w:r>
      <w:r>
        <w:rPr>
          <w:rFonts w:ascii="宋体" w:hAnsi="宋体" w:cs="宋体" w:eastAsia="宋体" w:hint="default"/>
          <w:spacing w:val="-3"/>
        </w:rPr>
        <w:t>8 </w:t>
      </w:r>
      <w:r>
        <w:rPr/>
        <w:t>月 </w:t>
      </w:r>
      <w:r>
        <w:rPr>
          <w:rFonts w:ascii="宋体" w:hAnsi="宋体" w:cs="宋体" w:eastAsia="宋体" w:hint="default"/>
          <w:spacing w:val="-3"/>
        </w:rPr>
        <w:t>17</w:t>
      </w:r>
      <w:r>
        <w:rPr>
          <w:rFonts w:ascii="宋体" w:hAnsi="宋体" w:cs="宋体" w:eastAsia="宋体" w:hint="default"/>
          <w:spacing w:val="63"/>
        </w:rPr>
        <w:t> </w:t>
      </w:r>
      <w:r>
        <w:rPr>
          <w:spacing w:val="-3"/>
        </w:rPr>
        <w:t>日通过高新技术企业认定，取得深圳市科技创新</w:t>
      </w:r>
      <w:r>
        <w:rPr>
          <w:w w:val="101"/>
        </w:rPr>
        <w:t> </w:t>
      </w:r>
      <w:r>
        <w:rPr>
          <w:spacing w:val="-4"/>
        </w:rPr>
        <w:t>委员会、深圳市财政委员会、深圳市国家税务局、深圳市地方税务局联合下发的《高新技术企业证书》，有效期三年。根据</w:t>
      </w:r>
      <w:r>
        <w:rPr>
          <w:spacing w:val="41"/>
        </w:rPr>
        <w:t> </w:t>
      </w:r>
      <w:r>
        <w:rPr>
          <w:spacing w:val="41"/>
        </w:rPr>
      </w:r>
      <w:r>
        <w:rPr>
          <w:spacing w:val="-3"/>
        </w:rPr>
        <w:t>相关规定，公司自</w:t>
      </w:r>
      <w:r>
        <w:rPr>
          <w:rFonts w:ascii="宋体" w:hAnsi="宋体" w:cs="宋体" w:eastAsia="宋体" w:hint="default"/>
          <w:spacing w:val="-3"/>
        </w:rPr>
        <w:t>2017</w:t>
      </w:r>
      <w:r>
        <w:rPr>
          <w:spacing w:val="-3"/>
        </w:rPr>
        <w:t>年度起连续三年内享受高新技术企业的相关优惠政策，即按</w:t>
      </w:r>
      <w:r>
        <w:rPr>
          <w:rFonts w:ascii="宋体" w:hAnsi="宋体" w:cs="宋体" w:eastAsia="宋体" w:hint="default"/>
          <w:spacing w:val="-3"/>
        </w:rPr>
        <w:t>15%</w:t>
      </w:r>
      <w:r>
        <w:rPr>
          <w:spacing w:val="-3"/>
        </w:rPr>
        <w:t>的税率缴纳企业所得税。</w:t>
      </w:r>
    </w:p>
    <w:p>
      <w:pPr>
        <w:spacing w:after="0" w:line="357" w:lineRule="auto"/>
        <w:jc w:val="both"/>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497" w:right="10027"/>
        <w:jc w:val="center"/>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055"/>
        <w:jc w:val="left"/>
        <w:rPr>
          <w:b w:val="0"/>
          <w:bCs w:val="0"/>
        </w:rPr>
      </w:pPr>
      <w:r>
        <w:rPr/>
        <w:t>七、合并财务报表项目注释</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702,057.43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428,768.66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360,287,080.90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284,529,739.49</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28,809,830.16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18,379,251.59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389,798,968.49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303,337,759.74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32,008,454.75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29,937,457.50</w:t>
            </w:r>
          </w:p>
        </w:tc>
      </w:tr>
    </w:tbl>
    <w:p>
      <w:pPr>
        <w:pStyle w:val="BodyText"/>
        <w:spacing w:line="240" w:lineRule="auto" w:before="10"/>
        <w:ind w:right="1055"/>
        <w:jc w:val="left"/>
      </w:pPr>
      <w:r>
        <w:rPr/>
        <w:t>其他说明</w:t>
      </w:r>
    </w:p>
    <w:p>
      <w:pPr>
        <w:pStyle w:val="BodyText"/>
        <w:spacing w:line="357" w:lineRule="auto" w:before="38"/>
        <w:ind w:right="1055" w:firstLine="360"/>
        <w:jc w:val="left"/>
      </w:pPr>
      <w:r>
        <w:rPr>
          <w:spacing w:val="-2"/>
        </w:rPr>
        <w:t>其他货币资金中：</w:t>
      </w:r>
      <w:r>
        <w:rPr>
          <w:rFonts w:ascii="宋体" w:hAnsi="宋体" w:cs="宋体" w:eastAsia="宋体" w:hint="default"/>
          <w:spacing w:val="-2"/>
        </w:rPr>
        <w:t>11,950,000.00</w:t>
      </w:r>
      <w:r>
        <w:rPr>
          <w:spacing w:val="-2"/>
        </w:rPr>
        <w:t>元为本公司向银行申请开具承兑汇票保证金；</w:t>
      </w:r>
      <w:r>
        <w:rPr>
          <w:rFonts w:ascii="宋体" w:hAnsi="宋体" w:cs="宋体" w:eastAsia="宋体" w:hint="default"/>
          <w:spacing w:val="-2"/>
        </w:rPr>
        <w:t>449,506.60</w:t>
      </w:r>
      <w:r>
        <w:rPr>
          <w:spacing w:val="-2"/>
        </w:rPr>
        <w:t>元系本公司向银行申请开具</w:t>
      </w:r>
      <w:r>
        <w:rPr>
          <w:w w:val="101"/>
        </w:rPr>
        <w:t> </w:t>
      </w:r>
      <w:r>
        <w:rPr>
          <w:spacing w:val="-3"/>
        </w:rPr>
        <w:t>保函保证金；通过在第三方平台（</w:t>
      </w:r>
      <w:r>
        <w:rPr>
          <w:rFonts w:ascii="宋体" w:hAnsi="宋体" w:cs="宋体" w:eastAsia="宋体" w:hint="default"/>
          <w:spacing w:val="-3"/>
        </w:rPr>
        <w:t>ebay</w:t>
      </w:r>
      <w:r>
        <w:rPr>
          <w:spacing w:val="-3"/>
        </w:rPr>
        <w:t>、亚马逊等）开立的代收货款账户资金余额</w:t>
      </w:r>
      <w:r>
        <w:rPr>
          <w:rFonts w:ascii="宋体" w:hAnsi="宋体" w:cs="宋体" w:eastAsia="宋体" w:hint="default"/>
          <w:spacing w:val="-3"/>
        </w:rPr>
        <w:t>16,410,323.56</w:t>
      </w:r>
      <w:r>
        <w:rPr>
          <w:spacing w:val="-3"/>
        </w:rPr>
        <w:t>元。</w:t>
      </w:r>
      <w:r>
        <w:rPr/>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387,092,859.87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288,950,320.88</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387,092,859.87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2"/>
                <w:sz w:val="18"/>
              </w:rPr>
              <w:t>288,950,320.88</w:t>
            </w:r>
            <w:r>
              <w:rPr>
                <w:rFonts w:ascii="Times New Roman"/>
                <w:sz w:val="18"/>
              </w:rPr>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1)</w:t>
      </w:r>
      <w:r>
        <w:rPr/>
        <w:t>应收账款分类披露</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8"/>
        <w:gridCol w:w="653"/>
        <w:gridCol w:w="764"/>
        <w:gridCol w:w="816"/>
        <w:gridCol w:w="932"/>
        <w:gridCol w:w="932"/>
      </w:tblGrid>
      <w:tr>
        <w:trPr>
          <w:trHeight w:val="317"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9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425,532,</w:t>
            </w:r>
          </w:p>
          <w:p>
            <w:pPr>
              <w:pStyle w:val="TableParagraph"/>
              <w:spacing w:line="240" w:lineRule="auto" w:before="4"/>
              <w:ind w:left="216" w:right="0"/>
              <w:jc w:val="center"/>
              <w:rPr>
                <w:rFonts w:ascii="Times New Roman" w:hAnsi="Times New Roman" w:cs="Times New Roman" w:eastAsia="Times New Roman" w:hint="default"/>
                <w:sz w:val="18"/>
                <w:szCs w:val="18"/>
              </w:rPr>
            </w:pPr>
            <w:r>
              <w:rPr>
                <w:rFonts w:ascii="Times New Roman"/>
                <w:sz w:val="18"/>
              </w:rPr>
              <w:t>703.64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38,439,8</w:t>
            </w:r>
          </w:p>
          <w:p>
            <w:pPr>
              <w:pStyle w:val="TableParagraph"/>
              <w:spacing w:line="240" w:lineRule="auto" w:before="4"/>
              <w:ind w:left="326" w:right="0"/>
              <w:jc w:val="left"/>
              <w:rPr>
                <w:rFonts w:ascii="Times New Roman" w:hAnsi="Times New Roman" w:cs="Times New Roman" w:eastAsia="Times New Roman" w:hint="default"/>
                <w:sz w:val="18"/>
                <w:szCs w:val="18"/>
              </w:rPr>
            </w:pPr>
            <w:r>
              <w:rPr>
                <w:rFonts w:ascii="Times New Roman"/>
                <w:sz w:val="18"/>
              </w:rPr>
              <w:t>43.77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387,092,8</w:t>
            </w:r>
          </w:p>
          <w:p>
            <w:pPr>
              <w:pStyle w:val="TableParagraph"/>
              <w:spacing w:line="240" w:lineRule="auto" w:before="4"/>
              <w:ind w:left="355" w:right="0"/>
              <w:jc w:val="left"/>
              <w:rPr>
                <w:rFonts w:ascii="Times New Roman" w:hAnsi="Times New Roman" w:cs="Times New Roman" w:eastAsia="Times New Roman" w:hint="default"/>
                <w:sz w:val="18"/>
                <w:szCs w:val="18"/>
              </w:rPr>
            </w:pPr>
            <w:r>
              <w:rPr>
                <w:rFonts w:ascii="Times New Roman"/>
                <w:sz w:val="18"/>
              </w:rPr>
              <w:t>59.87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317,643</w:t>
            </w:r>
          </w:p>
          <w:p>
            <w:pPr>
              <w:pStyle w:val="TableParagraph"/>
              <w:spacing w:line="240" w:lineRule="auto" w:before="4"/>
              <w:ind w:left="86" w:right="0"/>
              <w:jc w:val="left"/>
              <w:rPr>
                <w:rFonts w:ascii="Times New Roman" w:hAnsi="Times New Roman" w:cs="Times New Roman" w:eastAsia="Times New Roman" w:hint="default"/>
                <w:sz w:val="18"/>
                <w:szCs w:val="18"/>
              </w:rPr>
            </w:pPr>
            <w:r>
              <w:rPr>
                <w:rFonts w:ascii="Times New Roman"/>
                <w:sz w:val="18"/>
              </w:rPr>
              <w:t>,691.21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28,693,37</w:t>
            </w:r>
          </w:p>
          <w:p>
            <w:pPr>
              <w:pStyle w:val="TableParagraph"/>
              <w:spacing w:line="240" w:lineRule="auto" w:before="4"/>
              <w:ind w:left="465" w:right="0"/>
              <w:jc w:val="left"/>
              <w:rPr>
                <w:rFonts w:ascii="Times New Roman" w:hAnsi="Times New Roman" w:cs="Times New Roman" w:eastAsia="Times New Roman" w:hint="default"/>
                <w:sz w:val="18"/>
                <w:szCs w:val="18"/>
              </w:rPr>
            </w:pPr>
            <w:r>
              <w:rPr>
                <w:rFonts w:ascii="Times New Roman"/>
                <w:sz w:val="18"/>
              </w:rPr>
              <w:t>0.33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288,950,32</w:t>
            </w:r>
          </w:p>
          <w:p>
            <w:pPr>
              <w:pStyle w:val="TableParagraph"/>
              <w:spacing w:line="240" w:lineRule="auto" w:before="4"/>
              <w:ind w:left="586" w:right="0"/>
              <w:jc w:val="left"/>
              <w:rPr>
                <w:rFonts w:ascii="Times New Roman" w:hAnsi="Times New Roman" w:cs="Times New Roman" w:eastAsia="Times New Roman" w:hint="default"/>
                <w:sz w:val="18"/>
                <w:szCs w:val="18"/>
              </w:rPr>
            </w:pPr>
            <w:r>
              <w:rPr>
                <w:rFonts w:ascii="Times New Roman"/>
                <w:sz w:val="18"/>
              </w:rPr>
              <w:t>0.88</w:t>
            </w:r>
          </w:p>
        </w:tc>
      </w:tr>
      <w:tr>
        <w:trPr>
          <w:trHeight w:val="504"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 w:right="0"/>
              <w:jc w:val="center"/>
              <w:rPr>
                <w:rFonts w:ascii="Times New Roman" w:hAnsi="Times New Roman" w:cs="Times New Roman" w:eastAsia="Times New Roman" w:hint="default"/>
                <w:sz w:val="18"/>
                <w:szCs w:val="18"/>
              </w:rPr>
            </w:pPr>
            <w:r>
              <w:rPr>
                <w:rFonts w:ascii="Times New Roman"/>
                <w:sz w:val="18"/>
              </w:rPr>
              <w:t>425,532,</w:t>
            </w:r>
          </w:p>
          <w:p>
            <w:pPr>
              <w:pStyle w:val="TableParagraph"/>
              <w:spacing w:line="240" w:lineRule="auto" w:before="4"/>
              <w:ind w:left="216" w:right="0"/>
              <w:jc w:val="center"/>
              <w:rPr>
                <w:rFonts w:ascii="Times New Roman" w:hAnsi="Times New Roman" w:cs="Times New Roman" w:eastAsia="Times New Roman" w:hint="default"/>
                <w:sz w:val="18"/>
                <w:szCs w:val="18"/>
              </w:rPr>
            </w:pPr>
            <w:r>
              <w:rPr>
                <w:rFonts w:ascii="Times New Roman"/>
                <w:sz w:val="18"/>
              </w:rPr>
              <w:t>703.64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Times New Roman" w:hAnsi="Times New Roman" w:cs="Times New Roman" w:eastAsia="Times New Roman" w:hint="default"/>
                <w:sz w:val="18"/>
                <w:szCs w:val="18"/>
              </w:rPr>
            </w:pPr>
            <w:r>
              <w:rPr>
                <w:rFonts w:ascii="Times New Roman"/>
                <w:sz w:val="18"/>
              </w:rPr>
              <w:t>38,439,8</w:t>
            </w:r>
          </w:p>
          <w:p>
            <w:pPr>
              <w:pStyle w:val="TableParagraph"/>
              <w:spacing w:line="240" w:lineRule="auto" w:before="4"/>
              <w:ind w:left="326" w:right="0"/>
              <w:jc w:val="left"/>
              <w:rPr>
                <w:rFonts w:ascii="Times New Roman" w:hAnsi="Times New Roman" w:cs="Times New Roman" w:eastAsia="Times New Roman" w:hint="default"/>
                <w:sz w:val="18"/>
                <w:szCs w:val="18"/>
              </w:rPr>
            </w:pPr>
            <w:r>
              <w:rPr>
                <w:rFonts w:ascii="Times New Roman"/>
                <w:sz w:val="18"/>
              </w:rPr>
              <w:t>43.77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9.03%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18"/>
                <w:szCs w:val="18"/>
              </w:rPr>
            </w:pPr>
            <w:r>
              <w:rPr>
                <w:rFonts w:ascii="Times New Roman"/>
                <w:sz w:val="18"/>
              </w:rPr>
              <w:t>387,092,8</w:t>
            </w:r>
          </w:p>
          <w:p>
            <w:pPr>
              <w:pStyle w:val="TableParagraph"/>
              <w:spacing w:line="240" w:lineRule="auto" w:before="4"/>
              <w:ind w:left="355" w:right="0"/>
              <w:jc w:val="left"/>
              <w:rPr>
                <w:rFonts w:ascii="Times New Roman" w:hAnsi="Times New Roman" w:cs="Times New Roman" w:eastAsia="Times New Roman" w:hint="default"/>
                <w:sz w:val="18"/>
                <w:szCs w:val="18"/>
              </w:rPr>
            </w:pPr>
            <w:r>
              <w:rPr>
                <w:rFonts w:ascii="Times New Roman"/>
                <w:sz w:val="18"/>
              </w:rPr>
              <w:t>59.87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18"/>
                <w:szCs w:val="18"/>
              </w:rPr>
            </w:pPr>
            <w:r>
              <w:rPr>
                <w:rFonts w:ascii="Times New Roman"/>
                <w:sz w:val="18"/>
              </w:rPr>
              <w:t>317,643</w:t>
            </w:r>
          </w:p>
          <w:p>
            <w:pPr>
              <w:pStyle w:val="TableParagraph"/>
              <w:spacing w:line="240" w:lineRule="auto" w:before="4"/>
              <w:ind w:left="86" w:right="0"/>
              <w:jc w:val="left"/>
              <w:rPr>
                <w:rFonts w:ascii="Times New Roman" w:hAnsi="Times New Roman" w:cs="Times New Roman" w:eastAsia="Times New Roman" w:hint="default"/>
                <w:sz w:val="18"/>
                <w:szCs w:val="18"/>
              </w:rPr>
            </w:pPr>
            <w:r>
              <w:rPr>
                <w:rFonts w:ascii="Times New Roman"/>
                <w:sz w:val="18"/>
              </w:rPr>
              <w:t>,691.21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2" w:right="0"/>
              <w:jc w:val="left"/>
              <w:rPr>
                <w:rFonts w:ascii="Times New Roman" w:hAnsi="Times New Roman" w:cs="Times New Roman" w:eastAsia="Times New Roman" w:hint="default"/>
                <w:sz w:val="18"/>
                <w:szCs w:val="18"/>
              </w:rPr>
            </w:pPr>
            <w:r>
              <w:rPr>
                <w:rFonts w:ascii="Times New Roman"/>
                <w:sz w:val="18"/>
              </w:rPr>
              <w:t>28,693,37</w:t>
            </w:r>
          </w:p>
          <w:p>
            <w:pPr>
              <w:pStyle w:val="TableParagraph"/>
              <w:spacing w:line="240" w:lineRule="auto" w:before="4"/>
              <w:ind w:left="465" w:right="0"/>
              <w:jc w:val="left"/>
              <w:rPr>
                <w:rFonts w:ascii="Times New Roman" w:hAnsi="Times New Roman" w:cs="Times New Roman" w:eastAsia="Times New Roman" w:hint="default"/>
                <w:sz w:val="18"/>
                <w:szCs w:val="18"/>
              </w:rPr>
            </w:pPr>
            <w:r>
              <w:rPr>
                <w:rFonts w:ascii="Times New Roman"/>
                <w:sz w:val="18"/>
              </w:rPr>
              <w:t>0.33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
              <w:jc w:val="right"/>
              <w:rPr>
                <w:rFonts w:ascii="Times New Roman" w:hAnsi="Times New Roman" w:cs="Times New Roman" w:eastAsia="Times New Roman" w:hint="default"/>
                <w:sz w:val="18"/>
                <w:szCs w:val="18"/>
              </w:rPr>
            </w:pPr>
            <w:r>
              <w:rPr>
                <w:rFonts w:ascii="Times New Roman"/>
                <w:spacing w:val="-1"/>
                <w:sz w:val="18"/>
              </w:rPr>
              <w:t>9.03%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1" w:right="0"/>
              <w:jc w:val="left"/>
              <w:rPr>
                <w:rFonts w:ascii="Times New Roman" w:hAnsi="Times New Roman" w:cs="Times New Roman" w:eastAsia="Times New Roman" w:hint="default"/>
                <w:sz w:val="18"/>
                <w:szCs w:val="18"/>
              </w:rPr>
            </w:pPr>
            <w:r>
              <w:rPr>
                <w:rFonts w:ascii="Times New Roman"/>
                <w:sz w:val="18"/>
              </w:rPr>
              <w:t>288,950,32</w:t>
            </w:r>
          </w:p>
          <w:p>
            <w:pPr>
              <w:pStyle w:val="TableParagraph"/>
              <w:spacing w:line="240" w:lineRule="auto" w:before="4"/>
              <w:ind w:left="586" w:right="0"/>
              <w:jc w:val="left"/>
              <w:rPr>
                <w:rFonts w:ascii="Times New Roman" w:hAnsi="Times New Roman" w:cs="Times New Roman" w:eastAsia="Times New Roman" w:hint="default"/>
                <w:sz w:val="18"/>
                <w:szCs w:val="18"/>
              </w:rPr>
            </w:pPr>
            <w:r>
              <w:rPr>
                <w:rFonts w:ascii="Times New Roman"/>
                <w:sz w:val="18"/>
              </w:rPr>
              <w:t>0.88</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pStyle w:val="BodyText"/>
        <w:spacing w:line="240" w:lineRule="auto" w:before="10"/>
        <w:ind w:right="0"/>
        <w:jc w:val="left"/>
      </w:pPr>
      <w:r>
        <w:rPr>
          <w:spacing w:val="-3"/>
        </w:rPr>
        <w:t>期末单项金额重大并单项计提坏账准备的应收账款：</w:t>
      </w:r>
    </w:p>
    <w:p>
      <w:pPr>
        <w:pStyle w:val="BodyText"/>
        <w:spacing w:line="264" w:lineRule="auto" w:before="33"/>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组合中，按账龄分析法计提坏账准备的应收账款：</w:t>
      </w:r>
    </w:p>
    <w:p>
      <w:pPr>
        <w:pStyle w:val="BodyText"/>
        <w:spacing w:line="240" w:lineRule="auto" w:before="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4297" w:space="4534"/>
            <w:col w:w="2099"/>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4"/>
      </w:tblGrid>
      <w:tr>
        <w:trPr>
          <w:trHeight w:val="326"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2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304,276,557.08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15,213,827.85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68,429,130.21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6,842,913.02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33,434,684.24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6,686,936.84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19,392,332.11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9,696,166.06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425,532,703.64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38,439,843.77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9.03%</w:t>
            </w:r>
          </w:p>
        </w:tc>
      </w:tr>
    </w:tbl>
    <w:p>
      <w:pPr>
        <w:pStyle w:val="BodyText"/>
        <w:spacing w:line="278" w:lineRule="auto" w:before="10"/>
        <w:ind w:left="513" w:right="5823" w:hanging="360"/>
        <w:jc w:val="left"/>
      </w:pPr>
      <w:r>
        <w:rPr>
          <w:spacing w:val="-3"/>
        </w:rPr>
        <w:t>确定该组合依据的说明：</w:t>
      </w:r>
      <w:r>
        <w:rPr>
          <w:spacing w:val="-56"/>
        </w:rPr>
        <w:t> </w:t>
      </w:r>
      <w:r>
        <w:rPr>
          <w:spacing w:val="-56"/>
        </w:rPr>
      </w:r>
      <w:r>
        <w:rPr>
          <w:spacing w:val="-3"/>
        </w:rPr>
        <w:t>组合中，采用余额百分比法计提坏账准备的应收账款：</w:t>
      </w:r>
    </w:p>
    <w:p>
      <w:pPr>
        <w:pStyle w:val="BodyText"/>
        <w:spacing w:line="259" w:lineRule="auto" w:before="129"/>
        <w:ind w:left="513" w:right="5823"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组合中，采用其他方法计提坏账准备的应收账款：</w:t>
      </w:r>
    </w:p>
    <w:p>
      <w:pPr>
        <w:pStyle w:val="BodyText"/>
        <w:spacing w:line="259" w:lineRule="auto" w:before="143"/>
        <w:ind w:left="513" w:right="1641" w:hanging="360"/>
        <w:jc w:val="left"/>
      </w:pPr>
      <w:r>
        <w:rPr>
          <w:rFonts w:ascii="Times New Roman" w:hAnsi="Times New Roman" w:cs="Times New Roman" w:eastAsia="Times New Roman" w:hint="default"/>
          <w:spacing w:val="-3"/>
        </w:rPr>
        <w:t>2)</w:t>
      </w:r>
      <w:r>
        <w:rPr>
          <w:spacing w:val="-3"/>
        </w:rPr>
        <w:t>本期计提、收回或转回的坏账准备情况</w:t>
      </w:r>
      <w:r>
        <w:rPr>
          <w:spacing w:val="-30"/>
        </w:rPr>
        <w:t> </w:t>
      </w:r>
      <w:r>
        <w:rPr>
          <w:spacing w:val="-30"/>
        </w:rPr>
      </w:r>
      <w:r>
        <w:rPr>
          <w:spacing w:val="-2"/>
        </w:rPr>
        <w:t>本期计提坏账准备金额</w:t>
      </w:r>
      <w:r>
        <w:rPr>
          <w:rFonts w:ascii="宋体" w:hAnsi="宋体" w:cs="宋体" w:eastAsia="宋体" w:hint="default"/>
          <w:spacing w:val="-2"/>
        </w:rPr>
        <w:t>9,746,473.44</w:t>
      </w:r>
      <w:r>
        <w:rPr>
          <w:spacing w:val="-2"/>
        </w:rPr>
        <w:t>元；本期收回或转回坏账准备金额</w:t>
      </w:r>
      <w:r>
        <w:rPr>
          <w:rFonts w:ascii="宋体" w:hAnsi="宋体" w:cs="宋体" w:eastAsia="宋体" w:hint="default"/>
          <w:spacing w:val="-2"/>
        </w:rPr>
        <w:t>0.00</w:t>
      </w:r>
      <w:r>
        <w:rPr>
          <w:spacing w:val="-2"/>
        </w:rPr>
        <w:t>元。</w:t>
      </w:r>
    </w:p>
    <w:p>
      <w:pPr>
        <w:pStyle w:val="BodyText"/>
        <w:spacing w:line="357" w:lineRule="auto" w:before="100"/>
        <w:ind w:right="1055" w:firstLine="360"/>
        <w:jc w:val="left"/>
      </w:pPr>
      <w:r>
        <w:rPr>
          <w:spacing w:val="-4"/>
        </w:rPr>
        <w:t>本年无以前年度已全额计提坏账准备，或计提坏账准备的比例较大，但在本年又全额收回或转回，或在本年收回或转回</w:t>
      </w:r>
      <w:r>
        <w:rPr>
          <w:w w:val="101"/>
        </w:rPr>
        <w:t> </w:t>
      </w:r>
      <w:r>
        <w:rPr/>
        <w:t>比例较大的应收账款。</w:t>
      </w:r>
    </w:p>
    <w:p>
      <w:pPr>
        <w:pStyle w:val="BodyText"/>
        <w:spacing w:line="259" w:lineRule="auto" w:before="70"/>
        <w:ind w:left="513" w:right="6932" w:hanging="360"/>
        <w:jc w:val="left"/>
      </w:pPr>
      <w:r>
        <w:rPr>
          <w:rFonts w:ascii="Times New Roman" w:hAnsi="Times New Roman" w:cs="Times New Roman" w:eastAsia="Times New Roman" w:hint="default"/>
        </w:rPr>
        <w:t>3)</w:t>
      </w:r>
      <w:r>
        <w:rPr/>
        <w:t>本期实际核销的应收账款情况</w:t>
      </w:r>
      <w:r>
        <w:rPr>
          <w:spacing w:val="-86"/>
        </w:rPr>
        <w:t> </w:t>
      </w:r>
      <w:r>
        <w:rPr>
          <w:spacing w:val="-86"/>
        </w:rPr>
      </w:r>
      <w:r>
        <w:rPr>
          <w:spacing w:val="-3"/>
        </w:rPr>
        <w:t>本年无实际核销的应收账款情况。</w:t>
      </w:r>
    </w:p>
    <w:p>
      <w:pPr>
        <w:pStyle w:val="BodyText"/>
        <w:spacing w:line="264" w:lineRule="auto" w:before="143"/>
        <w:ind w:right="5823"/>
        <w:jc w:val="left"/>
      </w:pPr>
      <w:r>
        <w:rPr>
          <w:rFonts w:ascii="Times New Roman" w:hAnsi="Times New Roman" w:cs="Times New Roman" w:eastAsia="Times New Roman" w:hint="default"/>
          <w:spacing w:val="-3"/>
        </w:rPr>
        <w:t>4)</w:t>
      </w:r>
      <w:r>
        <w:rPr>
          <w:spacing w:val="-3"/>
        </w:rPr>
        <w:t>按欠款方归集的期末余额前五名的应收账款情况</w:t>
      </w:r>
      <w:r>
        <w:rPr>
          <w:spacing w:val="-18"/>
        </w:rPr>
        <w:t> </w:t>
      </w:r>
      <w:r>
        <w:rPr>
          <w:spacing w:val="-18"/>
        </w:rPr>
      </w:r>
      <w:r>
        <w:rPr>
          <w:spacing w:val="-3"/>
        </w:rPr>
        <w:t>公司是否需要遵守特殊行业的披露要求</w:t>
      </w:r>
    </w:p>
    <w:p>
      <w:pPr>
        <w:pStyle w:val="BodyText"/>
        <w:spacing w:line="278" w:lineRule="auto" w:before="20"/>
        <w:ind w:right="9861"/>
        <w:jc w:val="left"/>
      </w:pPr>
      <w:r>
        <w:rPr/>
        <w:t>是</w:t>
      </w:r>
      <w:r>
        <w:rPr>
          <w:spacing w:val="-88"/>
        </w:rPr>
        <w:t> </w:t>
      </w:r>
      <w:r>
        <w:rPr>
          <w:spacing w:val="-2"/>
        </w:rPr>
        <w:t>电子商务业</w:t>
      </w:r>
    </w:p>
    <w:p>
      <w:pPr>
        <w:pStyle w:val="BodyText"/>
        <w:spacing w:line="357" w:lineRule="auto" w:before="4"/>
        <w:ind w:right="1055" w:firstLine="360"/>
        <w:jc w:val="left"/>
      </w:pPr>
      <w:r>
        <w:rPr>
          <w:spacing w:val="-3"/>
        </w:rPr>
        <w:t>本公司本年按欠款方归集的年末余额前五名应收账款汇总金额为</w:t>
      </w:r>
      <w:r>
        <w:rPr>
          <w:rFonts w:ascii="宋体" w:hAnsi="宋体" w:cs="宋体" w:eastAsia="宋体" w:hint="default"/>
          <w:spacing w:val="-3"/>
        </w:rPr>
        <w:t>94,799,226.35</w:t>
      </w:r>
      <w:r>
        <w:rPr>
          <w:spacing w:val="-3"/>
        </w:rPr>
        <w:t>元，占应收账款年末余额合计数的比例</w:t>
      </w:r>
      <w:r>
        <w:rPr>
          <w:w w:val="101"/>
        </w:rPr>
        <w:t> </w:t>
      </w:r>
      <w:r>
        <w:rPr/>
        <w:t>为</w:t>
      </w:r>
      <w:r>
        <w:rPr>
          <w:rFonts w:ascii="宋体" w:hAnsi="宋体" w:cs="宋体" w:eastAsia="宋体" w:hint="default"/>
        </w:rPr>
        <w:t>22.28%</w:t>
      </w:r>
      <w:r>
        <w:rPr/>
        <w:t>，相应计提的坏账准备年末余额汇总金额为</w:t>
      </w:r>
      <w:r>
        <w:rPr>
          <w:rFonts w:ascii="宋体" w:hAnsi="宋体" w:cs="宋体" w:eastAsia="宋体" w:hint="default"/>
        </w:rPr>
        <w:t>5,886,843.71</w:t>
      </w:r>
      <w:r>
        <w:rPr/>
        <w:t>元。</w:t>
      </w:r>
    </w:p>
    <w:p>
      <w:pPr>
        <w:spacing w:line="240" w:lineRule="auto" w:before="1"/>
        <w:rPr>
          <w:rFonts w:ascii="宋体" w:hAnsi="宋体" w:cs="宋体" w:eastAsia="宋体" w:hint="default"/>
          <w:sz w:val="21"/>
          <w:szCs w:val="21"/>
        </w:rPr>
      </w:pPr>
    </w:p>
    <w:p>
      <w:pPr>
        <w:pStyle w:val="BodyText"/>
        <w:spacing w:line="264" w:lineRule="auto"/>
        <w:ind w:left="513" w:right="5823" w:hanging="360"/>
        <w:jc w:val="left"/>
      </w:pPr>
      <w:r>
        <w:rPr>
          <w:rFonts w:ascii="Times New Roman" w:hAnsi="Times New Roman" w:cs="Times New Roman" w:eastAsia="Times New Roman" w:hint="default"/>
          <w:spacing w:val="-3"/>
        </w:rPr>
        <w:t>5)</w:t>
      </w:r>
      <w:r>
        <w:rPr>
          <w:spacing w:val="-3"/>
        </w:rPr>
        <w:t>因金融资产转移而终止确认的应收账款</w:t>
      </w:r>
      <w:r>
        <w:rPr>
          <w:spacing w:val="-30"/>
        </w:rPr>
        <w:t> </w:t>
      </w:r>
      <w:r>
        <w:rPr>
          <w:spacing w:val="-30"/>
        </w:rPr>
      </w:r>
      <w:r>
        <w:rPr>
          <w:spacing w:val="-3"/>
        </w:rPr>
        <w:t>本年无金融资产转移而终止确认的应收账款。</w:t>
      </w:r>
    </w:p>
    <w:p>
      <w:pPr>
        <w:spacing w:line="240" w:lineRule="auto" w:before="7"/>
        <w:rPr>
          <w:rFonts w:ascii="宋体" w:hAnsi="宋体" w:cs="宋体" w:eastAsia="宋体" w:hint="default"/>
          <w:sz w:val="26"/>
          <w:szCs w:val="26"/>
        </w:rPr>
      </w:pPr>
    </w:p>
    <w:p>
      <w:pPr>
        <w:pStyle w:val="BodyText"/>
        <w:spacing w:line="259" w:lineRule="auto"/>
        <w:ind w:left="513" w:right="6570" w:hanging="360"/>
        <w:jc w:val="left"/>
      </w:pPr>
      <w:r>
        <w:rPr>
          <w:rFonts w:ascii="Times New Roman" w:hAnsi="Times New Roman" w:cs="Times New Roman" w:eastAsia="Times New Roman" w:hint="default"/>
          <w:spacing w:val="-3"/>
        </w:rPr>
        <w:t>6)</w:t>
      </w:r>
      <w:r>
        <w:rPr>
          <w:spacing w:val="-3"/>
        </w:rPr>
        <w:t>转移应收账款且继续涉入形成的资产、负债金额</w:t>
      </w:r>
      <w:r>
        <w:rPr>
          <w:spacing w:val="-18"/>
        </w:rPr>
        <w:t> </w:t>
      </w:r>
      <w:r>
        <w:rPr>
          <w:spacing w:val="-18"/>
        </w:rPr>
      </w:r>
      <w:r>
        <w:rPr/>
        <w:t>无。</w:t>
      </w:r>
    </w:p>
    <w:p>
      <w:pPr>
        <w:pStyle w:val="BodyText"/>
        <w:spacing w:line="240" w:lineRule="auto" w:before="143"/>
        <w:ind w:right="1055"/>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32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68,171,137.35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106,583,507.69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71.87%</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17,060,373.71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41,562,820.22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28.02%</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36,030,825.12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163,389.75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3"/>
                <w:sz w:val="18"/>
              </w:rPr>
              <w:t>0.11%</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55,631.57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121,317,967.75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148,309,717.66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10"/>
        <w:ind w:right="1055"/>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1"/>
          <w:szCs w:val="21"/>
        </w:rPr>
      </w:pPr>
    </w:p>
    <w:p>
      <w:pPr>
        <w:pStyle w:val="BodyText"/>
        <w:spacing w:line="357" w:lineRule="auto"/>
        <w:ind w:right="1055" w:firstLine="360"/>
        <w:jc w:val="left"/>
      </w:pPr>
      <w:r>
        <w:rPr>
          <w:spacing w:val="-3"/>
        </w:rPr>
        <w:t>本公司本年按欠款方归集的年末余额前五名预付账款汇总金额</w:t>
      </w:r>
      <w:r>
        <w:rPr>
          <w:rFonts w:ascii="宋体" w:hAnsi="宋体" w:cs="宋体" w:eastAsia="宋体" w:hint="default"/>
          <w:spacing w:val="-3"/>
        </w:rPr>
        <w:t>81,654,916.36</w:t>
      </w:r>
      <w:r>
        <w:rPr>
          <w:spacing w:val="-3"/>
        </w:rPr>
        <w:t>元，占预付账款期末余额合计数的比例</w:t>
      </w:r>
      <w:r>
        <w:rPr>
          <w:w w:val="101"/>
        </w:rPr>
        <w:t> </w:t>
      </w:r>
      <w:r>
        <w:rPr>
          <w:rFonts w:ascii="宋体" w:hAnsi="宋体" w:cs="宋体" w:eastAsia="宋体" w:hint="default"/>
        </w:rPr>
        <w:t>67.31%</w:t>
      </w:r>
      <w:r>
        <w:rPr/>
        <w:t>。</w:t>
      </w:r>
    </w:p>
    <w:p>
      <w:pPr>
        <w:spacing w:line="240" w:lineRule="auto" w:before="5"/>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315,616.44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162,900.00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43,580,786.01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33,402,230.81</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43,896,402.45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33,565,130.81</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1)</w:t>
      </w:r>
      <w:r>
        <w:rPr/>
        <w:t>应收利息分类</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315,616.44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162,900.00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315,616.44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162,900.00</w:t>
            </w:r>
          </w:p>
        </w:tc>
      </w:tr>
    </w:tbl>
    <w:p>
      <w:pPr>
        <w:pStyle w:val="BodyText"/>
        <w:spacing w:line="259" w:lineRule="auto" w:before="11"/>
        <w:ind w:left="513" w:right="9217" w:hanging="360"/>
        <w:jc w:val="left"/>
      </w:pPr>
      <w:r>
        <w:rPr>
          <w:rFonts w:ascii="Times New Roman" w:hAnsi="Times New Roman" w:cs="Times New Roman" w:eastAsia="Times New Roman" w:hint="default"/>
          <w:spacing w:val="-2"/>
        </w:rPr>
        <w:t>2)</w:t>
      </w:r>
      <w:r>
        <w:rPr>
          <w:spacing w:val="-2"/>
        </w:rPr>
        <w:t>重要逾期利息</w:t>
      </w:r>
      <w:r>
        <w:rPr>
          <w:spacing w:val="-72"/>
        </w:rPr>
        <w:t> </w:t>
      </w:r>
      <w:r>
        <w:rPr>
          <w:spacing w:val="-72"/>
        </w:rPr>
      </w:r>
      <w:r>
        <w:rPr/>
        <w:t>无。</w:t>
      </w:r>
    </w:p>
    <w:p>
      <w:pPr>
        <w:spacing w:line="240" w:lineRule="auto" w:before="0"/>
        <w:rPr>
          <w:rFonts w:ascii="宋体" w:hAnsi="宋体" w:cs="宋体" w:eastAsia="宋体" w:hint="default"/>
          <w:sz w:val="18"/>
          <w:szCs w:val="18"/>
        </w:rPr>
      </w:pPr>
    </w:p>
    <w:p>
      <w:pPr>
        <w:pStyle w:val="Heading3"/>
        <w:spacing w:line="240" w:lineRule="auto" w:before="156"/>
        <w:ind w:right="1055"/>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1)</w:t>
      </w:r>
      <w:r>
        <w:rPr/>
        <w:t>其他应收款分类披露</w:t>
      </w:r>
    </w:p>
    <w:p>
      <w:pPr>
        <w:pStyle w:val="BodyText"/>
        <w:spacing w:line="240" w:lineRule="auto" w:before="25"/>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8"/>
        <w:gridCol w:w="653"/>
        <w:gridCol w:w="764"/>
        <w:gridCol w:w="816"/>
        <w:gridCol w:w="932"/>
        <w:gridCol w:w="932"/>
      </w:tblGrid>
      <w:tr>
        <w:trPr>
          <w:trHeight w:val="322"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9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48,182,5</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05.95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4,601,71</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9.94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43,580,78</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6.01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86" w:right="0"/>
              <w:jc w:val="left"/>
              <w:rPr>
                <w:rFonts w:ascii="Times New Roman" w:hAnsi="Times New Roman" w:cs="Times New Roman" w:eastAsia="Times New Roman" w:hint="default"/>
                <w:sz w:val="18"/>
                <w:szCs w:val="18"/>
              </w:rPr>
            </w:pPr>
            <w:r>
              <w:rPr>
                <w:rFonts w:ascii="Times New Roman"/>
                <w:sz w:val="18"/>
              </w:rPr>
              <w:t>36,637,</w:t>
            </w:r>
          </w:p>
          <w:p>
            <w:pPr>
              <w:pStyle w:val="TableParagraph"/>
              <w:spacing w:line="207" w:lineRule="exact"/>
              <w:ind w:left="129" w:right="0"/>
              <w:jc w:val="left"/>
              <w:rPr>
                <w:rFonts w:ascii="Times New Roman" w:hAnsi="Times New Roman" w:cs="Times New Roman" w:eastAsia="Times New Roman" w:hint="default"/>
                <w:sz w:val="18"/>
                <w:szCs w:val="18"/>
              </w:rPr>
            </w:pPr>
            <w:r>
              <w:rPr>
                <w:rFonts w:ascii="Times New Roman"/>
                <w:sz w:val="18"/>
              </w:rPr>
              <w:t>332.07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3,235,101</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right="15"/>
              <w:jc w:val="right"/>
              <w:rPr>
                <w:rFonts w:ascii="Times New Roman" w:hAnsi="Times New Roman" w:cs="Times New Roman" w:eastAsia="Times New Roman" w:hint="default"/>
                <w:sz w:val="18"/>
                <w:szCs w:val="18"/>
              </w:rPr>
            </w:pPr>
            <w:r>
              <w:rPr>
                <w:rFonts w:ascii="Times New Roman"/>
                <w:spacing w:val="-1"/>
                <w:sz w:val="18"/>
              </w:rPr>
              <w:t>33,402,230.</w:t>
            </w:r>
          </w:p>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z w:val="18"/>
              </w:rPr>
              <w:t>81</w:t>
            </w:r>
          </w:p>
        </w:tc>
      </w:tr>
      <w:tr>
        <w:trPr>
          <w:trHeight w:val="504"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00" w:right="0"/>
              <w:jc w:val="left"/>
              <w:rPr>
                <w:rFonts w:ascii="Times New Roman" w:hAnsi="Times New Roman" w:cs="Times New Roman" w:eastAsia="Times New Roman" w:hint="default"/>
                <w:sz w:val="18"/>
                <w:szCs w:val="18"/>
              </w:rPr>
            </w:pPr>
            <w:r>
              <w:rPr>
                <w:rFonts w:ascii="Times New Roman"/>
                <w:sz w:val="18"/>
              </w:rPr>
              <w:t>48,182,5</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05.95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100" w:right="0"/>
              <w:jc w:val="left"/>
              <w:rPr>
                <w:rFonts w:ascii="Times New Roman" w:hAnsi="Times New Roman" w:cs="Times New Roman" w:eastAsia="Times New Roman" w:hint="default"/>
                <w:sz w:val="18"/>
                <w:szCs w:val="18"/>
              </w:rPr>
            </w:pPr>
            <w:r>
              <w:rPr>
                <w:rFonts w:ascii="Times New Roman"/>
                <w:sz w:val="18"/>
              </w:rPr>
              <w:t>4,601,71</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9.94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8" w:right="0"/>
              <w:jc w:val="left"/>
              <w:rPr>
                <w:rFonts w:ascii="Times New Roman" w:hAnsi="Times New Roman" w:cs="Times New Roman" w:eastAsia="Times New Roman" w:hint="default"/>
                <w:sz w:val="18"/>
                <w:szCs w:val="18"/>
              </w:rPr>
            </w:pPr>
            <w:r>
              <w:rPr>
                <w:rFonts w:ascii="Times New Roman"/>
                <w:sz w:val="18"/>
              </w:rPr>
              <w:t>43,580,78</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6.01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6" w:right="0"/>
              <w:jc w:val="left"/>
              <w:rPr>
                <w:rFonts w:ascii="Times New Roman" w:hAnsi="Times New Roman" w:cs="Times New Roman" w:eastAsia="Times New Roman" w:hint="default"/>
                <w:sz w:val="18"/>
                <w:szCs w:val="18"/>
              </w:rPr>
            </w:pPr>
            <w:r>
              <w:rPr>
                <w:rFonts w:ascii="Times New Roman"/>
                <w:sz w:val="18"/>
              </w:rPr>
              <w:t>36,637,</w:t>
            </w:r>
          </w:p>
          <w:p>
            <w:pPr>
              <w:pStyle w:val="TableParagraph"/>
              <w:spacing w:line="207" w:lineRule="exact"/>
              <w:ind w:left="129" w:right="0"/>
              <w:jc w:val="left"/>
              <w:rPr>
                <w:rFonts w:ascii="Times New Roman" w:hAnsi="Times New Roman" w:cs="Times New Roman" w:eastAsia="Times New Roman" w:hint="default"/>
                <w:sz w:val="18"/>
                <w:szCs w:val="18"/>
              </w:rPr>
            </w:pPr>
            <w:r>
              <w:rPr>
                <w:rFonts w:ascii="Times New Roman"/>
                <w:sz w:val="18"/>
              </w:rPr>
              <w:t>332.07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7"/>
              <w:jc w:val="right"/>
              <w:rPr>
                <w:rFonts w:ascii="Times New Roman" w:hAnsi="Times New Roman" w:cs="Times New Roman" w:eastAsia="Times New Roman" w:hint="default"/>
                <w:sz w:val="18"/>
                <w:szCs w:val="18"/>
              </w:rPr>
            </w:pPr>
            <w:r>
              <w:rPr>
                <w:rFonts w:ascii="Times New Roman"/>
                <w:spacing w:val="-1"/>
                <w:sz w:val="18"/>
              </w:rPr>
              <w:t>3,235,101</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spacing w:val="-1"/>
                <w:sz w:val="18"/>
              </w:rPr>
              <w:t>8.83%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5"/>
              <w:jc w:val="right"/>
              <w:rPr>
                <w:rFonts w:ascii="Times New Roman" w:hAnsi="Times New Roman" w:cs="Times New Roman" w:eastAsia="Times New Roman" w:hint="default"/>
                <w:sz w:val="18"/>
                <w:szCs w:val="18"/>
              </w:rPr>
            </w:pPr>
            <w:r>
              <w:rPr>
                <w:rFonts w:ascii="Times New Roman"/>
                <w:spacing w:val="-1"/>
                <w:sz w:val="18"/>
              </w:rPr>
              <w:t>33,402,230.</w:t>
            </w:r>
          </w:p>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z w:val="18"/>
              </w:rPr>
              <w:t>81</w:t>
            </w:r>
          </w:p>
        </w:tc>
      </w:tr>
    </w:tbl>
    <w:p>
      <w:pPr>
        <w:spacing w:after="0" w:line="207" w:lineRule="exact"/>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pStyle w:val="BodyText"/>
        <w:spacing w:line="240" w:lineRule="auto" w:before="10"/>
        <w:ind w:right="0"/>
        <w:jc w:val="left"/>
      </w:pPr>
      <w:r>
        <w:rPr>
          <w:spacing w:val="-3"/>
        </w:rPr>
        <w:t>期末单项金额重大并单项计提坏账准备的其他应收款：</w:t>
      </w:r>
    </w:p>
    <w:p>
      <w:pPr>
        <w:pStyle w:val="BodyText"/>
        <w:spacing w:line="264" w:lineRule="auto" w:before="33"/>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组合中，按账龄分析法计提坏账准备的其他应收款：</w:t>
      </w:r>
    </w:p>
    <w:p>
      <w:pPr>
        <w:pStyle w:val="BodyText"/>
        <w:spacing w:line="240" w:lineRule="auto" w:before="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4479" w:space="4351"/>
            <w:col w:w="2100"/>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2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23,033,464.69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1,151,673.23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19,684,173.26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1,968,417.33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3,144,754.81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628,950.96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1,705,356.82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852,678.42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47,567,749.58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4,601,719.94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9.67%</w:t>
            </w:r>
          </w:p>
        </w:tc>
      </w:tr>
    </w:tbl>
    <w:p>
      <w:pPr>
        <w:pStyle w:val="BodyText"/>
        <w:spacing w:line="278" w:lineRule="auto" w:before="10"/>
        <w:ind w:right="5823"/>
        <w:jc w:val="left"/>
      </w:pPr>
      <w:r>
        <w:rPr>
          <w:spacing w:val="-3"/>
        </w:rPr>
        <w:t>确定该组合依据的说明：</w:t>
      </w:r>
      <w:r>
        <w:rPr>
          <w:spacing w:val="-56"/>
        </w:rPr>
        <w:t> </w:t>
      </w:r>
      <w:r>
        <w:rPr>
          <w:spacing w:val="-56"/>
        </w:rPr>
      </w:r>
      <w:r>
        <w:rPr>
          <w:spacing w:val="-3"/>
        </w:rPr>
        <w:t>组合中，采用余额百分比法计提坏账准备的其他应收款：</w:t>
      </w:r>
    </w:p>
    <w:p>
      <w:pPr>
        <w:pStyle w:val="BodyText"/>
        <w:spacing w:line="264" w:lineRule="auto" w:before="9"/>
        <w:ind w:right="58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240" w:lineRule="auto" w:before="20"/>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64" w:lineRule="auto" w:before="24"/>
        <w:ind w:left="513" w:right="1641" w:hanging="360"/>
        <w:jc w:val="left"/>
      </w:pPr>
      <w:r>
        <w:rPr>
          <w:rFonts w:ascii="Times New Roman" w:hAnsi="Times New Roman" w:cs="Times New Roman" w:eastAsia="Times New Roman" w:hint="default"/>
          <w:spacing w:val="-3"/>
        </w:rPr>
        <w:t>2)</w:t>
      </w:r>
      <w:r>
        <w:rPr>
          <w:spacing w:val="-3"/>
        </w:rPr>
        <w:t>本期计提、收回或转回的坏账准备情况</w:t>
      </w:r>
      <w:r>
        <w:rPr>
          <w:spacing w:val="-30"/>
        </w:rPr>
        <w:t> </w:t>
      </w:r>
      <w:r>
        <w:rPr>
          <w:spacing w:val="-30"/>
        </w:rPr>
      </w:r>
      <w:r>
        <w:rPr>
          <w:spacing w:val="-2"/>
        </w:rPr>
        <w:t>本期计提坏账准备金额</w:t>
      </w:r>
      <w:r>
        <w:rPr>
          <w:rFonts w:ascii="宋体" w:hAnsi="宋体" w:cs="宋体" w:eastAsia="宋体" w:hint="default"/>
          <w:spacing w:val="-2"/>
        </w:rPr>
        <w:t>1,366,618.68</w:t>
      </w:r>
      <w:r>
        <w:rPr>
          <w:spacing w:val="-2"/>
        </w:rPr>
        <w:t>元；本期收回或转回坏账准备金额</w:t>
      </w:r>
      <w:r>
        <w:rPr>
          <w:rFonts w:ascii="宋体" w:hAnsi="宋体" w:cs="宋体" w:eastAsia="宋体" w:hint="default"/>
          <w:spacing w:val="-2"/>
        </w:rPr>
        <w:t>0.00</w:t>
      </w:r>
      <w:r>
        <w:rPr>
          <w:spacing w:val="-2"/>
        </w:rPr>
        <w:t>元。</w:t>
      </w:r>
    </w:p>
    <w:p>
      <w:pPr>
        <w:pStyle w:val="BodyText"/>
        <w:spacing w:line="357" w:lineRule="auto" w:before="92"/>
        <w:ind w:right="1055" w:firstLine="360"/>
        <w:jc w:val="left"/>
      </w:pPr>
      <w:r>
        <w:rPr>
          <w:spacing w:val="-4"/>
        </w:rPr>
        <w:t>本年无以前年度已全额计提坏账准备，或计提坏账准备的比例较大，但在本年又全额收回或转回，或在本年收回或转回</w:t>
      </w:r>
      <w:r>
        <w:rPr>
          <w:w w:val="101"/>
        </w:rPr>
        <w:t> </w:t>
      </w:r>
      <w:r>
        <w:rPr>
          <w:spacing w:val="-3"/>
        </w:rPr>
        <w:t>比例较大的其他应收款。</w:t>
      </w:r>
    </w:p>
    <w:p>
      <w:pPr>
        <w:pStyle w:val="BodyText"/>
        <w:spacing w:line="264" w:lineRule="auto" w:before="70"/>
        <w:ind w:left="513" w:right="6932" w:hanging="360"/>
        <w:jc w:val="left"/>
      </w:pPr>
      <w:r>
        <w:rPr>
          <w:rFonts w:ascii="Times New Roman" w:hAnsi="Times New Roman" w:cs="Times New Roman" w:eastAsia="Times New Roman" w:hint="default"/>
          <w:spacing w:val="-3"/>
        </w:rPr>
        <w:t>3)</w:t>
      </w:r>
      <w:r>
        <w:rPr>
          <w:spacing w:val="-3"/>
        </w:rPr>
        <w:t>本期实际核销的其他应收款情况</w:t>
      </w:r>
      <w:r>
        <w:rPr>
          <w:spacing w:val="-41"/>
        </w:rPr>
        <w:t> </w:t>
      </w:r>
      <w:r>
        <w:rPr>
          <w:spacing w:val="-41"/>
        </w:rPr>
      </w:r>
      <w:r>
        <w:rPr>
          <w:spacing w:val="-3"/>
        </w:rPr>
        <w:t>本年无实际核销的其他应收款情况。</w:t>
      </w:r>
    </w:p>
    <w:p>
      <w:pPr>
        <w:pStyle w:val="BodyText"/>
        <w:spacing w:line="240" w:lineRule="auto" w:before="140"/>
        <w:ind w:right="1055"/>
        <w:jc w:val="left"/>
      </w:pPr>
      <w:r>
        <w:rPr>
          <w:rFonts w:ascii="Times New Roman" w:hAnsi="Times New Roman" w:cs="Times New Roman" w:eastAsia="Times New Roman" w:hint="default"/>
          <w:spacing w:val="-3"/>
        </w:rPr>
        <w:t>4)</w:t>
      </w:r>
      <w:r>
        <w:rPr>
          <w:spacing w:val="-3"/>
        </w:rPr>
        <w:t>其他应收款按款项性质分类情况</w:t>
      </w:r>
    </w:p>
    <w:p>
      <w:pPr>
        <w:pStyle w:val="BodyText"/>
        <w:spacing w:line="240" w:lineRule="auto" w:before="19"/>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13,486,256.86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17,133,997.11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29,241,520.29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13,332,810.47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4,448,784.10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2,114,017.22</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614,756.37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903,099.54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931,000.00</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391,188.33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2,222,407.73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48,182,505.95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36,637,332.07</w:t>
            </w:r>
          </w:p>
        </w:tc>
      </w:tr>
    </w:tbl>
    <w:p>
      <w:pPr>
        <w:pStyle w:val="BodyText"/>
        <w:spacing w:line="240" w:lineRule="auto" w:before="10"/>
        <w:ind w:right="1055"/>
        <w:jc w:val="left"/>
      </w:pPr>
      <w:r>
        <w:rPr>
          <w:rFonts w:ascii="Times New Roman" w:hAnsi="Times New Roman" w:cs="Times New Roman" w:eastAsia="Times New Roman" w:hint="default"/>
          <w:spacing w:val="-3"/>
        </w:rPr>
        <w:t>5)</w:t>
      </w:r>
      <w:r>
        <w:rPr>
          <w:spacing w:val="-3"/>
        </w:rPr>
        <w:t>按欠款方归集的期末余额前五名的其他应收款情况</w:t>
      </w:r>
    </w:p>
    <w:p>
      <w:pPr>
        <w:pStyle w:val="BodyText"/>
        <w:spacing w:line="240" w:lineRule="auto" w:before="19"/>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4"/>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1,657,500.00</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8,985,256.86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449,262.84</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225,000.00</w:t>
            </w:r>
          </w:p>
        </w:tc>
      </w:tr>
      <w:tr>
        <w:trPr>
          <w:trHeight w:val="3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1,270,523.00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63,526.15</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1,043,445.00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104,344.50</w:t>
            </w:r>
          </w:p>
        </w:tc>
      </w:tr>
      <w:tr>
        <w:trPr>
          <w:trHeight w:val="3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33,249,224.86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2,499,633.49</w:t>
            </w:r>
          </w:p>
        </w:tc>
      </w:tr>
    </w:tbl>
    <w:p>
      <w:pPr>
        <w:pStyle w:val="BodyText"/>
        <w:spacing w:line="259" w:lineRule="auto" w:before="10"/>
        <w:ind w:left="513" w:right="8420" w:hanging="360"/>
        <w:jc w:val="left"/>
      </w:pPr>
      <w:r>
        <w:rPr>
          <w:rFonts w:ascii="Times New Roman" w:hAnsi="Times New Roman" w:cs="Times New Roman" w:eastAsia="Times New Roman" w:hint="default"/>
          <w:spacing w:val="-2"/>
        </w:rPr>
        <w:t>6)</w:t>
      </w:r>
      <w:r>
        <w:rPr>
          <w:spacing w:val="-2"/>
        </w:rPr>
        <w:t>涉及政府补助的应收款项</w:t>
      </w:r>
      <w:r>
        <w:rPr>
          <w:spacing w:val="-60"/>
        </w:rPr>
        <w:t> </w:t>
      </w:r>
      <w:r>
        <w:rPr>
          <w:spacing w:val="-60"/>
        </w:rPr>
      </w:r>
      <w:r>
        <w:rPr/>
        <w:t>无。</w:t>
      </w:r>
    </w:p>
    <w:p>
      <w:pPr>
        <w:pStyle w:val="BodyText"/>
        <w:spacing w:line="259" w:lineRule="auto" w:before="143"/>
        <w:ind w:left="513" w:right="7278" w:hanging="360"/>
        <w:jc w:val="left"/>
      </w:pPr>
      <w:r>
        <w:rPr>
          <w:rFonts w:ascii="Times New Roman" w:hAnsi="Times New Roman" w:cs="Times New Roman" w:eastAsia="Times New Roman" w:hint="default"/>
          <w:spacing w:val="-3"/>
        </w:rPr>
        <w:t>7)</w:t>
      </w:r>
      <w:r>
        <w:rPr>
          <w:spacing w:val="-3"/>
        </w:rPr>
        <w:t>因金融资产转移而终止确认的其他应收款</w:t>
      </w:r>
      <w:r>
        <w:rPr>
          <w:spacing w:val="-29"/>
        </w:rPr>
        <w:t> </w:t>
      </w:r>
      <w:r>
        <w:rPr>
          <w:spacing w:val="-29"/>
        </w:rPr>
      </w:r>
      <w:r>
        <w:rPr/>
        <w:t>无。</w:t>
      </w:r>
    </w:p>
    <w:p>
      <w:pPr>
        <w:spacing w:line="240" w:lineRule="auto" w:before="10"/>
        <w:rPr>
          <w:rFonts w:ascii="宋体" w:hAnsi="宋体" w:cs="宋体" w:eastAsia="宋体" w:hint="default"/>
          <w:sz w:val="26"/>
          <w:szCs w:val="26"/>
        </w:rPr>
      </w:pPr>
    </w:p>
    <w:p>
      <w:pPr>
        <w:pStyle w:val="BodyText"/>
        <w:spacing w:line="264" w:lineRule="auto"/>
        <w:ind w:left="513" w:right="6570" w:hanging="360"/>
        <w:jc w:val="left"/>
      </w:pPr>
      <w:r>
        <w:rPr>
          <w:rFonts w:ascii="Times New Roman" w:hAnsi="Times New Roman" w:cs="Times New Roman" w:eastAsia="Times New Roman" w:hint="default"/>
          <w:spacing w:val="-3"/>
        </w:rPr>
        <w:t>8)</w:t>
      </w:r>
      <w:r>
        <w:rPr>
          <w:spacing w:val="-3"/>
        </w:rPr>
        <w:t>转移其他应收款且继续涉入形成的资产、负债金额</w:t>
      </w:r>
      <w:r>
        <w:rPr>
          <w:spacing w:val="-18"/>
        </w:rPr>
        <w:t> </w:t>
      </w:r>
      <w:r>
        <w:rPr>
          <w:spacing w:val="-18"/>
        </w:rPr>
      </w:r>
      <w:r>
        <w:rPr/>
        <w:t>无。</w:t>
      </w:r>
    </w:p>
    <w:p>
      <w:pPr>
        <w:spacing w:after="0" w:line="264"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7425"/>
        <w:jc w:val="left"/>
      </w:pPr>
      <w:r>
        <w:rPr>
          <w:spacing w:val="-3"/>
        </w:rPr>
        <w:t>公司是否需要遵守房地产行业的披露要求</w:t>
      </w:r>
      <w:r>
        <w:rPr>
          <w:spacing w:val="-33"/>
        </w:rPr>
        <w:t> </w:t>
      </w:r>
      <w:r>
        <w:rPr>
          <w:spacing w:val="-33"/>
        </w:rPr>
      </w:r>
      <w:r>
        <w:rPr/>
        <w:t>否</w:t>
      </w:r>
    </w:p>
    <w:p>
      <w:pPr>
        <w:spacing w:line="240" w:lineRule="auto" w:before="1"/>
        <w:rPr>
          <w:rFonts w:ascii="宋体" w:hAnsi="宋体" w:cs="宋体" w:eastAsia="宋体" w:hint="default"/>
          <w:sz w:val="20"/>
          <w:szCs w:val="20"/>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9"/>
        <w:gridCol w:w="1364"/>
        <w:gridCol w:w="1368"/>
        <w:gridCol w:w="1369"/>
      </w:tblGrid>
      <w:tr>
        <w:trPr>
          <w:trHeight w:val="32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3,868,811.50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3,868,811.50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7,984,255.92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7,984,255.92</w:t>
            </w: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124,225,689.98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123,665,189.38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147,804,678.24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866,030.87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146,938,647.37</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128,094,501.48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127,534,000.88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155,788,934.16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866,030.87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154,922,903.29</w:t>
            </w:r>
          </w:p>
        </w:tc>
      </w:tr>
    </w:tbl>
    <w:p>
      <w:pPr>
        <w:pStyle w:val="BodyText"/>
        <w:spacing w:line="264" w:lineRule="auto" w:before="10"/>
        <w:ind w:right="2424"/>
        <w:jc w:val="left"/>
      </w:pPr>
      <w:r>
        <w:rPr>
          <w:spacing w:val="-3"/>
        </w:rPr>
        <w:t>公司是否需遵守《深圳证券交易所行业信息披露指引第 </w:t>
      </w:r>
      <w:r>
        <w:rPr>
          <w:rFonts w:ascii="Times New Roman" w:hAnsi="Times New Roman" w:cs="Times New Roman" w:eastAsia="Times New Roman" w:hint="default"/>
        </w:rPr>
        <w:t>4 </w:t>
      </w:r>
      <w:r>
        <w:rPr>
          <w:spacing w:val="-3"/>
        </w:rPr>
        <w:t>号</w:t>
      </w:r>
      <w:r>
        <w:rPr>
          <w:rFonts w:ascii="Times New Roman" w:hAnsi="Times New Roman" w:cs="Times New Roman" w:eastAsia="Times New Roman" w:hint="default"/>
          <w:spacing w:val="-3"/>
        </w:rPr>
        <w:t>—</w:t>
      </w:r>
      <w:r>
        <w:rPr>
          <w:spacing w:val="-3"/>
        </w:rPr>
        <w:t>上市公司从事种业、种植业务》的披露要求</w:t>
      </w:r>
      <w:r>
        <w:rPr>
          <w:spacing w:val="-46"/>
        </w:rPr>
        <w:t> </w:t>
      </w:r>
      <w:r>
        <w:rPr>
          <w:spacing w:val="-46"/>
        </w:rPr>
      </w:r>
      <w:r>
        <w:rPr/>
        <w:t>否</w:t>
      </w:r>
    </w:p>
    <w:p>
      <w:pPr>
        <w:pStyle w:val="BodyText"/>
        <w:spacing w:line="264" w:lineRule="auto" w:before="20"/>
        <w:ind w:right="1641"/>
        <w:jc w:val="left"/>
      </w:pPr>
      <w:r>
        <w:rPr>
          <w:spacing w:val="-3"/>
        </w:rPr>
        <w:t>公司是否需遵守《深圳证券交易所创业板行业信息披露指引第 </w:t>
      </w:r>
      <w:r>
        <w:rPr>
          <w:rFonts w:ascii="Times New Roman" w:hAnsi="Times New Roman" w:cs="Times New Roman" w:eastAsia="Times New Roman" w:hint="default"/>
        </w:rPr>
        <w:t>1 </w:t>
      </w:r>
      <w:r>
        <w:rPr>
          <w:spacing w:val="-3"/>
        </w:rPr>
        <w:t>号</w:t>
      </w:r>
      <w:r>
        <w:rPr>
          <w:rFonts w:ascii="Times New Roman" w:hAnsi="Times New Roman" w:cs="Times New Roman" w:eastAsia="Times New Roman" w:hint="default"/>
          <w:spacing w:val="-3"/>
        </w:rPr>
        <w:t>——</w:t>
      </w:r>
      <w:r>
        <w:rPr>
          <w:spacing w:val="-3"/>
        </w:rPr>
        <w:t>上市公司从事广播电影电视业务》的披露要求</w:t>
      </w:r>
      <w:r>
        <w:rPr>
          <w:spacing w:val="-29"/>
        </w:rPr>
        <w:t> </w:t>
      </w:r>
      <w:r>
        <w:rPr>
          <w:spacing w:val="-29"/>
        </w:rPr>
      </w:r>
      <w:r>
        <w:rPr/>
        <w:t>否</w:t>
      </w:r>
    </w:p>
    <w:p>
      <w:pPr>
        <w:pStyle w:val="BodyText"/>
        <w:spacing w:line="264" w:lineRule="auto" w:before="20"/>
        <w:ind w:right="1758"/>
        <w:jc w:val="left"/>
      </w:pPr>
      <w:r>
        <w:rPr>
          <w:spacing w:val="-3"/>
        </w:rPr>
        <w:t>公司是否需遵守《深圳证券交易所创业板行业信息披露指引第 </w:t>
      </w:r>
      <w:r>
        <w:rPr>
          <w:rFonts w:ascii="Times New Roman" w:hAnsi="Times New Roman" w:cs="Times New Roman" w:eastAsia="Times New Roman" w:hint="default"/>
        </w:rPr>
        <w:t>5 </w:t>
      </w:r>
      <w:r>
        <w:rPr>
          <w:spacing w:val="-3"/>
        </w:rPr>
        <w:t>号</w:t>
      </w:r>
      <w:r>
        <w:rPr>
          <w:rFonts w:ascii="Times New Roman" w:hAnsi="Times New Roman" w:cs="Times New Roman" w:eastAsia="Times New Roman" w:hint="default"/>
          <w:spacing w:val="-3"/>
        </w:rPr>
        <w:t>——</w:t>
      </w:r>
      <w:r>
        <w:rPr>
          <w:spacing w:val="-3"/>
        </w:rPr>
        <w:t>上市公司从事互联网游戏业务》的披露要求</w:t>
      </w:r>
      <w:r>
        <w:rPr>
          <w:spacing w:val="-30"/>
        </w:rPr>
        <w:t> </w:t>
      </w:r>
      <w:r>
        <w:rPr>
          <w:spacing w:val="-30"/>
        </w:rPr>
      </w:r>
      <w:r>
        <w:rPr/>
        <w:t>否</w:t>
      </w:r>
    </w:p>
    <w:p>
      <w:pPr>
        <w:pStyle w:val="BodyText"/>
        <w:spacing w:line="259" w:lineRule="auto" w:before="20"/>
        <w:ind w:right="2697"/>
        <w:jc w:val="left"/>
      </w:pPr>
      <w:r>
        <w:rPr>
          <w:spacing w:val="-3"/>
        </w:rPr>
        <w:t>公司需遵守《深圳证券交易所行业信息披露指引第 </w:t>
      </w:r>
      <w:r>
        <w:rPr>
          <w:rFonts w:ascii="Times New Roman" w:hAnsi="Times New Roman" w:cs="Times New Roman" w:eastAsia="Times New Roman" w:hint="default"/>
          <w:spacing w:val="-3"/>
        </w:rPr>
        <w:t>11 </w:t>
      </w:r>
      <w:r>
        <w:rPr>
          <w:spacing w:val="-3"/>
        </w:rPr>
        <w:t>号</w:t>
      </w:r>
      <w:r>
        <w:rPr>
          <w:rFonts w:ascii="Times New Roman" w:hAnsi="Times New Roman" w:cs="Times New Roman" w:eastAsia="Times New Roman" w:hint="default"/>
          <w:spacing w:val="-3"/>
        </w:rPr>
        <w:t>——</w:t>
      </w:r>
      <w:r>
        <w:rPr>
          <w:spacing w:val="-3"/>
        </w:rPr>
        <w:t>上市公司从事珠宝相关业务》的披露要求</w:t>
      </w:r>
      <w:r>
        <w:rPr>
          <w:spacing w:val="-44"/>
        </w:rPr>
        <w:t> </w:t>
      </w:r>
      <w:r>
        <w:rPr>
          <w:spacing w:val="-44"/>
        </w:rPr>
      </w:r>
      <w:r>
        <w:rPr/>
        <w:t>否</w:t>
      </w:r>
    </w:p>
    <w:p>
      <w:pPr>
        <w:spacing w:line="240" w:lineRule="auto" w:before="2"/>
        <w:rPr>
          <w:rFonts w:ascii="宋体" w:hAnsi="宋体" w:cs="宋体" w:eastAsia="宋体" w:hint="default"/>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9"/>
        <w:gridCol w:w="1364"/>
        <w:gridCol w:w="1368"/>
        <w:gridCol w:w="1369"/>
      </w:tblGrid>
      <w:tr>
        <w:trPr>
          <w:trHeight w:val="32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866,030.87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3" w:right="0"/>
              <w:jc w:val="left"/>
              <w:rPr>
                <w:rFonts w:ascii="Times New Roman" w:hAnsi="Times New Roman" w:cs="Times New Roman" w:eastAsia="Times New Roman" w:hint="default"/>
                <w:sz w:val="18"/>
                <w:szCs w:val="18"/>
              </w:rPr>
            </w:pPr>
            <w:r>
              <w:rPr>
                <w:rFonts w:ascii="Times New Roman"/>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866,030.87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560,500.60</w:t>
            </w: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866,030.87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3" w:right="0"/>
              <w:jc w:val="left"/>
              <w:rPr>
                <w:rFonts w:ascii="Times New Roman" w:hAnsi="Times New Roman" w:cs="Times New Roman" w:eastAsia="Times New Roman" w:hint="default"/>
                <w:sz w:val="18"/>
                <w:szCs w:val="18"/>
              </w:rPr>
            </w:pPr>
            <w:r>
              <w:rPr>
                <w:rFonts w:ascii="Times New Roman"/>
                <w:sz w:val="18"/>
              </w:rPr>
              <w:t>560,500.60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866,030.87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560,500.60</w:t>
            </w:r>
          </w:p>
        </w:tc>
      </w:tr>
    </w:tbl>
    <w:p>
      <w:pPr>
        <w:spacing w:line="240" w:lineRule="auto" w:before="10"/>
        <w:rPr>
          <w:rFonts w:ascii="宋体" w:hAnsi="宋体" w:cs="宋体" w:eastAsia="宋体" w:hint="default"/>
          <w:sz w:val="20"/>
          <w:szCs w:val="20"/>
        </w:rPr>
      </w:pPr>
    </w:p>
    <w:p>
      <w:pPr>
        <w:pStyle w:val="BodyText"/>
        <w:spacing w:line="240" w:lineRule="auto" w:before="46"/>
        <w:ind w:left="513" w:right="1055"/>
        <w:jc w:val="left"/>
      </w:pPr>
      <w:r>
        <w:rPr>
          <w:spacing w:val="-3"/>
        </w:rPr>
        <w:t>转销的原因系上期计提存货跌价准备的存货本期实现对外销售。</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1055"/>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3"/>
        <w:rPr>
          <w:rFonts w:ascii="宋体" w:hAnsi="宋体" w:cs="宋体" w:eastAsia="宋体" w:hint="default"/>
          <w:sz w:val="22"/>
          <w:szCs w:val="22"/>
        </w:rPr>
      </w:pPr>
    </w:p>
    <w:p>
      <w:pPr>
        <w:pStyle w:val="Heading3"/>
        <w:spacing w:line="240" w:lineRule="auto"/>
        <w:ind w:right="1055"/>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1,304,832.98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1,172,098.83</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47,216,163.77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69,900,914.14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8,721,770.14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15,665,108.44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4,743,123.10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30,253,834.56</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169,794.71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402,774.63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167,000,000.00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10,417,488.59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49,447,488.59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239,573,173.29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326,842,219.19</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003"/>
        <w:gridCol w:w="1196"/>
        <w:gridCol w:w="1196"/>
        <w:gridCol w:w="1196"/>
        <w:gridCol w:w="1249"/>
        <w:gridCol w:w="1368"/>
        <w:gridCol w:w="1369"/>
      </w:tblGrid>
      <w:tr>
        <w:trPr>
          <w:trHeight w:val="326" w:hRule="exact"/>
        </w:trPr>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00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7"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center"/>
              <w:rPr>
                <w:rFonts w:ascii="Times New Roman" w:hAnsi="Times New Roman" w:cs="Times New Roman" w:eastAsia="Times New Roman" w:hint="default"/>
                <w:sz w:val="18"/>
                <w:szCs w:val="18"/>
              </w:rPr>
            </w:pPr>
            <w:r>
              <w:rPr>
                <w:rFonts w:ascii="Times New Roman"/>
                <w:sz w:val="18"/>
              </w:rPr>
              <w:t>30,000,000.00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4" w:right="0"/>
              <w:jc w:val="center"/>
              <w:rPr>
                <w:rFonts w:ascii="Times New Roman" w:hAnsi="Times New Roman" w:cs="Times New Roman" w:eastAsia="Times New Roman" w:hint="default"/>
                <w:sz w:val="18"/>
                <w:szCs w:val="18"/>
              </w:rPr>
            </w:pPr>
            <w:r>
              <w:rPr>
                <w:rFonts w:ascii="Times New Roman"/>
                <w:sz w:val="18"/>
              </w:rPr>
              <w:t>30,000,000.00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97" w:right="0"/>
              <w:jc w:val="left"/>
              <w:rPr>
                <w:rFonts w:ascii="Times New Roman" w:hAnsi="Times New Roman" w:cs="Times New Roman" w:eastAsia="Times New Roman" w:hint="default"/>
                <w:sz w:val="18"/>
                <w:szCs w:val="18"/>
              </w:rPr>
            </w:pPr>
            <w:r>
              <w:rPr>
                <w:rFonts w:ascii="Times New Roman"/>
                <w:sz w:val="18"/>
              </w:rPr>
              <w:t>30,000,000.00</w:t>
            </w:r>
          </w:p>
        </w:tc>
      </w:tr>
      <w:tr>
        <w:trPr>
          <w:trHeight w:val="322"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0"/>
              <w:jc w:val="center"/>
              <w:rPr>
                <w:rFonts w:ascii="Times New Roman" w:hAnsi="Times New Roman" w:cs="Times New Roman" w:eastAsia="Times New Roman" w:hint="default"/>
                <w:sz w:val="18"/>
                <w:szCs w:val="18"/>
              </w:rPr>
            </w:pPr>
            <w:r>
              <w:rPr>
                <w:rFonts w:ascii="Times New Roman"/>
                <w:sz w:val="18"/>
              </w:rPr>
              <w:t>30,000,000.00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14" w:right="0"/>
              <w:jc w:val="center"/>
              <w:rPr>
                <w:rFonts w:ascii="Times New Roman" w:hAnsi="Times New Roman" w:cs="Times New Roman" w:eastAsia="Times New Roman" w:hint="default"/>
                <w:sz w:val="18"/>
                <w:szCs w:val="18"/>
              </w:rPr>
            </w:pPr>
            <w:r>
              <w:rPr>
                <w:rFonts w:ascii="Times New Roman"/>
                <w:sz w:val="18"/>
              </w:rPr>
              <w:t>30,000,000.00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7" w:right="0"/>
              <w:jc w:val="left"/>
              <w:rPr>
                <w:rFonts w:ascii="Times New Roman" w:hAnsi="Times New Roman" w:cs="Times New Roman" w:eastAsia="Times New Roman" w:hint="default"/>
                <w:sz w:val="18"/>
                <w:szCs w:val="18"/>
              </w:rPr>
            </w:pPr>
            <w:r>
              <w:rPr>
                <w:rFonts w:ascii="Times New Roman"/>
                <w:sz w:val="18"/>
              </w:rPr>
              <w:t>30,000,000.00</w:t>
            </w:r>
          </w:p>
        </w:tc>
      </w:tr>
      <w:tr>
        <w:trPr>
          <w:trHeight w:val="322"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center"/>
              <w:rPr>
                <w:rFonts w:ascii="Times New Roman" w:hAnsi="Times New Roman" w:cs="Times New Roman" w:eastAsia="Times New Roman" w:hint="default"/>
                <w:sz w:val="18"/>
                <w:szCs w:val="18"/>
              </w:rPr>
            </w:pPr>
            <w:r>
              <w:rPr>
                <w:rFonts w:ascii="Times New Roman"/>
                <w:sz w:val="18"/>
              </w:rPr>
              <w:t>30,000,000.00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4" w:right="0"/>
              <w:jc w:val="center"/>
              <w:rPr>
                <w:rFonts w:ascii="Times New Roman" w:hAnsi="Times New Roman" w:cs="Times New Roman" w:eastAsia="Times New Roman" w:hint="default"/>
                <w:sz w:val="18"/>
                <w:szCs w:val="18"/>
              </w:rPr>
            </w:pPr>
            <w:r>
              <w:rPr>
                <w:rFonts w:ascii="Times New Roman"/>
                <w:sz w:val="18"/>
              </w:rPr>
              <w:t>30,000,000.00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97" w:right="0"/>
              <w:jc w:val="left"/>
              <w:rPr>
                <w:rFonts w:ascii="Times New Roman" w:hAnsi="Times New Roman" w:cs="Times New Roman" w:eastAsia="Times New Roman" w:hint="default"/>
                <w:sz w:val="18"/>
                <w:szCs w:val="18"/>
              </w:rPr>
            </w:pPr>
            <w:r>
              <w:rPr>
                <w:rFonts w:ascii="Times New Roman"/>
                <w:sz w:val="18"/>
              </w:rPr>
              <w:t>30,000,000.00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26"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5"/>
              <w:ind w:left="335" w:right="60"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left="72" w:right="60"/>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单位持股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5"/>
              <w:ind w:left="249" w:right="60"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466"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104"/>
              <w:jc w:val="both"/>
              <w:rPr>
                <w:rFonts w:ascii="宋体" w:hAnsi="宋体" w:cs="宋体" w:eastAsia="宋体" w:hint="default"/>
                <w:sz w:val="18"/>
                <w:szCs w:val="18"/>
              </w:rPr>
            </w:pPr>
            <w:r>
              <w:rPr>
                <w:rFonts w:ascii="宋体" w:hAnsi="宋体" w:cs="宋体" w:eastAsia="宋体" w:hint="default"/>
                <w:sz w:val="18"/>
                <w:szCs w:val="18"/>
              </w:rPr>
              <w:t>上海保险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交易所股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5"/>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1.34%</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4"/>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36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26"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78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15" w:right="27"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
              <w:ind w:left="33"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7"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9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深圳票联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 w:right="0"/>
              <w:jc w:val="left"/>
              <w:rPr>
                <w:rFonts w:ascii="Times New Roman" w:hAnsi="Times New Roman" w:cs="Times New Roman" w:eastAsia="Times New Roman" w:hint="default"/>
                <w:sz w:val="18"/>
                <w:szCs w:val="18"/>
              </w:rPr>
            </w:pPr>
            <w:r>
              <w:rPr>
                <w:rFonts w:ascii="Times New Roman"/>
                <w:sz w:val="18"/>
              </w:rPr>
              <w:t>8,289,322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sz w:val="18"/>
              </w:rPr>
              <w:t>-2,372,17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 w:right="0"/>
              <w:jc w:val="left"/>
              <w:rPr>
                <w:rFonts w:ascii="Times New Roman" w:hAnsi="Times New Roman" w:cs="Times New Roman" w:eastAsia="Times New Roman" w:hint="default"/>
                <w:sz w:val="18"/>
                <w:szCs w:val="18"/>
              </w:rPr>
            </w:pPr>
            <w:r>
              <w:rPr>
                <w:rFonts w:ascii="Times New Roman"/>
                <w:sz w:val="18"/>
              </w:rPr>
              <w:t>408,334.0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left"/>
              <w:rPr>
                <w:rFonts w:ascii="Times New Roman" w:hAnsi="Times New Roman" w:cs="Times New Roman" w:eastAsia="Times New Roman" w:hint="default"/>
                <w:sz w:val="18"/>
                <w:szCs w:val="18"/>
              </w:rPr>
            </w:pPr>
            <w:r>
              <w:rPr>
                <w:rFonts w:ascii="Times New Roman"/>
                <w:sz w:val="18"/>
              </w:rPr>
              <w:t>6,325,484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51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金融服务</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Times New Roman" w:hAnsi="Times New Roman" w:cs="Times New Roman" w:eastAsia="Times New Roman" w:hint="default"/>
                <w:sz w:val="18"/>
                <w:szCs w:val="18"/>
              </w:rPr>
            </w:pPr>
            <w:r>
              <w:rPr>
                <w:rFonts w:ascii="Times New Roman"/>
                <w:sz w:val="18"/>
              </w:rPr>
              <w:t>2.24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36"/>
              <w:jc w:val="both"/>
              <w:rPr>
                <w:rFonts w:ascii="宋体" w:hAnsi="宋体" w:cs="宋体" w:eastAsia="宋体" w:hint="default"/>
                <w:sz w:val="18"/>
                <w:szCs w:val="18"/>
              </w:rPr>
            </w:pPr>
            <w:r>
              <w:rPr>
                <w:rFonts w:ascii="宋体" w:hAnsi="宋体" w:cs="宋体" w:eastAsia="宋体" w:hint="default"/>
                <w:sz w:val="18"/>
                <w:szCs w:val="18"/>
              </w:rPr>
              <w:t>北京华道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征信有限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5,993,884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-7,621,31</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3.44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-1,627,42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36"/>
              <w:jc w:val="both"/>
              <w:rPr>
                <w:rFonts w:ascii="宋体" w:hAnsi="宋体" w:cs="宋体" w:eastAsia="宋体" w:hint="default"/>
                <w:sz w:val="18"/>
                <w:szCs w:val="18"/>
              </w:rPr>
            </w:pPr>
            <w:r>
              <w:rPr>
                <w:rFonts w:ascii="宋体" w:hAnsi="宋体" w:cs="宋体" w:eastAsia="宋体" w:hint="default"/>
                <w:sz w:val="18"/>
                <w:szCs w:val="18"/>
              </w:rPr>
              <w:t>福建片仔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癀银之杰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8,348,778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71,547.17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pacing w:val="-1"/>
                <w:sz w:val="18"/>
              </w:rPr>
              <w:t>8,420,325</w:t>
            </w:r>
          </w:p>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36"/>
              <w:jc w:val="both"/>
              <w:rPr>
                <w:rFonts w:ascii="宋体" w:hAnsi="宋体" w:cs="宋体" w:eastAsia="宋体" w:hint="default"/>
                <w:sz w:val="18"/>
                <w:szCs w:val="18"/>
              </w:rPr>
            </w:pPr>
            <w:r>
              <w:rPr>
                <w:rFonts w:ascii="宋体" w:hAnsi="宋体" w:cs="宋体" w:eastAsia="宋体" w:hint="default"/>
                <w:sz w:val="18"/>
                <w:szCs w:val="18"/>
              </w:rPr>
              <w:t>易安财产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保险股份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146,723,0</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75.56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-29,912,0</w:t>
            </w: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74.84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-8,297,27</w:t>
            </w: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108,513,7</w:t>
            </w: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27.22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36"/>
              <w:jc w:val="both"/>
              <w:rPr>
                <w:rFonts w:ascii="宋体" w:hAnsi="宋体" w:cs="宋体" w:eastAsia="宋体" w:hint="default"/>
                <w:sz w:val="18"/>
                <w:szCs w:val="18"/>
              </w:rPr>
            </w:pPr>
            <w:r>
              <w:rPr>
                <w:rFonts w:ascii="宋体" w:hAnsi="宋体" w:cs="宋体" w:eastAsia="宋体" w:hint="default"/>
                <w:sz w:val="18"/>
                <w:szCs w:val="18"/>
              </w:rPr>
              <w:t>国誉创富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国际金融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圳）有限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13,462,79</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-5,602,52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6.88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pacing w:val="-1"/>
                <w:sz w:val="18"/>
              </w:rPr>
              <w:t>7,860,263</w:t>
            </w:r>
          </w:p>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36"/>
              <w:jc w:val="both"/>
              <w:rPr>
                <w:rFonts w:ascii="宋体" w:hAnsi="宋体" w:cs="宋体" w:eastAsia="宋体" w:hint="default"/>
                <w:sz w:val="18"/>
                <w:szCs w:val="18"/>
              </w:rPr>
            </w:pPr>
            <w:r>
              <w:rPr>
                <w:rFonts w:ascii="宋体" w:hAnsi="宋体" w:cs="宋体" w:eastAsia="宋体" w:hint="default"/>
                <w:sz w:val="18"/>
                <w:szCs w:val="18"/>
              </w:rPr>
              <w:t>恒银（嘉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兴）资产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2,002,269</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-119,506.</w:t>
            </w:r>
          </w:p>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z w:val="18"/>
              </w:rPr>
              <w:t>93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1,882,762</w:t>
            </w:r>
          </w:p>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36"/>
              <w:jc w:val="both"/>
              <w:rPr>
                <w:rFonts w:ascii="宋体" w:hAnsi="宋体" w:cs="宋体" w:eastAsia="宋体" w:hint="default"/>
                <w:sz w:val="18"/>
                <w:szCs w:val="18"/>
              </w:rPr>
            </w:pPr>
            <w:r>
              <w:rPr>
                <w:rFonts w:ascii="宋体" w:hAnsi="宋体" w:cs="宋体" w:eastAsia="宋体" w:hint="default"/>
                <w:sz w:val="18"/>
                <w:szCs w:val="18"/>
              </w:rPr>
              <w:t>东亚前海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379,839,2</w:t>
            </w:r>
          </w:p>
          <w:p>
            <w:pPr>
              <w:pStyle w:val="TableParagraph"/>
              <w:spacing w:line="240" w:lineRule="auto" w:before="4"/>
              <w:ind w:left="360" w:right="0"/>
              <w:jc w:val="left"/>
              <w:rPr>
                <w:rFonts w:ascii="Times New Roman" w:hAnsi="Times New Roman" w:cs="Times New Roman" w:eastAsia="Times New Roman" w:hint="default"/>
                <w:sz w:val="18"/>
                <w:szCs w:val="18"/>
              </w:rPr>
            </w:pPr>
            <w:r>
              <w:rPr>
                <w:rFonts w:ascii="Times New Roman"/>
                <w:sz w:val="18"/>
              </w:rPr>
              <w:t>27.28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-14,640,0</w:t>
            </w:r>
          </w:p>
          <w:p>
            <w:pPr>
              <w:pStyle w:val="TableParagraph"/>
              <w:spacing w:line="240" w:lineRule="auto" w:before="4"/>
              <w:ind w:left="364" w:right="0"/>
              <w:jc w:val="left"/>
              <w:rPr>
                <w:rFonts w:ascii="Times New Roman" w:hAnsi="Times New Roman" w:cs="Times New Roman" w:eastAsia="Times New Roman" w:hint="default"/>
                <w:sz w:val="18"/>
                <w:szCs w:val="18"/>
              </w:rPr>
            </w:pPr>
            <w:r>
              <w:rPr>
                <w:rFonts w:ascii="Times New Roman"/>
                <w:sz w:val="18"/>
              </w:rPr>
              <w:t>30.82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288,148.6</w:t>
            </w:r>
          </w:p>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365,487,3</w:t>
            </w:r>
          </w:p>
          <w:p>
            <w:pPr>
              <w:pStyle w:val="TableParagraph"/>
              <w:spacing w:line="240" w:lineRule="auto" w:before="4"/>
              <w:ind w:left="364" w:right="0"/>
              <w:jc w:val="left"/>
              <w:rPr>
                <w:rFonts w:ascii="Times New Roman" w:hAnsi="Times New Roman" w:cs="Times New Roman" w:eastAsia="Times New Roman" w:hint="default"/>
                <w:sz w:val="18"/>
                <w:szCs w:val="18"/>
              </w:rPr>
            </w:pPr>
            <w:r>
              <w:rPr>
                <w:rFonts w:ascii="Times New Roman"/>
                <w:sz w:val="18"/>
              </w:rPr>
              <w:t>45.06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36"/>
              <w:jc w:val="both"/>
              <w:rPr>
                <w:rFonts w:ascii="宋体" w:hAnsi="宋体" w:cs="宋体" w:eastAsia="宋体" w:hint="default"/>
                <w:sz w:val="18"/>
                <w:szCs w:val="18"/>
              </w:rPr>
            </w:pPr>
            <w:r>
              <w:rPr>
                <w:rFonts w:ascii="宋体" w:hAnsi="宋体" w:cs="宋体" w:eastAsia="宋体" w:hint="default"/>
                <w:sz w:val="18"/>
                <w:szCs w:val="18"/>
              </w:rPr>
              <w:t>北京智帆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金科信息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25,614,18</w:t>
            </w:r>
          </w:p>
          <w:p>
            <w:pPr>
              <w:pStyle w:val="TableParagraph"/>
              <w:spacing w:line="240" w:lineRule="auto" w:before="4"/>
              <w:ind w:left="446" w:right="0"/>
              <w:jc w:val="left"/>
              <w:rPr>
                <w:rFonts w:ascii="Times New Roman" w:hAnsi="Times New Roman" w:cs="Times New Roman" w:eastAsia="Times New Roman" w:hint="default"/>
                <w:sz w:val="18"/>
                <w:szCs w:val="18"/>
              </w:rPr>
            </w:pPr>
            <w:r>
              <w:rPr>
                <w:rFonts w:ascii="Times New Roman"/>
                <w:sz w:val="18"/>
              </w:rPr>
              <w:t>4.10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-1,860,61</w:t>
            </w:r>
          </w:p>
          <w:p>
            <w:pPr>
              <w:pStyle w:val="TableParagraph"/>
              <w:spacing w:line="240" w:lineRule="auto" w:before="4"/>
              <w:ind w:left="451" w:right="0"/>
              <w:jc w:val="left"/>
              <w:rPr>
                <w:rFonts w:ascii="Times New Roman" w:hAnsi="Times New Roman" w:cs="Times New Roman" w:eastAsia="Times New Roman" w:hint="default"/>
                <w:sz w:val="18"/>
                <w:szCs w:val="18"/>
              </w:rPr>
            </w:pPr>
            <w:r>
              <w:rPr>
                <w:rFonts w:ascii="Times New Roman"/>
                <w:sz w:val="18"/>
              </w:rPr>
              <w:t>6.18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23,753,56</w:t>
            </w:r>
          </w:p>
          <w:p>
            <w:pPr>
              <w:pStyle w:val="TableParagraph"/>
              <w:spacing w:line="240" w:lineRule="auto" w:before="4"/>
              <w:ind w:left="451" w:right="0"/>
              <w:jc w:val="left"/>
              <w:rPr>
                <w:rFonts w:ascii="Times New Roman" w:hAnsi="Times New Roman" w:cs="Times New Roman" w:eastAsia="Times New Roman" w:hint="default"/>
                <w:sz w:val="18"/>
                <w:szCs w:val="18"/>
              </w:rPr>
            </w:pPr>
            <w:r>
              <w:rPr>
                <w:rFonts w:ascii="Times New Roman"/>
                <w:sz w:val="18"/>
              </w:rPr>
              <w:t>7.92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
              <w:ind w:left="24" w:right="0"/>
              <w:jc w:val="both"/>
              <w:rPr>
                <w:rFonts w:ascii="宋体" w:hAnsi="宋体" w:cs="宋体" w:eastAsia="宋体" w:hint="default"/>
                <w:sz w:val="18"/>
                <w:szCs w:val="18"/>
              </w:rPr>
            </w:pPr>
            <w:r>
              <w:rPr>
                <w:rFonts w:ascii="宋体" w:hAnsi="宋体" w:cs="宋体" w:eastAsia="宋体" w:hint="default"/>
                <w:sz w:val="18"/>
                <w:szCs w:val="18"/>
              </w:rPr>
              <w:t>百可录</w:t>
            </w:r>
          </w:p>
          <w:p>
            <w:pPr>
              <w:pStyle w:val="TableParagraph"/>
              <w:spacing w:line="240" w:lineRule="auto"/>
              <w:ind w:left="24" w:right="36"/>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17,000,00</w:t>
            </w:r>
          </w:p>
          <w:p>
            <w:pPr>
              <w:pStyle w:val="TableParagraph"/>
              <w:spacing w:line="207" w:lineRule="exact"/>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right="14"/>
              <w:jc w:val="right"/>
              <w:rPr>
                <w:rFonts w:ascii="Times New Roman" w:hAnsi="Times New Roman" w:cs="Times New Roman" w:eastAsia="Times New Roman" w:hint="default"/>
                <w:sz w:val="18"/>
                <w:szCs w:val="18"/>
              </w:rPr>
            </w:pPr>
            <w:r>
              <w:rPr>
                <w:rFonts w:ascii="Times New Roman"/>
                <w:spacing w:val="-1"/>
                <w:sz w:val="18"/>
              </w:rPr>
              <w:t>-355,059.</w:t>
            </w:r>
          </w:p>
          <w:p>
            <w:pPr>
              <w:pStyle w:val="TableParagraph"/>
              <w:spacing w:line="207" w:lineRule="exact"/>
              <w:ind w:right="12"/>
              <w:jc w:val="right"/>
              <w:rPr>
                <w:rFonts w:ascii="Times New Roman" w:hAnsi="Times New Roman" w:cs="Times New Roman" w:eastAsia="Times New Roman" w:hint="default"/>
                <w:sz w:val="18"/>
                <w:szCs w:val="18"/>
              </w:rPr>
            </w:pPr>
            <w:r>
              <w:rPr>
                <w:rFonts w:ascii="Times New Roman"/>
                <w:sz w:val="18"/>
              </w:rPr>
              <w:t>38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48" w:right="0"/>
              <w:jc w:val="left"/>
              <w:rPr>
                <w:rFonts w:ascii="Times New Roman" w:hAnsi="Times New Roman" w:cs="Times New Roman" w:eastAsia="Times New Roman" w:hint="default"/>
                <w:sz w:val="18"/>
                <w:szCs w:val="18"/>
              </w:rPr>
            </w:pPr>
            <w:r>
              <w:rPr>
                <w:rFonts w:ascii="Times New Roman"/>
                <w:sz w:val="18"/>
              </w:rPr>
              <w:t>16,644,94</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0.62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607,273,5</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32.97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6" w:right="0"/>
              <w:jc w:val="left"/>
              <w:rPr>
                <w:rFonts w:ascii="Times New Roman" w:hAnsi="Times New Roman" w:cs="Times New Roman" w:eastAsia="Times New Roman" w:hint="default"/>
                <w:sz w:val="18"/>
                <w:szCs w:val="18"/>
              </w:rPr>
            </w:pPr>
            <w:r>
              <w:rPr>
                <w:rFonts w:ascii="Times New Roman"/>
                <w:sz w:val="18"/>
              </w:rPr>
              <w:t>-62,411,7</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53.54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left"/>
              <w:rPr>
                <w:rFonts w:ascii="Times New Roman" w:hAnsi="Times New Roman" w:cs="Times New Roman" w:eastAsia="Times New Roman" w:hint="default"/>
                <w:sz w:val="18"/>
                <w:szCs w:val="18"/>
              </w:rPr>
            </w:pPr>
            <w:r>
              <w:rPr>
                <w:rFonts w:ascii="Times New Roman"/>
                <w:sz w:val="18"/>
              </w:rPr>
              <w:t>-8,009,12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2"/>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8" w:right="0"/>
              <w:jc w:val="left"/>
              <w:rPr>
                <w:rFonts w:ascii="Times New Roman" w:hAnsi="Times New Roman" w:cs="Times New Roman" w:eastAsia="Times New Roman" w:hint="default"/>
                <w:sz w:val="18"/>
                <w:szCs w:val="18"/>
              </w:rPr>
            </w:pPr>
            <w:r>
              <w:rPr>
                <w:rFonts w:ascii="Times New Roman"/>
                <w:sz w:val="18"/>
              </w:rPr>
              <w:t>537,260,9</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88.53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607,273,5</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32.97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86" w:right="0"/>
              <w:jc w:val="left"/>
              <w:rPr>
                <w:rFonts w:ascii="Times New Roman" w:hAnsi="Times New Roman" w:cs="Times New Roman" w:eastAsia="Times New Roman" w:hint="default"/>
                <w:sz w:val="18"/>
                <w:szCs w:val="18"/>
              </w:rPr>
            </w:pPr>
            <w:r>
              <w:rPr>
                <w:rFonts w:ascii="Times New Roman"/>
                <w:sz w:val="18"/>
              </w:rPr>
              <w:t>-62,411,7</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53.54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left"/>
              <w:rPr>
                <w:rFonts w:ascii="Times New Roman" w:hAnsi="Times New Roman" w:cs="Times New Roman" w:eastAsia="Times New Roman" w:hint="default"/>
                <w:sz w:val="18"/>
                <w:szCs w:val="18"/>
              </w:rPr>
            </w:pPr>
            <w:r>
              <w:rPr>
                <w:rFonts w:ascii="Times New Roman"/>
                <w:sz w:val="18"/>
              </w:rPr>
              <w:t>-8,009,12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2"/>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1" w:right="0"/>
              <w:jc w:val="lef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8" w:right="0"/>
              <w:jc w:val="left"/>
              <w:rPr>
                <w:rFonts w:ascii="Times New Roman" w:hAnsi="Times New Roman" w:cs="Times New Roman" w:eastAsia="Times New Roman" w:hint="default"/>
                <w:sz w:val="18"/>
                <w:szCs w:val="18"/>
              </w:rPr>
            </w:pPr>
            <w:r>
              <w:rPr>
                <w:rFonts w:ascii="Times New Roman"/>
                <w:sz w:val="18"/>
              </w:rPr>
              <w:t>537,260,9</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88.53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9" w:right="0"/>
              <w:jc w:val="left"/>
              <w:rPr>
                <w:rFonts w:ascii="Times New Roman" w:hAnsi="Times New Roman" w:cs="Times New Roman" w:eastAsia="Times New Roman" w:hint="default"/>
                <w:sz w:val="18"/>
                <w:szCs w:val="18"/>
              </w:rPr>
            </w:pPr>
            <w:r>
              <w:rPr>
                <w:rFonts w:ascii="Times New Roman"/>
                <w:sz w:val="18"/>
              </w:rPr>
              <w:t>48,700,488.23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5" w:right="0"/>
              <w:jc w:val="left"/>
              <w:rPr>
                <w:rFonts w:ascii="Times New Roman" w:hAnsi="Times New Roman" w:cs="Times New Roman" w:eastAsia="Times New Roman" w:hint="default"/>
                <w:sz w:val="18"/>
                <w:szCs w:val="18"/>
              </w:rPr>
            </w:pPr>
            <w:r>
              <w:rPr>
                <w:rFonts w:ascii="Times New Roman"/>
                <w:sz w:val="18"/>
              </w:rPr>
              <w:t>48,700,488.23</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\h\</w:t>
            </w:r>
            <w:r>
              <w:rPr>
                <w:rFonts w:ascii="宋体" w:hAnsi="宋体" w:cs="宋体" w:eastAsia="宋体" w:hint="default"/>
                <w:spacing w:val="-4"/>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48,700,488.23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48,700,488.23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48,700,488.23</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10,468,772.00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10,468,772.00</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964,870.40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964,870.40</w:t>
            </w:r>
          </w:p>
        </w:tc>
      </w:tr>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964,870.40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964,870.40</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11,433,642.40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11,433,642.40</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11,433,642.40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11,433,642.40</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38,231,716.23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38,231,716.23</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13,570,998.25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13,493,700.28</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13,570,998.25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13,493,700.28</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9"/>
        <w:gridCol w:w="1369"/>
        <w:gridCol w:w="1368"/>
        <w:gridCol w:w="1369"/>
      </w:tblGrid>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9"/>
        <w:gridCol w:w="1369"/>
        <w:gridCol w:w="1368"/>
        <w:gridCol w:w="1369"/>
      </w:tblGrid>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3,609,455.90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5,501,827.14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7,876,540.35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7,831,468.29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8,235,398.88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33,054,690.56</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576,647.60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3,531,022.78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1,035,918.37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5,143,588.75</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576,647.60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3,531,022.78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1,035,918.37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5,143,588.75</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7"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7"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41,032.77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643,165.12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762,300.21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1,446,498.10</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7"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41,032.77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643,165.12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762,300.21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1,446,498.10</w:t>
            </w: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3,609,455.90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6,078,474.74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7,835,507.58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10,719,325.95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8,509,017.04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36,751,781.21</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103,389.47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4,210,266.93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5,043,109.99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5,182,235.75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5,021,988.14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19,560,990.28</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52,724.64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697,198.79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602,977.51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1,071,274.68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1,860,501.62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4,284,677.24</w:t>
            </w: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52,724.64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697,198.79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602,977.51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1,071,274.68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1,860,501.62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4,284,677.24</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154,951.57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509,932.99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664,884.56</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7"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154,951.57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509,932.99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664,884.56</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3"/>
                <w:sz w:val="18"/>
              </w:rPr>
              <w:t>156,114.11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4,907,465.72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5,646,087.50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6,098,558.86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6,372,556.77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23,180,782.96</w:t>
            </w: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7"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3,453,341.79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1,171,009.02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2,189,420.08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4,620,767.09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2,136,460.27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13,570,998.25</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13"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3,506,066.43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1,291,560.21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2,833,430.36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2,649,232.54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3,213,410.74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13,493,700.28</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055"/>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6"/>
        <w:ind w:right="1055"/>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1"/>
          <w:szCs w:val="21"/>
        </w:rPr>
      </w:pPr>
    </w:p>
    <w:p>
      <w:pPr>
        <w:pStyle w:val="BodyText"/>
        <w:spacing w:line="264" w:lineRule="auto"/>
        <w:ind w:right="1758"/>
        <w:jc w:val="left"/>
      </w:pPr>
      <w:r>
        <w:rPr>
          <w:spacing w:val="-3"/>
        </w:rPr>
        <w:t>公司是否需遵守《深圳证券交易所创业板行业信息披露指引第 </w:t>
      </w:r>
      <w:r>
        <w:rPr>
          <w:rFonts w:ascii="Times New Roman" w:hAnsi="Times New Roman" w:cs="Times New Roman" w:eastAsia="Times New Roman" w:hint="default"/>
        </w:rPr>
        <w:t>5 </w:t>
      </w:r>
      <w:r>
        <w:rPr>
          <w:spacing w:val="-3"/>
        </w:rPr>
        <w:t>号</w:t>
      </w:r>
      <w:r>
        <w:rPr>
          <w:rFonts w:ascii="Times New Roman" w:hAnsi="Times New Roman" w:cs="Times New Roman" w:eastAsia="Times New Roman" w:hint="default"/>
          <w:spacing w:val="-3"/>
        </w:rPr>
        <w:t>——</w:t>
      </w:r>
      <w:r>
        <w:rPr>
          <w:spacing w:val="-3"/>
        </w:rPr>
        <w:t>上市公司从事互联网游戏业务》的披露要求</w:t>
      </w:r>
      <w:r>
        <w:rPr>
          <w:spacing w:val="-30"/>
        </w:rPr>
        <w:t> </w:t>
      </w:r>
      <w:r>
        <w:rPr>
          <w:spacing w:val="-30"/>
        </w:rPr>
      </w:r>
      <w:r>
        <w:rPr/>
        <w:t>否</w:t>
      </w:r>
    </w:p>
    <w:p>
      <w:pPr>
        <w:pStyle w:val="BodyText"/>
        <w:spacing w:line="240" w:lineRule="auto" w:before="20"/>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142"/>
        <w:gridCol w:w="1436"/>
        <w:gridCol w:w="1556"/>
        <w:gridCol w:w="1421"/>
        <w:gridCol w:w="1537"/>
        <w:gridCol w:w="1609"/>
      </w:tblGrid>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z w:val="18"/>
                <w:szCs w:val="18"/>
              </w:rPr>
              <w:t>自主软件产品</w:t>
            </w:r>
          </w:p>
        </w:tc>
        <w:tc>
          <w:tcPr>
            <w:tcW w:w="15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pacing w:val="-2"/>
                <w:sz w:val="18"/>
                <w:szCs w:val="18"/>
              </w:rPr>
              <w:t>专利及软件著作权</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46"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12" w:right="0"/>
              <w:jc w:val="left"/>
              <w:rPr>
                <w:rFonts w:ascii="宋体" w:hAnsi="宋体" w:cs="宋体" w:eastAsia="宋体" w:hint="default"/>
                <w:sz w:val="18"/>
                <w:szCs w:val="18"/>
              </w:rPr>
            </w:pPr>
            <w:r>
              <w:rPr>
                <w:rFonts w:ascii="宋体" w:hAnsi="宋体" w:cs="宋体" w:eastAsia="宋体" w:hint="default"/>
                <w:sz w:val="18"/>
                <w:szCs w:val="18"/>
              </w:rPr>
              <w:t>商标及其他</w:t>
            </w:r>
          </w:p>
        </w:tc>
        <w:tc>
          <w:tcPr>
            <w:tcW w:w="1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6"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83,701,279.07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46,464,205.95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1,786,492.69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3,798,380.62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135,750,358.33</w:t>
            </w:r>
          </w:p>
        </w:tc>
      </w:tr>
      <w:tr>
        <w:trPr>
          <w:trHeight w:val="327"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7,389,814.48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159,129.92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2,870,410.19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530,432.11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10,949,786.70</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159,129.92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2,870,410.19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530,432.11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3,559,972.22</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7,389,814.48</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7,389,814.48</w:t>
            </w:r>
          </w:p>
        </w:tc>
      </w:tr>
      <w:tr>
        <w:trPr>
          <w:trHeight w:val="326"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23,962,392.45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7,174,102.58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31,136,495.03</w:t>
            </w:r>
          </w:p>
        </w:tc>
      </w:tr>
      <w:tr>
        <w:trPr>
          <w:trHeight w:val="327"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23,962,392.45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7,174,102.58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31,136,495.03</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67,128,701.10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39,449,233.29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4,656,902.88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4,328,812.73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2"/>
                <w:sz w:val="18"/>
              </w:rPr>
              <w:t>115,563,650.00</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142"/>
        <w:gridCol w:w="1436"/>
        <w:gridCol w:w="1556"/>
        <w:gridCol w:w="1421"/>
        <w:gridCol w:w="1537"/>
        <w:gridCol w:w="1609"/>
      </w:tblGrid>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46,451,287.11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23,896,656.03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489,161.32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1,905,894.60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72,742,999.06</w:t>
            </w:r>
          </w:p>
        </w:tc>
      </w:tr>
      <w:tr>
        <w:trPr>
          <w:trHeight w:val="326"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15,189,226.34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5,712,818.90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286,459.58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369,934.67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21,558,439.49</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15,189,226.34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5,712,818.90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286,459.58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369,934.67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21,558,439.49</w:t>
            </w:r>
          </w:p>
        </w:tc>
      </w:tr>
      <w:tr>
        <w:trPr>
          <w:trHeight w:val="327"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2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23,962,392.45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7,174,102.58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31,136,495.03</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23,962,392.45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7,174,102.58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31,136,495.03</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37,678,121.00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22,435,372.35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775,620.90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2,275,829.27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63,164,943.52</w:t>
            </w:r>
          </w:p>
        </w:tc>
      </w:tr>
      <w:tr>
        <w:trPr>
          <w:trHeight w:val="326"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2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29,450,580.10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17,013,860.94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3,881,281.98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2,052,983.46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52,398,706.48</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2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37,249,991.96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22,567,549.92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1,297,331.37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1,892,486.02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63,007,359.27</w:t>
            </w:r>
          </w:p>
        </w:tc>
      </w:tr>
    </w:tbl>
    <w:p>
      <w:pPr>
        <w:pStyle w:val="BodyText"/>
        <w:spacing w:line="203" w:lineRule="exact"/>
        <w:ind w:left="513" w:right="1055"/>
        <w:jc w:val="left"/>
      </w:pPr>
      <w:r>
        <w:rPr>
          <w:spacing w:val="-3"/>
        </w:rPr>
        <w:t>本期末通过公司内部研发形成的无形资产占无形资产余额的比例</w:t>
      </w:r>
      <w:r>
        <w:rPr>
          <w:rFonts w:ascii="宋体" w:hAnsi="宋体" w:cs="宋体" w:eastAsia="宋体" w:hint="default"/>
          <w:spacing w:val="-3"/>
        </w:rPr>
        <w:t>56.20%</w:t>
      </w:r>
      <w:r>
        <w:rPr>
          <w:spacing w:val="-3"/>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700"/>
        <w:gridCol w:w="2132"/>
        <w:gridCol w:w="2122"/>
        <w:gridCol w:w="1844"/>
        <w:gridCol w:w="1772"/>
      </w:tblGrid>
      <w:tr>
        <w:trPr>
          <w:trHeight w:val="322"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票据鉴别仪</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5,583,369.61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374,314.10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5,957,683.71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批量扫描盖章机</w:t>
            </w:r>
          </w:p>
        </w:tc>
        <w:tc>
          <w:tcPr>
            <w:tcW w:w="2132"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2,739,145.03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2,739,145.03</w:t>
            </w:r>
          </w:p>
        </w:tc>
      </w:tr>
      <w:tr>
        <w:trPr>
          <w:trHeight w:val="326" w:hRule="exact"/>
        </w:trPr>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集中用印一体机</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1,640,855.44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2,672,562.35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4,313,417.79</w:t>
            </w:r>
          </w:p>
        </w:tc>
      </w:tr>
      <w:tr>
        <w:trPr>
          <w:trHeight w:val="322" w:hRule="exact"/>
        </w:trPr>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征信信息管理系统</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596,724.26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835,406.51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1,432,130.77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7,820,949.31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6,621,427.99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7,389,814.48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7,052,562.82</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77"/>
        <w:gridCol w:w="1844"/>
        <w:gridCol w:w="1704"/>
        <w:gridCol w:w="1681"/>
        <w:gridCol w:w="1369"/>
      </w:tblGrid>
      <w:tr>
        <w:trPr>
          <w:trHeight w:val="32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151,738,925.12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151,738,925.12</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安科创新（深圳）有限公司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3,878,999.54</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3,878,999.54</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155,617,924.66</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155,617,924.66</w:t>
            </w:r>
          </w:p>
        </w:tc>
      </w:tr>
    </w:tbl>
    <w:p>
      <w:pPr>
        <w:spacing w:line="240" w:lineRule="auto" w:before="10"/>
        <w:rPr>
          <w:rFonts w:ascii="宋体" w:hAnsi="宋体" w:cs="宋体" w:eastAsia="宋体" w:hint="default"/>
          <w:sz w:val="20"/>
          <w:szCs w:val="20"/>
        </w:rPr>
      </w:pPr>
    </w:p>
    <w:p>
      <w:pPr>
        <w:pStyle w:val="BodyText"/>
        <w:spacing w:line="240" w:lineRule="auto" w:before="46"/>
        <w:ind w:left="513" w:right="1055"/>
        <w:jc w:val="left"/>
      </w:pPr>
      <w:r>
        <w:rPr/>
        <w:t>其他说明：</w:t>
      </w:r>
    </w:p>
    <w:p>
      <w:pPr>
        <w:pStyle w:val="BodyText"/>
        <w:spacing w:line="240" w:lineRule="auto" w:before="115"/>
        <w:ind w:left="513" w:right="1055"/>
        <w:jc w:val="left"/>
      </w:pPr>
      <w:r>
        <w:rPr>
          <w:spacing w:val="-3"/>
        </w:rPr>
        <w:t>①</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月，本公司通过非同一控制下企业合并的方式购买北京亿美软通科技有限公司</w:t>
      </w:r>
      <w:r>
        <w:rPr>
          <w:rFonts w:ascii="宋体" w:hAnsi="宋体" w:cs="宋体" w:eastAsia="宋体" w:hint="default"/>
          <w:spacing w:val="-3"/>
        </w:rPr>
        <w:t>100</w:t>
      </w:r>
      <w:r>
        <w:rPr>
          <w:spacing w:val="-3"/>
        </w:rPr>
        <w:t>％的股权，合并对价为</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right="1055"/>
        <w:jc w:val="left"/>
      </w:pPr>
      <w:r>
        <w:rPr>
          <w:rFonts w:ascii="宋体" w:hAnsi="宋体" w:cs="宋体" w:eastAsia="宋体" w:hint="default"/>
          <w:spacing w:val="-4"/>
        </w:rPr>
        <w:t>30,000.00</w:t>
      </w:r>
      <w:r>
        <w:rPr>
          <w:spacing w:val="-4"/>
        </w:rPr>
        <w:t>万元；投资时享有的被投资单位可辨认净资产公允价值的份额为</w:t>
      </w:r>
      <w:r>
        <w:rPr>
          <w:rFonts w:ascii="宋体" w:hAnsi="宋体" w:cs="宋体" w:eastAsia="宋体" w:hint="default"/>
          <w:spacing w:val="-4"/>
        </w:rPr>
        <w:t>14,826.11</w:t>
      </w:r>
      <w:r>
        <w:rPr>
          <w:spacing w:val="-4"/>
        </w:rPr>
        <w:t>万元；合并对价超过购买日被投资单位</w:t>
      </w:r>
      <w:r>
        <w:rPr>
          <w:spacing w:val="79"/>
        </w:rPr>
        <w:t> </w:t>
      </w:r>
      <w:r>
        <w:rPr>
          <w:spacing w:val="79"/>
        </w:rPr>
      </w:r>
      <w:r>
        <w:rPr/>
        <w:t>可辨认净资产公允价值份额的部分，形成商誉</w:t>
      </w:r>
      <w:r>
        <w:rPr>
          <w:rFonts w:ascii="宋体" w:hAnsi="宋体" w:cs="宋体" w:eastAsia="宋体" w:hint="default"/>
        </w:rPr>
        <w:t>15,173.89</w:t>
      </w:r>
      <w:r>
        <w:rPr/>
        <w:t>万元。</w:t>
      </w:r>
    </w:p>
    <w:p>
      <w:pPr>
        <w:pStyle w:val="BodyText"/>
        <w:spacing w:line="357" w:lineRule="auto" w:before="26"/>
        <w:ind w:right="1122" w:firstLine="360"/>
        <w:jc w:val="both"/>
      </w:pPr>
      <w:r>
        <w:rPr>
          <w:spacing w:val="-4"/>
        </w:rPr>
        <w:t>②</w:t>
      </w:r>
      <w:r>
        <w:rPr>
          <w:rFonts w:ascii="宋体" w:hAnsi="宋体" w:cs="宋体" w:eastAsia="宋体" w:hint="default"/>
          <w:spacing w:val="-4"/>
        </w:rPr>
        <w:t>2014</w:t>
      </w:r>
      <w:r>
        <w:rPr>
          <w:spacing w:val="-4"/>
        </w:rPr>
        <w:t>年</w:t>
      </w:r>
      <w:r>
        <w:rPr>
          <w:rFonts w:ascii="宋体" w:hAnsi="宋体" w:cs="宋体" w:eastAsia="宋体" w:hint="default"/>
          <w:spacing w:val="-4"/>
        </w:rPr>
        <w:t>10</w:t>
      </w:r>
      <w:r>
        <w:rPr>
          <w:spacing w:val="-4"/>
        </w:rPr>
        <w:t>月，本公司通过非同一控制下企业合并的方式购买安科创新（深圳）有限公司（曾用名深圳市科安数字有限</w:t>
      </w:r>
      <w:r>
        <w:rPr>
          <w:w w:val="101"/>
        </w:rPr>
        <w:t> </w:t>
      </w:r>
      <w:r>
        <w:rPr>
          <w:spacing w:val="-4"/>
        </w:rPr>
        <w:t>公司，以下简称“安科创新公司”）</w:t>
      </w:r>
      <w:r>
        <w:rPr>
          <w:rFonts w:ascii="宋体" w:hAnsi="宋体" w:cs="宋体" w:eastAsia="宋体" w:hint="default"/>
          <w:spacing w:val="-4"/>
        </w:rPr>
        <w:t>51</w:t>
      </w:r>
      <w:r>
        <w:rPr>
          <w:spacing w:val="-4"/>
        </w:rPr>
        <w:t>％的股权，合并对价为</w:t>
      </w:r>
      <w:r>
        <w:rPr>
          <w:rFonts w:ascii="宋体" w:hAnsi="宋体" w:cs="宋体" w:eastAsia="宋体" w:hint="default"/>
          <w:spacing w:val="-4"/>
        </w:rPr>
        <w:t>400.00</w:t>
      </w:r>
      <w:r>
        <w:rPr>
          <w:spacing w:val="-4"/>
        </w:rPr>
        <w:t>万元；投资时享有的被投资单位可辨认净资产公允价值</w:t>
      </w:r>
      <w:r>
        <w:rPr>
          <w:spacing w:val="56"/>
        </w:rPr>
        <w:t> </w:t>
      </w:r>
      <w:r>
        <w:rPr>
          <w:spacing w:val="56"/>
        </w:rPr>
      </w:r>
      <w:r>
        <w:rPr>
          <w:spacing w:val="-3"/>
        </w:rPr>
        <w:t>的份额为</w:t>
      </w:r>
      <w:r>
        <w:rPr>
          <w:rFonts w:ascii="宋体" w:hAnsi="宋体" w:cs="宋体" w:eastAsia="宋体" w:hint="default"/>
          <w:spacing w:val="-3"/>
        </w:rPr>
        <w:t>306.26</w:t>
      </w:r>
      <w:r>
        <w:rPr>
          <w:spacing w:val="-3"/>
        </w:rPr>
        <w:t>万元；合并对价超过购买日被投资单位可辨认净资产公允价值份额的部分，形成商誉</w:t>
      </w:r>
      <w:r>
        <w:rPr>
          <w:rFonts w:ascii="宋体" w:hAnsi="宋体" w:cs="宋体" w:eastAsia="宋体" w:hint="default"/>
          <w:spacing w:val="-3"/>
        </w:rPr>
        <w:t>93.74</w:t>
      </w:r>
      <w:r>
        <w:rPr>
          <w:spacing w:val="-3"/>
        </w:rPr>
        <w:t>万元。根据公司 </w:t>
      </w:r>
      <w:r>
        <w:rPr>
          <w:spacing w:val="-4"/>
        </w:rPr>
        <w:t>与交易对手协议，如果安科创新公司分别于</w:t>
      </w:r>
      <w:r>
        <w:rPr>
          <w:rFonts w:ascii="宋体" w:hAnsi="宋体" w:cs="宋体" w:eastAsia="宋体" w:hint="default"/>
          <w:spacing w:val="-4"/>
        </w:rPr>
        <w:t>2014</w:t>
      </w:r>
      <w:r>
        <w:rPr>
          <w:spacing w:val="-4"/>
        </w:rPr>
        <w:t>年、</w:t>
      </w:r>
      <w:r>
        <w:rPr>
          <w:rFonts w:ascii="宋体" w:hAnsi="宋体" w:cs="宋体" w:eastAsia="宋体" w:hint="default"/>
          <w:spacing w:val="-4"/>
        </w:rPr>
        <w:t>2015</w:t>
      </w:r>
      <w:r>
        <w:rPr>
          <w:spacing w:val="-4"/>
        </w:rPr>
        <w:t>年完成业绩承诺，本公司向安科创新公司按原股份比例不变条件下</w:t>
      </w:r>
      <w:r>
        <w:rPr>
          <w:spacing w:val="60"/>
        </w:rPr>
        <w:t> </w:t>
      </w:r>
      <w:r>
        <w:rPr>
          <w:spacing w:val="60"/>
        </w:rPr>
      </w:r>
      <w:r>
        <w:rPr>
          <w:spacing w:val="-3"/>
        </w:rPr>
        <w:t>追加投资分别为</w:t>
      </w:r>
      <w:r>
        <w:rPr>
          <w:rFonts w:ascii="宋体" w:hAnsi="宋体" w:cs="宋体" w:eastAsia="宋体" w:hint="default"/>
          <w:spacing w:val="-3"/>
        </w:rPr>
        <w:t>300</w:t>
      </w:r>
      <w:r>
        <w:rPr>
          <w:spacing w:val="-3"/>
        </w:rPr>
        <w:t>、</w:t>
      </w:r>
      <w:r>
        <w:rPr>
          <w:rFonts w:ascii="宋体" w:hAnsi="宋体" w:cs="宋体" w:eastAsia="宋体" w:hint="default"/>
          <w:spacing w:val="-3"/>
        </w:rPr>
        <w:t>300</w:t>
      </w:r>
      <w:r>
        <w:rPr>
          <w:spacing w:val="-3"/>
        </w:rPr>
        <w:t>万元。</w:t>
      </w:r>
      <w:r>
        <w:rPr>
          <w:rFonts w:ascii="宋体" w:hAnsi="宋体" w:cs="宋体" w:eastAsia="宋体" w:hint="default"/>
          <w:spacing w:val="-3"/>
        </w:rPr>
        <w:t>2015</w:t>
      </w:r>
      <w:r>
        <w:rPr>
          <w:spacing w:val="-3"/>
        </w:rPr>
        <w:t>年安科创新公司完成业绩承诺，本公司向安科创新公司追加投资</w:t>
      </w:r>
      <w:r>
        <w:rPr>
          <w:rFonts w:ascii="宋体" w:hAnsi="宋体" w:cs="宋体" w:eastAsia="宋体" w:hint="default"/>
          <w:spacing w:val="-3"/>
        </w:rPr>
        <w:t>300</w:t>
      </w:r>
      <w:r>
        <w:rPr>
          <w:spacing w:val="-3"/>
        </w:rPr>
        <w:t>万元，增资</w:t>
      </w:r>
      <w:r>
        <w:rPr>
          <w:rFonts w:ascii="宋体" w:hAnsi="宋体" w:cs="宋体" w:eastAsia="宋体" w:hint="default"/>
          <w:spacing w:val="-3"/>
        </w:rPr>
        <w:t>156.44</w:t>
      </w:r>
      <w:r>
        <w:rPr>
          <w:rFonts w:ascii="宋体" w:hAnsi="宋体" w:cs="宋体" w:eastAsia="宋体" w:hint="default"/>
          <w:spacing w:val="10"/>
        </w:rPr>
        <w:t> </w:t>
      </w:r>
      <w:r>
        <w:rPr>
          <w:rFonts w:ascii="宋体" w:hAnsi="宋体" w:cs="宋体" w:eastAsia="宋体" w:hint="default"/>
          <w:spacing w:val="10"/>
        </w:rPr>
      </w:r>
      <w:r>
        <w:rPr/>
        <w:t>万元，商誉增加到</w:t>
      </w:r>
      <w:r>
        <w:rPr>
          <w:rFonts w:ascii="宋体" w:hAnsi="宋体" w:cs="宋体" w:eastAsia="宋体" w:hint="default"/>
        </w:rPr>
        <w:t>387.90</w:t>
      </w:r>
      <w:r>
        <w:rPr/>
        <w:t>万元。</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8"/>
          <w:szCs w:val="18"/>
        </w:rPr>
      </w:pPr>
    </w:p>
    <w:p>
      <w:pPr>
        <w:pStyle w:val="BodyText"/>
        <w:spacing w:line="357" w:lineRule="auto"/>
        <w:ind w:right="1055" w:firstLine="360"/>
        <w:jc w:val="left"/>
      </w:pPr>
      <w:r>
        <w:rPr>
          <w:spacing w:val="-4"/>
        </w:rPr>
        <w:t>本公司于期末对商誉进行了减值测试，未发现包含商誉的资产组或资产组组合的可收回金额低于其账面价值的情况，故</w:t>
      </w:r>
      <w:r>
        <w:rPr>
          <w:w w:val="101"/>
        </w:rPr>
        <w:t> </w:t>
      </w:r>
      <w:r>
        <w:rPr/>
        <w:t>未计提商誉减值准备。</w:t>
      </w:r>
    </w:p>
    <w:p>
      <w:pPr>
        <w:spacing w:line="240" w:lineRule="auto" w:before="0"/>
        <w:rPr>
          <w:rFonts w:ascii="宋体" w:hAnsi="宋体" w:cs="宋体" w:eastAsia="宋体" w:hint="default"/>
          <w:sz w:val="18"/>
          <w:szCs w:val="18"/>
        </w:rPr>
      </w:pPr>
    </w:p>
    <w:p>
      <w:pPr>
        <w:pStyle w:val="BodyText"/>
        <w:spacing w:line="357" w:lineRule="auto" w:before="142"/>
        <w:ind w:left="513" w:right="1055"/>
        <w:jc w:val="left"/>
      </w:pPr>
      <w:r>
        <w:rPr>
          <w:spacing w:val="-3"/>
        </w:rPr>
        <w:t>商誉的减值测试过程</w:t>
      </w:r>
      <w:r>
        <w:rPr>
          <w:spacing w:val="-62"/>
        </w:rPr>
        <w:t> </w:t>
      </w:r>
      <w:r>
        <w:rPr>
          <w:spacing w:val="-62"/>
        </w:rPr>
      </w:r>
      <w:r>
        <w:rPr>
          <w:spacing w:val="-5"/>
        </w:rPr>
        <w:t>由于上述子公司的主要现金流独立于本公司及本公司的其他子公司，因此每个子公司（扣除非经营资产和负债）为一个</w:t>
      </w:r>
    </w:p>
    <w:p>
      <w:pPr>
        <w:pStyle w:val="BodyText"/>
        <w:spacing w:line="240" w:lineRule="auto" w:before="26"/>
        <w:ind w:right="1055"/>
        <w:jc w:val="left"/>
      </w:pPr>
      <w:r>
        <w:rPr/>
        <w:t>资产组。</w:t>
      </w:r>
    </w:p>
    <w:p>
      <w:pPr>
        <w:pStyle w:val="BodyText"/>
        <w:spacing w:line="357" w:lineRule="auto" w:before="115"/>
        <w:ind w:right="1124" w:firstLine="360"/>
        <w:jc w:val="left"/>
      </w:pPr>
      <w:r>
        <w:rPr>
          <w:spacing w:val="-4"/>
        </w:rPr>
        <w:t>商誉测试过程中，采用了与商誉有关的资产组来预计未来现金流量的现值确定。资产组预计的未来现金流量依据管理层</w:t>
      </w:r>
      <w:r>
        <w:rPr>
          <w:w w:val="101"/>
        </w:rPr>
        <w:t> </w:t>
      </w:r>
      <w:r>
        <w:rPr>
          <w:spacing w:val="-3"/>
        </w:rPr>
        <w:t>制定的未来五年财务预算确定，超过五年财务预算之后年份的现金流量均保持稳定，现金流量折现率为</w:t>
      </w:r>
      <w:r>
        <w:rPr>
          <w:rFonts w:ascii="宋体" w:hAnsi="宋体" w:cs="宋体" w:eastAsia="宋体" w:hint="default"/>
          <w:spacing w:val="-3"/>
        </w:rPr>
        <w:t>13.94%-17.11%</w:t>
      </w:r>
      <w:r>
        <w:rPr>
          <w:spacing w:val="-3"/>
        </w:rPr>
        <w:t>。</w:t>
      </w:r>
    </w:p>
    <w:p>
      <w:pPr>
        <w:pStyle w:val="BodyText"/>
        <w:spacing w:line="240" w:lineRule="auto" w:before="26"/>
        <w:ind w:left="513" w:right="1055"/>
        <w:jc w:val="left"/>
      </w:pPr>
      <w:r>
        <w:rPr>
          <w:spacing w:val="-3"/>
        </w:rPr>
        <w:t>商誉减值测试采用未来现金流量折现方法的主要假设如下：</w:t>
      </w:r>
    </w:p>
    <w:p>
      <w:pPr>
        <w:pStyle w:val="BodyText"/>
        <w:spacing w:line="357" w:lineRule="auto" w:before="115"/>
        <w:ind w:right="1055" w:firstLine="360"/>
        <w:jc w:val="left"/>
      </w:pPr>
      <w:r>
        <w:rPr>
          <w:spacing w:val="-2"/>
        </w:rPr>
        <w:t>①对北京亿美软通科技有限公司预计未来现金流量现值的计算采用了</w:t>
      </w:r>
      <w:r>
        <w:rPr>
          <w:rFonts w:ascii="宋体" w:hAnsi="宋体" w:cs="宋体" w:eastAsia="宋体" w:hint="default"/>
          <w:spacing w:val="-2"/>
        </w:rPr>
        <w:t>21.91%-24.77%</w:t>
      </w:r>
      <w:r>
        <w:rPr>
          <w:spacing w:val="-2"/>
        </w:rPr>
        <w:t>的毛利率及</w:t>
      </w:r>
      <w:r>
        <w:rPr>
          <w:rFonts w:ascii="宋体" w:hAnsi="宋体" w:cs="宋体" w:eastAsia="宋体" w:hint="default"/>
          <w:spacing w:val="-2"/>
        </w:rPr>
        <w:t>0-12.49%</w:t>
      </w:r>
      <w:r>
        <w:rPr>
          <w:spacing w:val="-2"/>
        </w:rPr>
        <w:t>的营业收入增</w:t>
      </w:r>
      <w:r>
        <w:rPr>
          <w:w w:val="101"/>
        </w:rPr>
        <w:t> </w:t>
      </w:r>
      <w:r>
        <w:rPr>
          <w:spacing w:val="-3"/>
        </w:rPr>
        <w:t>长率作为关键假设。管理层根据预算期间之前的历史情况及对市场发展的预测确定这些假设。</w:t>
      </w:r>
    </w:p>
    <w:p>
      <w:pPr>
        <w:pStyle w:val="BodyText"/>
        <w:spacing w:line="357" w:lineRule="auto" w:before="22"/>
        <w:ind w:right="1055" w:firstLine="360"/>
        <w:jc w:val="left"/>
      </w:pPr>
      <w:r>
        <w:rPr>
          <w:spacing w:val="-4"/>
        </w:rPr>
        <w:t>②对安科创新（深圳）有限公司预计未来现金流量现值的计算采用了</w:t>
      </w:r>
      <w:r>
        <w:rPr>
          <w:rFonts w:ascii="宋体" w:hAnsi="宋体" w:cs="宋体" w:eastAsia="宋体" w:hint="default"/>
          <w:spacing w:val="-4"/>
        </w:rPr>
        <w:t>40.05%-43.59%</w:t>
      </w:r>
      <w:r>
        <w:rPr>
          <w:spacing w:val="-4"/>
        </w:rPr>
        <w:t>的毛利率及</w:t>
      </w:r>
      <w:r>
        <w:rPr>
          <w:rFonts w:ascii="宋体" w:hAnsi="宋体" w:cs="宋体" w:eastAsia="宋体" w:hint="default"/>
          <w:spacing w:val="-4"/>
        </w:rPr>
        <w:t>0-8.52%</w:t>
      </w:r>
      <w:r>
        <w:rPr>
          <w:spacing w:val="-4"/>
        </w:rPr>
        <w:t>的营业收入增长</w:t>
      </w:r>
      <w:r>
        <w:rPr>
          <w:w w:val="101"/>
        </w:rPr>
        <w:t> </w:t>
      </w:r>
      <w:r>
        <w:rPr>
          <w:spacing w:val="-3"/>
        </w:rPr>
        <w:t>率作为关键假设。管理层根据预算期间之前的历史情况及对市场发展的预测确定这些假设。</w:t>
      </w:r>
    </w:p>
    <w:p>
      <w:pPr>
        <w:pStyle w:val="BodyText"/>
        <w:spacing w:line="357" w:lineRule="auto" w:before="26"/>
        <w:ind w:right="1055" w:firstLine="360"/>
        <w:jc w:val="left"/>
      </w:pPr>
      <w:r>
        <w:rPr>
          <w:spacing w:val="-3"/>
        </w:rPr>
        <w:t>本公司于报告期末聘请了北京国融兴华资产评估有限责任公司对北京亿美软通科技有限公司截止</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日与商</w:t>
      </w:r>
      <w:r>
        <w:rPr>
          <w:w w:val="101"/>
        </w:rPr>
        <w:t> </w:t>
      </w:r>
      <w:r>
        <w:rPr>
          <w:spacing w:val="-4"/>
        </w:rPr>
        <w:t>誉有关的资产组进行了减值测试，并出具了国融兴华评报字</w:t>
      </w:r>
      <w:r>
        <w:rPr>
          <w:rFonts w:ascii="宋体" w:hAnsi="宋体" w:cs="宋体" w:eastAsia="宋体" w:hint="default"/>
          <w:spacing w:val="-4"/>
        </w:rPr>
        <w:t>[2019]</w:t>
      </w:r>
      <w:r>
        <w:rPr>
          <w:spacing w:val="-4"/>
        </w:rPr>
        <w:t>第</w:t>
      </w:r>
      <w:r>
        <w:rPr>
          <w:spacing w:val="67"/>
        </w:rPr>
        <w:t> </w:t>
      </w:r>
      <w:r>
        <w:rPr>
          <w:rFonts w:ascii="宋体" w:hAnsi="宋体" w:cs="宋体" w:eastAsia="宋体" w:hint="default"/>
        </w:rPr>
        <w:t>010051</w:t>
      </w:r>
      <w:r>
        <w:rPr>
          <w:rFonts w:ascii="宋体" w:hAnsi="宋体" w:cs="宋体" w:eastAsia="宋体" w:hint="default"/>
          <w:spacing w:val="67"/>
        </w:rPr>
        <w:t> </w:t>
      </w:r>
      <w:r>
        <w:rPr>
          <w:spacing w:val="-5"/>
        </w:rPr>
        <w:t>号资产评估报告；鹏信资产评估土地房地产估</w:t>
      </w:r>
      <w:r>
        <w:rPr>
          <w:spacing w:val="-76"/>
        </w:rPr>
        <w:t> </w:t>
      </w:r>
      <w:r>
        <w:rPr>
          <w:spacing w:val="-76"/>
        </w:rPr>
      </w:r>
      <w:r>
        <w:rPr>
          <w:spacing w:val="-4"/>
        </w:rPr>
        <w:t>价有限公司对安科创新（深圳）有限公司截止</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日与商誉有关的资产组进行了减值测试，并出具了鹏信资评报字</w:t>
      </w:r>
      <w:r>
        <w:rPr>
          <w:spacing w:val="59"/>
        </w:rPr>
        <w:t> </w:t>
      </w:r>
      <w:r>
        <w:rPr>
          <w:spacing w:val="59"/>
        </w:rPr>
      </w:r>
      <w:r>
        <w:rPr>
          <w:rFonts w:ascii="宋体" w:hAnsi="宋体" w:cs="宋体" w:eastAsia="宋体" w:hint="default"/>
        </w:rPr>
        <w:t>[2019]</w:t>
      </w:r>
      <w:r>
        <w:rPr/>
        <w:t>第</w:t>
      </w:r>
      <w:r>
        <w:rPr>
          <w:rFonts w:ascii="宋体" w:hAnsi="宋体" w:cs="宋体" w:eastAsia="宋体" w:hint="default"/>
        </w:rPr>
        <w:t>S036</w:t>
      </w:r>
      <w:r>
        <w:rPr/>
        <w:t>号资产评估报告。</w:t>
      </w:r>
    </w:p>
    <w:p>
      <w:pPr>
        <w:pStyle w:val="BodyText"/>
        <w:spacing w:line="240" w:lineRule="auto" w:before="26"/>
        <w:ind w:left="513" w:right="1055"/>
        <w:jc w:val="left"/>
      </w:pPr>
      <w:r>
        <w:rPr>
          <w:spacing w:val="-3"/>
        </w:rPr>
        <w:t>经测试，公司管理层预计报告期内，商誉无需计提减值准备。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5"/>
        <w:gridCol w:w="1594"/>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2,553,858.04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246,425.33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1,150,438.53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1,649,844.84</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企业邮箱</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80,906.06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149,150.94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123,003.11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107,053.89</w:t>
            </w:r>
          </w:p>
        </w:tc>
      </w:tr>
      <w:tr>
        <w:trPr>
          <w:trHeight w:val="3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模具开发费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320,390.00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53,398.32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266,991.68</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4,494,782.36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711,155.52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3,783,626.84</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1,687,232.41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174,777.23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789,275.72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1,072,733.92</w:t>
            </w:r>
          </w:p>
        </w:tc>
      </w:tr>
      <w:tr>
        <w:trPr>
          <w:trHeight w:val="3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4,321,996.51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5,385,525.86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2,827,271.20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6,880,251.17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43,602,064.31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6,601,235.45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33,071,512.89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5,020,097.04</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253,003.03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37,950.45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32,596,558.63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4,847,932.23</w:t>
            </w:r>
          </w:p>
        </w:tc>
      </w:tr>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155,515,481.50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24,392,867.02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141,129,529.01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21,403,567.63</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199,370,548.84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31,032,052.92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206,797,600.53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31,271,596.90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6"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17,701,391.07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2,655,208.66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23,147,972.80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3,472,195.92</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17,701,391.07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2,655,208.66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23,147,972.80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3,472,195.92</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412" w:right="51"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322" w:right="46" w:hanging="270"/>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31,032,052.92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31,271,596.90</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2,655,208.66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3,472,195.92</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预付房款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1,527,148.00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1,527,148.00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收购意向金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11,527,148.00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11,527,148.00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218,000,000.00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253,000,000.00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7,900,000.00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信用证借款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287,900,000.00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294,000,000.00</w:t>
            </w:r>
          </w:p>
        </w:tc>
      </w:tr>
    </w:tbl>
    <w:p>
      <w:pPr>
        <w:pStyle w:val="BodyText"/>
        <w:spacing w:line="278" w:lineRule="auto" w:before="10"/>
        <w:ind w:left="513" w:right="1055" w:hanging="360"/>
        <w:jc w:val="left"/>
      </w:pPr>
      <w:r>
        <w:rPr/>
        <w:t>短期借款分类的说明：</w:t>
      </w:r>
      <w:r>
        <w:rPr>
          <w:spacing w:val="-86"/>
        </w:rPr>
        <w:t> </w:t>
      </w:r>
      <w:r>
        <w:rPr>
          <w:spacing w:val="-86"/>
        </w:rPr>
      </w:r>
      <w:r>
        <w:rPr>
          <w:spacing w:val="-3"/>
        </w:rPr>
        <w:t>保证借款期末余额中人民币</w:t>
      </w:r>
      <w:r>
        <w:rPr>
          <w:rFonts w:ascii="宋体" w:hAnsi="宋体" w:cs="宋体" w:eastAsia="宋体" w:hint="default"/>
          <w:spacing w:val="-3"/>
        </w:rPr>
        <w:t>20,000,000.00</w:t>
      </w:r>
      <w:r>
        <w:rPr>
          <w:spacing w:val="-3"/>
        </w:rPr>
        <w:t>元系本公司取得的借款，由深圳市高新投融资担保有限公司提供连带责任保</w:t>
      </w:r>
    </w:p>
    <w:p>
      <w:pPr>
        <w:pStyle w:val="BodyText"/>
        <w:spacing w:line="240" w:lineRule="auto" w:before="86"/>
        <w:ind w:right="1055"/>
        <w:jc w:val="left"/>
      </w:pPr>
      <w:r>
        <w:rPr>
          <w:spacing w:val="-3"/>
        </w:rPr>
        <w:t>证；其他保证借款见附注十一、</w:t>
      </w:r>
      <w:r>
        <w:rPr>
          <w:rFonts w:ascii="宋体" w:hAnsi="宋体" w:cs="宋体" w:eastAsia="宋体" w:hint="default"/>
          <w:spacing w:val="-3"/>
        </w:rPr>
        <w:t>5</w:t>
      </w:r>
      <w:r>
        <w:rPr>
          <w:spacing w:val="-3"/>
        </w:rPr>
        <w:t>、（</w:t>
      </w:r>
      <w:r>
        <w:rPr>
          <w:rFonts w:ascii="宋体" w:hAnsi="宋体" w:cs="宋体" w:eastAsia="宋体" w:hint="default"/>
          <w:spacing w:val="-3"/>
        </w:rPr>
        <w:t>4</w:t>
      </w:r>
      <w:r>
        <w:rPr>
          <w:spacing w:val="-3"/>
        </w:rPr>
        <w:t>）关联担保情况。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spacing w:val="-3"/>
        </w:rPr>
        <w:t>本期末已逾期未偿还的短期借款总额为</w:t>
      </w:r>
      <w:r>
        <w:rPr>
          <w:rFonts w:ascii="宋体" w:hAnsi="宋体" w:cs="宋体" w:eastAsia="宋体" w:hint="default"/>
          <w:spacing w:val="-3"/>
        </w:rPr>
        <w:t>0.00</w:t>
      </w:r>
      <w:r>
        <w:rPr>
          <w:spacing w:val="-3"/>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20</w:t>
      </w:r>
      <w:r>
        <w:rPr/>
        <w:t>、应付票据及应付账款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55,722,833.97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34,678,677.10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45,562,442.24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65,452,004.35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101,285,276.21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100,130,681.45</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55,722,833.97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34,678,677.10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55,722,833.97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34,678,677.10</w:t>
            </w:r>
          </w:p>
        </w:tc>
      </w:tr>
    </w:tbl>
    <w:p>
      <w:pPr>
        <w:pStyle w:val="BodyText"/>
        <w:spacing w:line="240" w:lineRule="auto" w:before="10"/>
        <w:ind w:right="1055"/>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line="240" w:lineRule="auto" w:before="11"/>
        <w:rPr>
          <w:rFonts w:ascii="宋体" w:hAnsi="宋体" w:cs="宋体" w:eastAsia="宋体" w:hint="default"/>
          <w:sz w:val="20"/>
          <w:szCs w:val="20"/>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38,479,555.34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61,477,515.08</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6,040,162.38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2,976,118.87</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625,187.42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789,801.00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417,537.10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208,569.40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45,562,442.24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65,452,004.35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3</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43,109,572.94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63,909,659.83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2"/>
                <w:sz w:val="18"/>
              </w:rPr>
              <w:t>28,119,759.58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16,819,113.41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9,963,421.21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37,640,831.42</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33,179,598.83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1,962,983.58</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114,372,352.56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120,332,588.24</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7,550,956.19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109,324,319.11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108,717,712.91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8,157,562.39</w:t>
            </w: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283,471.80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7,286,378.26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7,249,706.25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320,143.81</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7,834,427.99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116,610,697.37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115,967,419.16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8,477,706.20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7,363,788.34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97,115,517.64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96,504,398.27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7,974,907.71</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4,034,588.86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4,034,588.86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161,999.85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4,098,883.66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4,078,228.83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182,654.68</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144,358.54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3,719,917.40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3,701,284.88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162,991.06</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5,288.06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132,341.24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131,757.05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5,872.25</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12,353.25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246,625.02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245,186.90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13,791.37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25,168.00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3,592,500.26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3,617,668.26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1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406,780.55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406,780.55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76,048.14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76,048.14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7,550,956.19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109,324,319.11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108,717,712.91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8,157,562.39</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272,166.86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6,948,394.54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6,913,311.68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307,249.72</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11,304.94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287,221.07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285,631.92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12,894.09</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50,762.65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50,762.65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283,471.80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7,286,378.26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7,249,706.25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320,143.81</w:t>
            </w:r>
          </w:p>
        </w:tc>
      </w:tr>
    </w:tbl>
    <w:p>
      <w:pPr>
        <w:pStyle w:val="BodyText"/>
        <w:spacing w:line="240" w:lineRule="auto" w:before="11"/>
        <w:ind w:right="1055"/>
        <w:jc w:val="left"/>
      </w:pPr>
      <w:r>
        <w:rPr/>
        <w:t>其他说明：</w:t>
      </w:r>
    </w:p>
    <w:p>
      <w:pPr>
        <w:pStyle w:val="BodyText"/>
        <w:spacing w:line="357" w:lineRule="auto" w:before="33"/>
        <w:ind w:right="1124" w:firstLine="360"/>
        <w:jc w:val="both"/>
      </w:pPr>
      <w:r>
        <w:rPr>
          <w:spacing w:val="-3"/>
        </w:rPr>
        <w:t>本公司按规定参加由政府机构设立的养老保险、失业保险计划，根据该等计划，本公司分别按员工基本工资的</w:t>
      </w:r>
      <w:r>
        <w:rPr>
          <w:rFonts w:ascii="宋体" w:hAnsi="宋体" w:cs="宋体" w:eastAsia="宋体" w:hint="default"/>
          <w:spacing w:val="-3"/>
        </w:rPr>
        <w:t>14%</w:t>
      </w:r>
      <w:r>
        <w:rPr>
          <w:spacing w:val="-3"/>
        </w:rPr>
        <w:t>、</w:t>
      </w:r>
      <w:r>
        <w:rPr>
          <w:rFonts w:ascii="宋体" w:hAnsi="宋体" w:cs="宋体" w:eastAsia="宋体" w:hint="default"/>
          <w:spacing w:val="-3"/>
        </w:rPr>
        <w:t>1%</w:t>
      </w:r>
      <w:r>
        <w:rPr>
          <w:rFonts w:ascii="宋体" w:hAnsi="宋体" w:cs="宋体" w:eastAsia="宋体" w:hint="default"/>
          <w:w w:val="101"/>
        </w:rPr>
        <w:t> </w:t>
      </w:r>
      <w:r>
        <w:rPr>
          <w:spacing w:val="-4"/>
        </w:rPr>
        <w:t>每月向该等计划缴存费用。除上述每月缴存费用外，本公司不再承担进一步支付义务。相应的支出于发生时计入当期损益或</w:t>
      </w:r>
      <w:r>
        <w:rPr>
          <w:spacing w:val="43"/>
        </w:rPr>
        <w:t> </w:t>
      </w:r>
      <w:r>
        <w:rPr>
          <w:spacing w:val="43"/>
        </w:rPr>
      </w:r>
      <w:r>
        <w:rPr/>
        <w:t>相关资产的成本。</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30,207,274.44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20,919,070.18</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48,351,048.07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51,455,076.75</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211,145.00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360,834.34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674,394.22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403,953.52</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481,473.04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288,538.26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z w:val="18"/>
              </w:rPr>
              <w:t>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450.00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104,617.60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344.30</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80,029,952.37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73,428,267.35</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669,234.71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693,399.53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18,213,033.35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61,144,101.43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18,882,268.06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61,837,500.96</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321,905.54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319,305.56</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347,329.17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374,093.97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669,234.71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693,399.53</w:t>
            </w:r>
          </w:p>
        </w:tc>
      </w:tr>
    </w:tbl>
    <w:p>
      <w:pPr>
        <w:pStyle w:val="BodyText"/>
        <w:spacing w:line="278" w:lineRule="auto" w:before="11"/>
        <w:ind w:left="513" w:right="8069" w:hanging="360"/>
        <w:jc w:val="left"/>
      </w:pPr>
      <w:r>
        <w:rPr>
          <w:spacing w:val="-3"/>
        </w:rPr>
        <w:t>重要的已逾期未支付的利息情况：</w:t>
      </w:r>
      <w:r>
        <w:rPr>
          <w:spacing w:val="-44"/>
        </w:rPr>
        <w:t> </w:t>
      </w:r>
      <w:r>
        <w:rPr>
          <w:spacing w:val="-44"/>
        </w:rPr>
      </w:r>
      <w:r>
        <w:rPr/>
        <w:t>无。</w:t>
      </w:r>
    </w:p>
    <w:p>
      <w:pPr>
        <w:spacing w:line="240" w:lineRule="auto" w:before="0"/>
        <w:rPr>
          <w:rFonts w:ascii="宋体" w:hAnsi="宋体" w:cs="宋体" w:eastAsia="宋体" w:hint="default"/>
          <w:sz w:val="18"/>
          <w:szCs w:val="18"/>
        </w:rPr>
      </w:pPr>
    </w:p>
    <w:p>
      <w:pPr>
        <w:pStyle w:val="Heading3"/>
        <w:spacing w:line="240" w:lineRule="auto" w:before="137"/>
        <w:ind w:right="1055"/>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spacing w:val="-3"/>
        </w:rPr>
        <w:t>1)</w:t>
      </w:r>
      <w:r>
        <w:rPr>
          <w:spacing w:val="-3"/>
        </w:rPr>
        <w:t>按款项性质列示其他应付款</w:t>
      </w:r>
    </w:p>
    <w:p>
      <w:pPr>
        <w:pStyle w:val="BodyText"/>
        <w:spacing w:line="240" w:lineRule="auto" w:before="25"/>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15,842,400.00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50,567,844.40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待退短信充值费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4,956,284.16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2,370,633.35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5,619,972.87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18,213,033.35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61,144,101.43</w:t>
            </w:r>
          </w:p>
        </w:tc>
      </w:tr>
    </w:tbl>
    <w:p>
      <w:pPr>
        <w:pStyle w:val="BodyText"/>
        <w:spacing w:line="264" w:lineRule="auto" w:before="10"/>
        <w:ind w:left="513" w:right="1055" w:hanging="360"/>
        <w:jc w:val="left"/>
      </w:pP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年的重要其他应付款</w:t>
      </w:r>
      <w:r>
        <w:rPr>
          <w:spacing w:val="-54"/>
        </w:rPr>
        <w:t> </w:t>
      </w:r>
      <w:r>
        <w:rPr>
          <w:spacing w:val="-54"/>
        </w:rPr>
      </w:r>
      <w:r>
        <w:rPr>
          <w:spacing w:val="-3"/>
        </w:rPr>
        <w:t>期末账龄超过</w:t>
      </w:r>
      <w:r>
        <w:rPr>
          <w:rFonts w:ascii="宋体" w:hAnsi="宋体" w:cs="宋体" w:eastAsia="宋体" w:hint="default"/>
          <w:spacing w:val="-3"/>
        </w:rPr>
        <w:t>1</w:t>
      </w:r>
      <w:r>
        <w:rPr>
          <w:spacing w:val="-3"/>
        </w:rPr>
        <w:t>年的重要其他应付款主要系国誉创富国际金融服务（深圳）有限公司业务保证金。</w:t>
      </w:r>
    </w:p>
    <w:p>
      <w:pPr>
        <w:spacing w:line="240" w:lineRule="auto" w:before="0"/>
        <w:rPr>
          <w:rFonts w:ascii="宋体" w:hAnsi="宋体" w:cs="宋体" w:eastAsia="宋体" w:hint="default"/>
          <w:sz w:val="18"/>
          <w:szCs w:val="18"/>
        </w:rPr>
      </w:pPr>
    </w:p>
    <w:p>
      <w:pPr>
        <w:pStyle w:val="Heading3"/>
        <w:spacing w:line="240" w:lineRule="auto" w:before="152"/>
        <w:ind w:right="1055"/>
        <w:jc w:val="left"/>
        <w:rPr>
          <w:b w:val="0"/>
          <w:bCs w:val="0"/>
        </w:rPr>
      </w:pPr>
      <w:r>
        <w:rPr>
          <w:rFonts w:ascii="Times New Roman" w:hAnsi="Times New Roman" w:cs="Times New Roman" w:eastAsia="Times New Roman" w:hint="default"/>
        </w:rPr>
        <w:t>25</w:t>
      </w:r>
      <w:r>
        <w:rPr/>
        <w:t>、长期借款</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26</w:t>
      </w:r>
      <w:r>
        <w:rPr/>
        <w:t>、递延收益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5"/>
        <w:gridCol w:w="1594"/>
      </w:tblGrid>
      <w:tr>
        <w:trPr>
          <w:trHeight w:val="3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5,636,910.93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580,085.14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5,056,825.79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5,636,910.93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580,085.14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5,056,825.79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10"/>
        <w:ind w:right="1055"/>
        <w:jc w:val="left"/>
      </w:pPr>
      <w:r>
        <w:rPr/>
        <w:t>涉及政府补助的项目：</w:t>
      </w:r>
    </w:p>
    <w:p>
      <w:pPr>
        <w:pStyle w:val="BodyText"/>
        <w:spacing w:line="240" w:lineRule="auto" w:before="38"/>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1"/>
        <w:gridCol w:w="1066"/>
        <w:gridCol w:w="1061"/>
        <w:gridCol w:w="1066"/>
      </w:tblGrid>
      <w:tr>
        <w:trPr>
          <w:trHeight w:val="78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
              <w:ind w:left="76" w:right="69"/>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业外收入金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76" w:right="74"/>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76" w:right="70"/>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142"/>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与收益相关</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23"/>
              <w:jc w:val="left"/>
              <w:rPr>
                <w:rFonts w:ascii="宋体" w:hAnsi="宋体" w:cs="宋体" w:eastAsia="宋体" w:hint="default"/>
                <w:sz w:val="18"/>
                <w:szCs w:val="18"/>
              </w:rPr>
            </w:pPr>
            <w:r>
              <w:rPr>
                <w:rFonts w:ascii="宋体" w:hAnsi="宋体" w:cs="宋体" w:eastAsia="宋体" w:hint="default"/>
                <w:spacing w:val="-2"/>
                <w:sz w:val="18"/>
                <w:szCs w:val="18"/>
              </w:rPr>
              <w:t>企业人才安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居房</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2,303,784.83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35,800.69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2,267,984.14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23"/>
              <w:jc w:val="both"/>
              <w:rPr>
                <w:rFonts w:ascii="宋体" w:hAnsi="宋体" w:cs="宋体" w:eastAsia="宋体" w:hint="default"/>
                <w:sz w:val="18"/>
                <w:szCs w:val="18"/>
              </w:rPr>
            </w:pPr>
            <w:r>
              <w:rPr>
                <w:rFonts w:ascii="宋体" w:hAnsi="宋体" w:cs="宋体" w:eastAsia="宋体" w:hint="default"/>
                <w:spacing w:val="-2"/>
                <w:sz w:val="18"/>
                <w:szCs w:val="18"/>
              </w:rPr>
              <w:t>大数据征信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平台研发经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3,333,126.10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544,284.45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2,788,841.65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6" w:right="0"/>
              <w:jc w:val="center"/>
              <w:rPr>
                <w:rFonts w:ascii="Times New Roman" w:hAnsi="Times New Roman" w:cs="Times New Roman" w:eastAsia="Times New Roman" w:hint="default"/>
                <w:sz w:val="18"/>
                <w:szCs w:val="18"/>
              </w:rPr>
            </w:pPr>
            <w:r>
              <w:rPr>
                <w:rFonts w:ascii="Times New Roman"/>
                <w:sz w:val="18"/>
              </w:rPr>
              <w:t>5,636,910.93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580,085.14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 w:right="0"/>
              <w:jc w:val="center"/>
              <w:rPr>
                <w:rFonts w:ascii="Times New Roman" w:hAnsi="Times New Roman" w:cs="Times New Roman" w:eastAsia="Times New Roman" w:hint="default"/>
                <w:sz w:val="18"/>
                <w:szCs w:val="18"/>
              </w:rPr>
            </w:pPr>
            <w:r>
              <w:rPr>
                <w:rFonts w:ascii="Times New Roman"/>
                <w:sz w:val="18"/>
              </w:rPr>
              <w:t>5,056,825.79</w:t>
            </w: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1055"/>
        <w:jc w:val="left"/>
      </w:pPr>
      <w:r>
        <w:rPr/>
        <w:t>其他说明：</w:t>
      </w:r>
    </w:p>
    <w:p>
      <w:pPr>
        <w:pStyle w:val="BodyText"/>
        <w:spacing w:line="240" w:lineRule="auto" w:before="38"/>
        <w:ind w:left="513" w:right="1055"/>
        <w:jc w:val="left"/>
      </w:pPr>
      <w:r>
        <w:rPr>
          <w:spacing w:val="-5"/>
        </w:rPr>
        <w:t>企业人才安居房：本公司根据《深圳市保障性住房条例》、《深圳市人才安居暂行办法》、《福田区企业人才住房配售</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357" w:lineRule="auto" w:before="46"/>
        <w:ind w:right="1055"/>
        <w:jc w:val="left"/>
      </w:pPr>
      <w:r>
        <w:rPr>
          <w:spacing w:val="-4"/>
        </w:rPr>
        <w:t>管理办法》、《福田</w:t>
      </w:r>
      <w:r>
        <w:rPr>
          <w:rFonts w:ascii="宋体" w:hAnsi="宋体" w:cs="宋体" w:eastAsia="宋体" w:hint="default"/>
          <w:spacing w:val="-4"/>
        </w:rPr>
        <w:t>2013</w:t>
      </w:r>
      <w:r>
        <w:rPr>
          <w:spacing w:val="-4"/>
        </w:rPr>
        <w:t>年度企业人才住房配售方案》等规定，向深圳市福田区政府申请并取得企业人才住房，公司将取得</w:t>
      </w:r>
      <w:r>
        <w:rPr>
          <w:spacing w:val="49"/>
        </w:rPr>
        <w:t> </w:t>
      </w:r>
      <w:r>
        <w:rPr>
          <w:spacing w:val="49"/>
        </w:rPr>
      </w:r>
      <w:r>
        <w:rPr>
          <w:spacing w:val="-3"/>
        </w:rPr>
        <w:t>企业人才住房购买价与公允价值之间的差异确认为政府补助。</w:t>
      </w:r>
    </w:p>
    <w:p>
      <w:pPr>
        <w:spacing w:line="240" w:lineRule="auto" w:before="5"/>
        <w:rPr>
          <w:rFonts w:ascii="宋体" w:hAnsi="宋体" w:cs="宋体" w:eastAsia="宋体" w:hint="default"/>
          <w:sz w:val="24"/>
          <w:szCs w:val="24"/>
        </w:rPr>
      </w:pPr>
    </w:p>
    <w:p>
      <w:pPr>
        <w:pStyle w:val="Heading3"/>
        <w:spacing w:line="240" w:lineRule="auto"/>
        <w:ind w:right="1055"/>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spacing w:val="-2"/>
        </w:rPr>
        <w:t>单位：元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32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本次变动增减（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 w:right="0"/>
              <w:jc w:val="left"/>
              <w:rPr>
                <w:rFonts w:ascii="Times New Roman" w:hAnsi="Times New Roman" w:cs="Times New Roman" w:eastAsia="Times New Roman" w:hint="default"/>
                <w:sz w:val="18"/>
                <w:szCs w:val="18"/>
              </w:rPr>
            </w:pPr>
            <w:r>
              <w:rPr>
                <w:rFonts w:ascii="Times New Roman"/>
                <w:sz w:val="18"/>
              </w:rPr>
              <w:t>706,640,535.00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 w:right="0"/>
              <w:jc w:val="left"/>
              <w:rPr>
                <w:rFonts w:ascii="Times New Roman" w:hAnsi="Times New Roman" w:cs="Times New Roman" w:eastAsia="Times New Roman" w:hint="default"/>
                <w:sz w:val="18"/>
                <w:szCs w:val="18"/>
              </w:rPr>
            </w:pPr>
            <w:r>
              <w:rPr>
                <w:rFonts w:ascii="Times New Roman"/>
                <w:sz w:val="18"/>
              </w:rPr>
              <w:t>706,640,535.00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374,051,960.37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374,051,960.37</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1,519,456.84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408,334.00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1,927,790.84</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375,571,417.21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408,334.00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375,979,751.21</w:t>
            </w:r>
          </w:p>
        </w:tc>
      </w:tr>
    </w:tbl>
    <w:p>
      <w:pPr>
        <w:pStyle w:val="BodyText"/>
        <w:spacing w:line="273" w:lineRule="auto" w:before="10"/>
        <w:ind w:left="513" w:right="1055" w:hanging="360"/>
        <w:jc w:val="left"/>
      </w:pPr>
      <w:r>
        <w:rPr>
          <w:spacing w:val="-3"/>
        </w:rPr>
        <w:t>其他说明，包括本期增减变动情况、变动原因说明：</w:t>
      </w:r>
      <w:r>
        <w:rPr>
          <w:spacing w:val="-21"/>
        </w:rPr>
        <w:t> </w:t>
      </w:r>
      <w:r>
        <w:rPr>
          <w:spacing w:val="-21"/>
        </w:rPr>
      </w:r>
      <w:r>
        <w:rPr>
          <w:spacing w:val="-3"/>
        </w:rPr>
        <w:t>其它资本公司：其他资本公积本期增加系联营企业深圳票联金融服务有限公司其他股东溢价实缴资本形成的变动。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1055"/>
        <w:jc w:val="left"/>
        <w:rPr>
          <w:b w:val="0"/>
          <w:bCs w:val="0"/>
        </w:rPr>
      </w:pPr>
      <w:r>
        <w:rPr>
          <w:rFonts w:ascii="Times New Roman" w:hAnsi="Times New Roman" w:cs="Times New Roman" w:eastAsia="Times New Roman" w:hint="default"/>
        </w:rPr>
        <w:t>29</w:t>
      </w:r>
      <w:r>
        <w:rPr/>
        <w:t>、其他综合收益</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09"/>
        <w:gridCol w:w="1071"/>
        <w:gridCol w:w="936"/>
        <w:gridCol w:w="1152"/>
        <w:gridCol w:w="937"/>
        <w:gridCol w:w="936"/>
        <w:gridCol w:w="936"/>
        <w:gridCol w:w="793"/>
      </w:tblGrid>
      <w:tr>
        <w:trPr>
          <w:trHeight w:val="360" w:hRule="exact"/>
        </w:trPr>
        <w:tc>
          <w:tcPr>
            <w:tcW w:w="2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09" w:type="dxa"/>
            <w:tcBorders>
              <w:top w:val="nil" w:sz="6" w:space="0" w:color="auto"/>
              <w:left w:val="single" w:sz="4" w:space="0" w:color="000000"/>
              <w:bottom w:val="nil" w:sz="6" w:space="0" w:color="auto"/>
              <w:right w:val="single" w:sz="4" w:space="0" w:color="000000"/>
            </w:tcBorders>
          </w:tcPr>
          <w:p>
            <w:pPr>
              <w:pStyle w:val="TableParagraph"/>
              <w:tabs>
                <w:tab w:pos="1195" w:val="left" w:leader="none"/>
                <w:tab w:pos="2756" w:val="left" w:leader="none"/>
              </w:tabs>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D2D2D2" w:color="auto" w:val="clear"/>
              </w:rPr>
              <w:t> </w:t>
            </w:r>
            <w:r>
              <w:rPr>
                <w:rFonts w:ascii="Times New Roman" w:hAnsi="Times New Roman" w:cs="Times New Roman" w:eastAsia="Times New Roman" w:hint="default"/>
                <w:sz w:val="18"/>
                <w:szCs w:val="18"/>
                <w:shd w:fill="D2D2D2" w:color="auto" w:val="clear"/>
              </w:rPr>
              <w:tab/>
            </w:r>
            <w:r>
              <w:rPr>
                <w:rFonts w:ascii="宋体" w:hAnsi="宋体" w:cs="宋体" w:eastAsia="宋体" w:hint="default"/>
                <w:sz w:val="18"/>
                <w:szCs w:val="18"/>
                <w:shd w:fill="D2D2D2" w:color="auto" w:val="clear"/>
              </w:rPr>
              <w:t>项目</w:t>
              <w:tab/>
            </w:r>
            <w:r>
              <w:rPr>
                <w:rFonts w:ascii="宋体" w:hAnsi="宋体" w:cs="宋体" w:eastAsia="宋体" w:hint="default"/>
                <w:sz w:val="18"/>
                <w:szCs w:val="18"/>
              </w:rPr>
            </w:r>
          </w:p>
        </w:tc>
        <w:tc>
          <w:tcPr>
            <w:tcW w:w="1071"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本期所得</w:t>
            </w:r>
          </w:p>
          <w:p>
            <w:pPr>
              <w:pStyle w:val="TableParagraph"/>
              <w:spacing w:line="240" w:lineRule="auto"/>
              <w:ind w:left="374" w:right="99" w:hanging="274"/>
              <w:jc w:val="left"/>
              <w:rPr>
                <w:rFonts w:ascii="宋体" w:hAnsi="宋体" w:cs="宋体" w:eastAsia="宋体" w:hint="default"/>
                <w:sz w:val="18"/>
                <w:szCs w:val="18"/>
              </w:rPr>
            </w:pPr>
            <w:r>
              <w:rPr>
                <w:rFonts w:ascii="宋体" w:hAnsi="宋体" w:cs="宋体" w:eastAsia="宋体" w:hint="default"/>
                <w:sz w:val="18"/>
                <w:szCs w:val="18"/>
              </w:rPr>
              <w:t>税前发生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40" w:lineRule="auto"/>
              <w:ind w:left="28" w:right="27"/>
              <w:jc w:val="left"/>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当期转入损益</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283" w:right="17" w:hanging="260"/>
              <w:jc w:val="left"/>
              <w:rPr>
                <w:rFonts w:ascii="宋体" w:hAnsi="宋体" w:cs="宋体" w:eastAsia="宋体" w:hint="default"/>
                <w:sz w:val="18"/>
                <w:szCs w:val="18"/>
              </w:rPr>
            </w:pPr>
            <w:r>
              <w:rPr>
                <w:rFonts w:ascii="宋体" w:hAnsi="宋体" w:cs="宋体" w:eastAsia="宋体" w:hint="default"/>
                <w:spacing w:val="-6"/>
                <w:sz w:val="18"/>
                <w:szCs w:val="18"/>
              </w:rPr>
              <w:t>减：所得税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00" w:right="98"/>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40" w:lineRule="auto"/>
              <w:ind w:left="374" w:right="98" w:hanging="274"/>
              <w:jc w:val="left"/>
              <w:rPr>
                <w:rFonts w:ascii="宋体" w:hAnsi="宋体" w:cs="宋体" w:eastAsia="宋体" w:hint="default"/>
                <w:sz w:val="18"/>
                <w:szCs w:val="18"/>
              </w:rPr>
            </w:pPr>
            <w:r>
              <w:rPr>
                <w:rFonts w:ascii="宋体" w:hAnsi="宋体" w:cs="宋体" w:eastAsia="宋体" w:hint="default"/>
                <w:sz w:val="18"/>
                <w:szCs w:val="18"/>
              </w:rPr>
              <w:t>于少数股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w:t>
            </w:r>
          </w:p>
        </w:tc>
        <w:tc>
          <w:tcPr>
            <w:tcW w:w="793" w:type="dxa"/>
            <w:vMerge/>
            <w:tcBorders>
              <w:left w:val="single" w:sz="4" w:space="0" w:color="000000"/>
              <w:right w:val="single" w:sz="4" w:space="0" w:color="000000"/>
            </w:tcBorders>
            <w:shd w:val="clear" w:color="auto" w:fill="D2D2D2"/>
          </w:tcPr>
          <w:p>
            <w:pPr/>
          </w:p>
        </w:tc>
      </w:tr>
      <w:tr>
        <w:trPr>
          <w:trHeight w:val="398" w:hRule="exact"/>
        </w:trPr>
        <w:tc>
          <w:tcPr>
            <w:tcW w:w="2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益</w:t>
            </w:r>
          </w:p>
        </w:tc>
        <w:tc>
          <w:tcPr>
            <w:tcW w:w="10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-4,579,211.51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0"/>
              <w:jc w:val="right"/>
              <w:rPr>
                <w:rFonts w:ascii="Times New Roman" w:hAnsi="Times New Roman" w:cs="Times New Roman" w:eastAsia="Times New Roman" w:hint="default"/>
                <w:sz w:val="18"/>
                <w:szCs w:val="18"/>
              </w:rPr>
            </w:pPr>
            <w:r>
              <w:rPr>
                <w:rFonts w:ascii="Times New Roman"/>
                <w:spacing w:val="-1"/>
                <w:sz w:val="18"/>
              </w:rPr>
              <w:t>-8,009,124.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9"/>
              <w:jc w:val="right"/>
              <w:rPr>
                <w:rFonts w:ascii="Times New Roman" w:hAnsi="Times New Roman" w:cs="Times New Roman" w:eastAsia="Times New Roman" w:hint="default"/>
                <w:sz w:val="18"/>
                <w:szCs w:val="18"/>
              </w:rPr>
            </w:pPr>
            <w:r>
              <w:rPr>
                <w:rFonts w:ascii="Times New Roman"/>
                <w:spacing w:val="-1"/>
                <w:sz w:val="18"/>
              </w:rPr>
              <w:t>-8,009,124.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72" w:right="0"/>
              <w:jc w:val="left"/>
              <w:rPr>
                <w:rFonts w:ascii="Times New Roman" w:hAnsi="Times New Roman" w:cs="Times New Roman" w:eastAsia="Times New Roman" w:hint="default"/>
                <w:sz w:val="18"/>
                <w:szCs w:val="18"/>
              </w:rPr>
            </w:pPr>
            <w:r>
              <w:rPr>
                <w:rFonts w:ascii="Times New Roman"/>
                <w:sz w:val="18"/>
              </w:rPr>
              <w:t>-12,588,3</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36.41</w:t>
            </w:r>
          </w:p>
        </w:tc>
      </w:tr>
      <w:tr>
        <w:trPr>
          <w:trHeight w:val="557"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3"/>
                <w:sz w:val="18"/>
                <w:szCs w:val="18"/>
              </w:rPr>
              <w:t>其中：权益法下可转损益的其他综</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合收益</w:t>
            </w:r>
          </w:p>
        </w:tc>
        <w:tc>
          <w:tcPr>
            <w:tcW w:w="10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-4,579,211.51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0"/>
              <w:jc w:val="right"/>
              <w:rPr>
                <w:rFonts w:ascii="Times New Roman" w:hAnsi="Times New Roman" w:cs="Times New Roman" w:eastAsia="Times New Roman" w:hint="default"/>
                <w:sz w:val="18"/>
                <w:szCs w:val="18"/>
              </w:rPr>
            </w:pPr>
            <w:r>
              <w:rPr>
                <w:rFonts w:ascii="Times New Roman"/>
                <w:spacing w:val="-1"/>
                <w:sz w:val="18"/>
              </w:rPr>
              <w:t>-8,009,124.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9"/>
              <w:jc w:val="right"/>
              <w:rPr>
                <w:rFonts w:ascii="Times New Roman" w:hAnsi="Times New Roman" w:cs="Times New Roman" w:eastAsia="Times New Roman" w:hint="default"/>
                <w:sz w:val="18"/>
                <w:szCs w:val="18"/>
              </w:rPr>
            </w:pPr>
            <w:r>
              <w:rPr>
                <w:rFonts w:ascii="Times New Roman"/>
                <w:spacing w:val="-1"/>
                <w:sz w:val="18"/>
              </w:rPr>
              <w:t>-8,009,124.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72" w:right="0"/>
              <w:jc w:val="left"/>
              <w:rPr>
                <w:rFonts w:ascii="Times New Roman" w:hAnsi="Times New Roman" w:cs="Times New Roman" w:eastAsia="Times New Roman" w:hint="default"/>
                <w:sz w:val="18"/>
                <w:szCs w:val="18"/>
              </w:rPr>
            </w:pPr>
            <w:r>
              <w:rPr>
                <w:rFonts w:ascii="Times New Roman"/>
                <w:sz w:val="18"/>
              </w:rPr>
              <w:t>-12,588,3</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36.41</w:t>
            </w:r>
          </w:p>
        </w:tc>
      </w:tr>
      <w:tr>
        <w:trPr>
          <w:trHeight w:val="505" w:hRule="exact"/>
        </w:trPr>
        <w:tc>
          <w:tcPr>
            <w:tcW w:w="2809" w:type="dxa"/>
            <w:tcBorders>
              <w:top w:val="single" w:sz="41" w:space="0" w:color="D2D2D2"/>
              <w:left w:val="single" w:sz="4" w:space="0" w:color="000000"/>
              <w:bottom w:val="single" w:sz="40" w:space="0" w:color="D2D2D2"/>
              <w:right w:val="single" w:sz="4" w:space="0" w:color="000000"/>
            </w:tcBorders>
          </w:tcPr>
          <w:p>
            <w:pPr>
              <w:pStyle w:val="TableParagraph"/>
              <w:tabs>
                <w:tab w:pos="2756" w:val="left" w:leader="none"/>
              </w:tabs>
              <w:spacing w:line="240" w:lineRule="auto" w:before="56"/>
              <w:ind w:right="17"/>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pacing w:val="-2"/>
                <w:sz w:val="18"/>
                <w:szCs w:val="18"/>
                <w:shd w:fill="D2D2D2" w:color="auto" w:val="clear"/>
              </w:rPr>
              <w:t>其他综合收益合计</w:t>
              <w:tab/>
            </w:r>
            <w:r>
              <w:rPr>
                <w:rFonts w:ascii="宋体" w:hAnsi="宋体" w:cs="宋体" w:eastAsia="宋体" w:hint="default"/>
                <w:spacing w:val="-2"/>
                <w:sz w:val="18"/>
                <w:szCs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8" w:right="0"/>
              <w:jc w:val="center"/>
              <w:rPr>
                <w:rFonts w:ascii="Times New Roman" w:hAnsi="Times New Roman" w:cs="Times New Roman" w:eastAsia="Times New Roman" w:hint="default"/>
                <w:sz w:val="18"/>
                <w:szCs w:val="18"/>
              </w:rPr>
            </w:pPr>
            <w:r>
              <w:rPr>
                <w:rFonts w:ascii="Times New Roman"/>
                <w:spacing w:val="-2"/>
                <w:sz w:val="18"/>
              </w:rPr>
              <w:t>-4,579,211.51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pacing w:val="-1"/>
                <w:sz w:val="18"/>
              </w:rPr>
              <w:t>-8,009,124.</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-8,009,124.</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90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2" w:right="0"/>
              <w:jc w:val="left"/>
              <w:rPr>
                <w:rFonts w:ascii="Times New Roman" w:hAnsi="Times New Roman" w:cs="Times New Roman" w:eastAsia="Times New Roman" w:hint="default"/>
                <w:sz w:val="18"/>
                <w:szCs w:val="18"/>
              </w:rPr>
            </w:pPr>
            <w:r>
              <w:rPr>
                <w:rFonts w:ascii="Times New Roman"/>
                <w:sz w:val="18"/>
              </w:rPr>
              <w:t>-12,588,3</w:t>
            </w:r>
          </w:p>
          <w:p>
            <w:pPr>
              <w:pStyle w:val="TableParagraph"/>
              <w:spacing w:line="240" w:lineRule="auto" w:before="4"/>
              <w:ind w:left="360" w:right="0"/>
              <w:jc w:val="left"/>
              <w:rPr>
                <w:rFonts w:ascii="Times New Roman" w:hAnsi="Times New Roman" w:cs="Times New Roman" w:eastAsia="Times New Roman" w:hint="default"/>
                <w:sz w:val="18"/>
                <w:szCs w:val="18"/>
              </w:rPr>
            </w:pPr>
            <w:r>
              <w:rPr>
                <w:rFonts w:ascii="Times New Roman"/>
                <w:sz w:val="18"/>
              </w:rPr>
              <w:t>36.41</w:t>
            </w:r>
          </w:p>
        </w:tc>
      </w:tr>
    </w:tbl>
    <w:p>
      <w:pPr>
        <w:spacing w:line="240" w:lineRule="auto" w:before="7"/>
        <w:rPr>
          <w:rFonts w:ascii="宋体" w:hAnsi="宋体" w:cs="宋体" w:eastAsia="宋体" w:hint="default"/>
          <w:sz w:val="13"/>
          <w:szCs w:val="13"/>
        </w:rPr>
      </w:pPr>
    </w:p>
    <w:p>
      <w:pPr>
        <w:pStyle w:val="Heading3"/>
        <w:spacing w:line="240" w:lineRule="auto" w:before="36"/>
        <w:ind w:right="1055"/>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26,181,022.91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1,640,380.35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27,821,403.26</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26,181,022.91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1,640,380.35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27,821,403.26</w:t>
            </w:r>
          </w:p>
        </w:tc>
      </w:tr>
    </w:tbl>
    <w:p>
      <w:pPr>
        <w:pStyle w:val="BodyText"/>
        <w:spacing w:line="278" w:lineRule="auto" w:before="10"/>
        <w:ind w:left="513" w:right="1055" w:hanging="360"/>
        <w:jc w:val="left"/>
      </w:pPr>
      <w:r>
        <w:rPr>
          <w:spacing w:val="-3"/>
        </w:rPr>
        <w:t>盈余公积说明，包括本期增减变动情况、变动原因说明：</w:t>
      </w:r>
      <w:r>
        <w:rPr>
          <w:spacing w:val="-15"/>
        </w:rPr>
        <w:t> </w:t>
      </w:r>
      <w:r>
        <w:rPr>
          <w:spacing w:val="-15"/>
        </w:rPr>
      </w:r>
      <w:r>
        <w:rPr>
          <w:spacing w:val="-3"/>
        </w:rPr>
        <w:t>根据《公司法》、公司章程的规定，本公司按净利润的</w:t>
      </w:r>
      <w:r>
        <w:rPr>
          <w:rFonts w:ascii="宋体" w:hAnsi="宋体" w:cs="宋体" w:eastAsia="宋体" w:hint="default"/>
          <w:spacing w:val="-3"/>
        </w:rPr>
        <w:t>10%</w:t>
      </w:r>
      <w:r>
        <w:rPr>
          <w:spacing w:val="-3"/>
        </w:rPr>
        <w:t>提取法定盈余公积。法定盈余公积累计额达到本公司注册资</w:t>
      </w:r>
    </w:p>
    <w:p>
      <w:pPr>
        <w:pStyle w:val="BodyText"/>
        <w:spacing w:line="357" w:lineRule="auto" w:before="82"/>
        <w:ind w:left="513" w:right="1055" w:hanging="360"/>
        <w:jc w:val="left"/>
      </w:pPr>
      <w:r>
        <w:rPr/>
        <w:t>本</w:t>
      </w:r>
      <w:r>
        <w:rPr>
          <w:rFonts w:ascii="宋体" w:hAnsi="宋体" w:cs="宋体" w:eastAsia="宋体" w:hint="default"/>
        </w:rPr>
        <w:t>50%</w:t>
      </w:r>
      <w:r>
        <w:rPr/>
        <w:t>以上的，不再提取。</w:t>
      </w:r>
      <w:r>
        <w:rPr>
          <w:spacing w:val="-88"/>
        </w:rPr>
        <w:t> </w:t>
      </w:r>
      <w:r>
        <w:rPr>
          <w:spacing w:val="-88"/>
        </w:rPr>
      </w:r>
      <w:r>
        <w:rPr>
          <w:spacing w:val="-4"/>
        </w:rPr>
        <w:t>本公司在提取法定盈余公积金后，可提取任意盈余公积金。经批准，任意盈余公积金可用于弥补以前年度亏损或增加股</w:t>
      </w:r>
    </w:p>
    <w:p>
      <w:pPr>
        <w:pStyle w:val="BodyText"/>
        <w:spacing w:line="240" w:lineRule="auto" w:before="26"/>
        <w:ind w:right="1055"/>
        <w:jc w:val="left"/>
      </w:pPr>
      <w:r>
        <w:rPr/>
        <w:t>本。</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6"/>
        <w:gridCol w:w="2925"/>
        <w:gridCol w:w="2919"/>
      </w:tblGrid>
      <w:tr>
        <w:trPr>
          <w:trHeight w:val="325"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219,302,589.49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208,126,624.66</w:t>
            </w:r>
          </w:p>
        </w:tc>
      </w:tr>
      <w:tr>
        <w:trPr>
          <w:trHeight w:val="326"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219,302,589.49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208,126,624.66</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35,750,737.69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22,238,457.43</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1,640,380.35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802,290.12</w:t>
            </w:r>
          </w:p>
        </w:tc>
      </w:tr>
      <w:tr>
        <w:trPr>
          <w:trHeight w:val="326"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10,260,202.48</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253,412,946.83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219,302,589.49</w:t>
            </w:r>
          </w:p>
        </w:tc>
      </w:tr>
    </w:tbl>
    <w:p>
      <w:pPr>
        <w:pStyle w:val="BodyText"/>
        <w:spacing w:line="203" w:lineRule="exact"/>
        <w:ind w:left="513" w:right="1055"/>
        <w:jc w:val="left"/>
      </w:pPr>
      <w:r>
        <w:rPr>
          <w:spacing w:val="-3"/>
        </w:rPr>
        <w:t>调整期初未分配利润明细：</w:t>
      </w:r>
    </w:p>
    <w:p>
      <w:pPr>
        <w:pStyle w:val="BodyText"/>
        <w:spacing w:line="240" w:lineRule="auto" w:before="115"/>
        <w:ind w:left="513" w:right="1055"/>
        <w:jc w:val="left"/>
      </w:pPr>
      <w:r>
        <w:rPr>
          <w:rFonts w:ascii="宋体" w:hAnsi="宋体" w:cs="宋体" w:eastAsia="宋体" w:hint="default"/>
          <w:spacing w:val="-3"/>
        </w:rPr>
        <w:t>1)</w:t>
      </w:r>
      <w:r>
        <w:rPr>
          <w:spacing w:val="-3"/>
        </w:rPr>
        <w:t>、由于《企业会计准则》及其相关新规定进行追溯调整，影响期初未分配利润</w:t>
      </w:r>
      <w:r>
        <w:rPr>
          <w:rFonts w:ascii="宋体" w:hAnsi="宋体" w:cs="宋体" w:eastAsia="宋体" w:hint="default"/>
          <w:spacing w:val="-3"/>
        </w:rPr>
        <w:t>0.00</w:t>
      </w:r>
      <w:r>
        <w:rPr>
          <w:spacing w:val="-3"/>
        </w:rPr>
        <w:t>元。</w:t>
      </w:r>
    </w:p>
    <w:p>
      <w:pPr>
        <w:pStyle w:val="BodyText"/>
        <w:spacing w:line="240" w:lineRule="auto" w:before="115"/>
        <w:ind w:left="513" w:right="1055"/>
        <w:jc w:val="left"/>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p>
    <w:p>
      <w:pPr>
        <w:pStyle w:val="BodyText"/>
        <w:spacing w:line="240" w:lineRule="auto" w:before="115"/>
        <w:ind w:left="513" w:right="1055"/>
        <w:jc w:val="left"/>
      </w:pPr>
      <w:r>
        <w:rPr>
          <w:rFonts w:ascii="宋体" w:hAnsi="宋体" w:cs="宋体" w:eastAsia="宋体" w:hint="default"/>
          <w:spacing w:val="-3"/>
        </w:rPr>
        <w:t>3)</w:t>
      </w:r>
      <w:r>
        <w:rPr>
          <w:spacing w:val="-3"/>
        </w:rPr>
        <w:t>、由于重大会计差错更正，影响期初未分配利润</w:t>
      </w:r>
      <w:r>
        <w:rPr>
          <w:rFonts w:ascii="宋体" w:hAnsi="宋体" w:cs="宋体" w:eastAsia="宋体" w:hint="default"/>
          <w:spacing w:val="-3"/>
        </w:rPr>
        <w:t>0.00</w:t>
      </w:r>
      <w:r>
        <w:rPr>
          <w:spacing w:val="-3"/>
        </w:rPr>
        <w:t>元。</w:t>
      </w:r>
    </w:p>
    <w:p>
      <w:pPr>
        <w:pStyle w:val="BodyText"/>
        <w:spacing w:line="240" w:lineRule="auto" w:before="115"/>
        <w:ind w:left="513" w:right="1055"/>
        <w:jc w:val="left"/>
      </w:pPr>
      <w:r>
        <w:rPr>
          <w:rFonts w:ascii="宋体" w:hAnsi="宋体" w:cs="宋体" w:eastAsia="宋体" w:hint="default"/>
          <w:spacing w:val="-3"/>
        </w:rPr>
        <w:t>4)</w:t>
      </w:r>
      <w:r>
        <w:rPr>
          <w:spacing w:val="-3"/>
        </w:rPr>
        <w:t>、由于同一控制导致的合并范围变更，影响期初未分配利润</w:t>
      </w:r>
      <w:r>
        <w:rPr>
          <w:rFonts w:ascii="宋体" w:hAnsi="宋体" w:cs="宋体" w:eastAsia="宋体" w:hint="default"/>
          <w:spacing w:val="-3"/>
        </w:rPr>
        <w:t>0.00</w:t>
      </w:r>
      <w:r>
        <w:rPr>
          <w:spacing w:val="-3"/>
        </w:rPr>
        <w:t>元。</w:t>
      </w:r>
    </w:p>
    <w:p>
      <w:pPr>
        <w:pStyle w:val="BodyText"/>
        <w:spacing w:line="240" w:lineRule="auto" w:before="115"/>
        <w:ind w:left="513" w:right="1055"/>
        <w:jc w:val="left"/>
      </w:pPr>
      <w:r>
        <w:rPr>
          <w:rFonts w:ascii="宋体" w:hAnsi="宋体" w:cs="宋体" w:eastAsia="宋体" w:hint="default"/>
          <w:spacing w:val="-3"/>
        </w:rPr>
        <w:t>5)</w:t>
      </w:r>
      <w:r>
        <w:rPr>
          <w:spacing w:val="-3"/>
        </w:rPr>
        <w:t>、其他调整合计影响期初未分配利润</w:t>
      </w:r>
      <w:r>
        <w:rPr>
          <w:rFonts w:ascii="宋体" w:hAnsi="宋体" w:cs="宋体" w:eastAsia="宋体" w:hint="default"/>
          <w:spacing w:val="-3"/>
        </w:rPr>
        <w:t>0.00</w:t>
      </w:r>
      <w:r>
        <w:rPr>
          <w:spacing w:val="-3"/>
        </w:rPr>
        <w:t>元。</w:t>
      </w:r>
      <w:r>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2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2"/>
                <w:sz w:val="18"/>
              </w:rPr>
              <w:t>1,294,907,609.99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883,016,587.78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2"/>
                <w:sz w:val="18"/>
              </w:rPr>
              <w:t>1,134,266,726.65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756,328,822.88</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4,343,563.44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964,870.40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13,412,038.52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9,306,513.93</w:t>
            </w:r>
          </w:p>
        </w:tc>
      </w:tr>
      <w:tr>
        <w:trPr>
          <w:trHeight w:val="3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1,299,251,173.43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883,981,458.18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1,147,678,765.17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765,635,336.81</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33</w:t>
      </w:r>
      <w:r>
        <w:rPr/>
        <w:t>、税金及附加</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1,930,689.20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1,049,869.21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1,377,851.48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746,199.03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484,463.42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387,570.68</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2,296.47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2,596.04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9,570.00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21,570.00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318,656.30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508,488.40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1,500.00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20,377.95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4,125,026.87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2,736,671.31</w:t>
            </w:r>
          </w:p>
        </w:tc>
      </w:tr>
    </w:tbl>
    <w:p>
      <w:pPr>
        <w:pStyle w:val="BodyText"/>
        <w:spacing w:line="240" w:lineRule="auto" w:before="10"/>
        <w:ind w:right="1055"/>
        <w:jc w:val="left"/>
      </w:pPr>
      <w:r>
        <w:rPr/>
        <w:t>其他说明：</w:t>
      </w:r>
    </w:p>
    <w:p>
      <w:pPr>
        <w:pStyle w:val="BodyText"/>
        <w:spacing w:line="240" w:lineRule="auto" w:before="38"/>
        <w:ind w:left="513" w:right="1055"/>
        <w:jc w:val="left"/>
      </w:pPr>
      <w:r>
        <w:rPr>
          <w:spacing w:val="-3"/>
        </w:rPr>
        <w:t>各项税金及附加的计缴标准详见附注六、税项。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广告咨询费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28,011,091.88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22,061,541.07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7,804,327.90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8,524,305.23</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36,021,647.75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36,036,441.92</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7,328,511.39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4,565,227.70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53,771,769.97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65,370,907.08</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平台服务费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53,297,085.45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58,289,889.97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21,290,047.35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12,289,276.53</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207,524,481.69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207,137,589.50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7,474,869.69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17,207,233.98</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26,703,497.87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24,254,834.49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10,841,285.05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10,623,899.89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480,748.11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750,689.01</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8,489,782.20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9,858,802.15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6,206,034.00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3,431,903.75</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7,462,183.76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4,546,256.70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67,658,400.68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70,673,619.97</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36</w:t>
      </w:r>
      <w:r>
        <w:rPr/>
        <w:t>、研发费用</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33,239,577.24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20,334,235.59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16,425,219.10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14,908,526.46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租赁管理费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2,484,068.67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2,664,539.48</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1,624,420.39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1,308,651.10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1,287,463.76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1,058,359.62</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1,673,384.45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276,946.87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56,734,133.61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40,551,259.12</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27,642,058.61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12,829,861.05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10,715,656.85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6,021,388.55</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1,572,056.98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1,439,979.11</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488,477.02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4,125,803.05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18,986,935.76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12,374,254.66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11,113,092.12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3,609,365.75</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560,500.60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364,767.59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2"/>
                <w:sz w:val="18"/>
              </w:rPr>
              <w:t>11,673,592.72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3,974,133.34</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软件即征即退税款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2,104,904.61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2,206,333.23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安居房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35,800.69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35,800.74</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大数据平台研究项目补贴摊销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544,284.45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168,972.69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工业设计创新成果转化资助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920,000.00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企业研究开发资助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923,000.00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931,000.00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84,732.30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101,923.34</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科技计划配套补贴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1,533,100.00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66,598.00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跨境电商补贴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1"/>
                <w:sz w:val="18"/>
              </w:rPr>
              <w:t>2,177,700.00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提升国际化经营能力事项补助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128,765.00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出口信用保险保费资助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103,200.00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个税代扣手续费返还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27,908.75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62,846.69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高技能人才企业补贴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18"/>
                <w:szCs w:val="18"/>
              </w:rPr>
            </w:pPr>
            <w:r>
              <w:rPr>
                <w:rFonts w:ascii="Times New Roman"/>
                <w:spacing w:val="-1"/>
                <w:sz w:val="18"/>
              </w:rPr>
              <w:t>424,000.00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中关村资信评级补贴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8,180,393.80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Times New Roman" w:hAnsi="Times New Roman" w:cs="Times New Roman" w:eastAsia="Times New Roman" w:hint="default"/>
                <w:sz w:val="18"/>
                <w:szCs w:val="18"/>
              </w:rPr>
            </w:pPr>
            <w:r>
              <w:rPr>
                <w:rFonts w:ascii="Times New Roman"/>
                <w:spacing w:val="-1"/>
                <w:sz w:val="18"/>
              </w:rPr>
              <w:t>5,456,876.69</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62"/>
        <w:gridCol w:w="3189"/>
        <w:gridCol w:w="2919"/>
      </w:tblGrid>
      <w:tr>
        <w:trPr>
          <w:trHeight w:val="3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-62,411,753.54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-20,904,308.38</w:t>
            </w:r>
          </w:p>
        </w:tc>
      </w:tr>
      <w:tr>
        <w:trPr>
          <w:trHeight w:val="326"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3,587,507.76</w:t>
            </w:r>
          </w:p>
        </w:tc>
      </w:tr>
      <w:tr>
        <w:trPr>
          <w:trHeight w:val="3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-62,411,753.54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-17,316,800.62</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41</w:t>
      </w:r>
      <w:r>
        <w:rPr/>
        <w:t>、资产处置收益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35,462,882.06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123,741.16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71,724.49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123,741.16</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投资性房地产处置收益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35,391,157.57</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21" w:right="0"/>
              <w:jc w:val="left"/>
              <w:rPr>
                <w:rFonts w:ascii="Times New Roman" w:hAnsi="Times New Roman" w:cs="Times New Roman" w:eastAsia="Times New Roman" w:hint="default"/>
                <w:sz w:val="18"/>
                <w:szCs w:val="18"/>
              </w:rPr>
            </w:pPr>
            <w:r>
              <w:rPr>
                <w:rFonts w:ascii="Times New Roman"/>
                <w:sz w:val="18"/>
              </w:rPr>
              <w:t>35,462,882.06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123,741.16</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42</w:t>
      </w:r>
      <w:r>
        <w:rPr/>
        <w:t>、营业外收入</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55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22,100.00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7,550.00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22,100.00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7,550.00</w:t>
            </w:r>
          </w:p>
        </w:tc>
      </w:tr>
      <w:tr>
        <w:trPr>
          <w:trHeight w:val="3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3,715,520.21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2,099,323.53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1,050,332.77</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3,723,070.21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2,121,423.53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1,057,882.77</w:t>
            </w:r>
          </w:p>
        </w:tc>
      </w:tr>
    </w:tbl>
    <w:p>
      <w:pPr>
        <w:pStyle w:val="BodyText"/>
        <w:spacing w:line="273" w:lineRule="auto" w:before="10"/>
        <w:ind w:left="513" w:right="8420" w:hanging="360"/>
        <w:jc w:val="left"/>
      </w:pPr>
      <w:r>
        <w:rPr>
          <w:spacing w:val="-3"/>
        </w:rPr>
        <w:t>计入当期损益的政府补助：</w:t>
      </w:r>
      <w:r>
        <w:rPr>
          <w:spacing w:val="-51"/>
        </w:rPr>
        <w:t> </w:t>
      </w:r>
      <w:r>
        <w:rPr>
          <w:spacing w:val="-51"/>
        </w:rPr>
      </w:r>
      <w:r>
        <w:rPr/>
        <w:t>无。</w:t>
      </w:r>
    </w:p>
    <w:p>
      <w:pPr>
        <w:spacing w:line="240" w:lineRule="auto" w:before="0"/>
        <w:rPr>
          <w:rFonts w:ascii="宋体" w:hAnsi="宋体" w:cs="宋体" w:eastAsia="宋体" w:hint="default"/>
          <w:sz w:val="18"/>
          <w:szCs w:val="18"/>
        </w:rPr>
      </w:pPr>
    </w:p>
    <w:p>
      <w:pPr>
        <w:pStyle w:val="Heading3"/>
        <w:spacing w:line="240" w:lineRule="auto" w:before="146"/>
        <w:ind w:right="1055"/>
        <w:jc w:val="left"/>
        <w:rPr>
          <w:b w:val="0"/>
          <w:bCs w:val="0"/>
        </w:rPr>
      </w:pPr>
      <w:r>
        <w:rPr>
          <w:rFonts w:ascii="Times New Roman" w:hAnsi="Times New Roman" w:cs="Times New Roman" w:eastAsia="Times New Roman" w:hint="default"/>
        </w:rPr>
        <w:t>43</w:t>
      </w:r>
      <w:r>
        <w:rPr/>
        <w:t>、营业外支出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55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32,137.04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74,070.36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32,137.04</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32,137.04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74,070.36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32,137.04</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2,555.61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135,914.26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2,555.61</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781,287.99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304,881.00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781,287.99</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895,980.64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514,865.62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895,980.64</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11,529,395.34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17,123,487.42</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-577,443.28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-7,464,801.09</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10,951,952.06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9,658,686.33</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1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32,625,755.81</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4,893,863.37</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-878,666.50</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284,241.90</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4,807,224.70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1,866,880.38</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税率调整导致期初递延所得税资产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-21,591.79</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10,951,952.06</w:t>
            </w:r>
          </w:p>
        </w:tc>
      </w:tr>
    </w:tbl>
    <w:p>
      <w:pPr>
        <w:spacing w:line="240" w:lineRule="auto" w:before="1"/>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45</w:t>
      </w:r>
      <w:r>
        <w:rPr/>
        <w:t>、其他综合收益</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详见附注七、</w:t>
      </w:r>
      <w:r>
        <w:rPr>
          <w:rFonts w:ascii="宋体" w:hAnsi="宋体" w:cs="宋体" w:eastAsia="宋体" w:hint="default"/>
        </w:rPr>
        <w:t>29</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46</w:t>
      </w:r>
      <w:r>
        <w:rPr/>
        <w:t>、现金流量表项目</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6,981,043.94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2,150,936.80</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4,927,651.76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4,741,360.55</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5,075,194.98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4,308,227.79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12,211,679.26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16,592,765.49</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3,269,345.19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46,139.60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32,464,915.13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27,839,430.23</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940,136.14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1,439,920.07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除工资外付现销售费用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153,587,426.31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155,090,312.78</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除工资、税金外付现管理费用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65,963,431.98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44,065,941.58</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52,070,036.19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46,521,581.15</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2,669,492.48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132,604.06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275,230,523.10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247,250,359.64</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收回参股公司代垫款项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2,883,448.93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406,438,074.60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重组补偿款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2"/>
                <w:sz w:val="18"/>
              </w:rPr>
              <w:t>411,438,074.60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2,883,448.93</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r>
        <w:rPr/>
        <w:pict>
          <v:shape style="position:absolute;margin-left:217.275757pt;margin-top:702.429993pt;width:158.5pt;height:15.85pt;mso-position-horizontal-relative:page;mso-position-vertical-relative:page;z-index:-820960" type="#_x0000_t202" filled="false" stroked="false">
            <v:textbox inset="0,0,0,0">
              <w:txbxContent>
                <w:p>
                  <w:pPr>
                    <w:pStyle w:val="BodyText"/>
                    <w:spacing w:line="240" w:lineRule="auto" w:before="10"/>
                    <w:ind w:left="0" w:right="0"/>
                    <w:jc w:val="left"/>
                  </w:pPr>
                  <w:r>
                    <w:rPr>
                      <w:w w:val="101"/>
                    </w:rPr>
                    <w:t>）</w:t>
                  </w:r>
                  <w:r>
                    <w:rPr/>
                  </w:r>
                </w:p>
              </w:txbxContent>
            </v:textbox>
            <w10:wrap type="none"/>
          </v:shape>
        </w:pict>
      </w:r>
      <w:r>
        <w:rPr/>
        <w:pict>
          <v:shape style="position:absolute;margin-left:217.275757pt;margin-top:718.755981pt;width:158.5pt;height:15.65pt;mso-position-horizontal-relative:page;mso-position-vertical-relative:page;z-index:-820936" type="#_x0000_t202" filled="false" stroked="false">
            <v:textbox inset="0,0,0,0">
              <w:txbxContent>
                <w:p>
                  <w:pPr>
                    <w:pStyle w:val="BodyText"/>
                    <w:spacing w:line="240" w:lineRule="auto" w:before="11"/>
                    <w:ind w:left="0" w:right="0"/>
                    <w:jc w:val="left"/>
                  </w:pPr>
                  <w:r>
                    <w:rPr>
                      <w:w w:val="101"/>
                    </w:rPr>
                    <w:t>）</w:t>
                  </w:r>
                  <w:r>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投资筹备款项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5,440,000.00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407,954,187.91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413,394,187.91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160,000,000.00</w:t>
            </w:r>
          </w:p>
        </w:tc>
      </w:tr>
    </w:tbl>
    <w:p>
      <w:pPr>
        <w:spacing w:line="240" w:lineRule="auto" w:before="1"/>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14,376,396.63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9,580,472.70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14,376,396.63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9,580,472.70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非公开发行股票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864,626.77</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开具银行承兑汇票保证金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23,796,391.92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2,530,004.71</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资信评级手续费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融资担保费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724,000.00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开具保函保证金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449,506.60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股利分配手续费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18,388.93</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24,969,898.52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3,663,020.41</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31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10" w:space="0" w:color="D2D2D2"/>
              <w:left w:val="single" w:sz="4" w:space="0" w:color="000000"/>
              <w:bottom w:val="single" w:sz="10" w:space="0" w:color="D2D2D2"/>
              <w:right w:val="single" w:sz="4" w:space="0" w:color="000000"/>
            </w:tcBorders>
          </w:tcPr>
          <w:p>
            <w:pPr>
              <w:pStyle w:val="TableParagraph"/>
              <w:tabs>
                <w:tab w:pos="1440" w:val="left" w:leader="none"/>
                <w:tab w:pos="3000" w:val="left" w:leader="none"/>
              </w:tabs>
              <w:spacing w:line="240" w:lineRule="auto" w:before="45"/>
              <w:ind w:right="21"/>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r>
            <w:r>
              <w:rPr>
                <w:rFonts w:ascii="Times New Roman"/>
                <w:spacing w:val="-2"/>
                <w:sz w:val="18"/>
                <w:shd w:fill="D2D2D2" w:color="auto" w:val="clear"/>
              </w:rPr>
              <w:t>--</w:t>
              <w:tab/>
            </w:r>
            <w:r>
              <w:rPr>
                <w:rFonts w:ascii="Times New Roman"/>
                <w:spacing w:val="-2"/>
                <w:sz w:val="18"/>
              </w:rPr>
            </w:r>
          </w:p>
        </w:tc>
        <w:tc>
          <w:tcPr>
            <w:tcW w:w="3184" w:type="dxa"/>
            <w:tcBorders>
              <w:top w:val="single" w:sz="10" w:space="0" w:color="D2D2D2"/>
              <w:left w:val="single" w:sz="4" w:space="0" w:color="000000"/>
              <w:bottom w:val="single" w:sz="10" w:space="0" w:color="D2D2D2"/>
              <w:right w:val="single" w:sz="4" w:space="0" w:color="000000"/>
            </w:tcBorders>
          </w:tcPr>
          <w:p>
            <w:pPr>
              <w:pStyle w:val="TableParagraph"/>
              <w:tabs>
                <w:tab w:pos="1503" w:val="left" w:leader="none"/>
                <w:tab w:pos="3130" w:val="left" w:leader="none"/>
              </w:tabs>
              <w:spacing w:line="240" w:lineRule="auto" w:before="45"/>
              <w:ind w:right="1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r>
            <w:r>
              <w:rPr>
                <w:rFonts w:ascii="Times New Roman"/>
                <w:spacing w:val="-2"/>
                <w:sz w:val="18"/>
                <w:shd w:fill="D2D2D2" w:color="auto" w:val="clear"/>
              </w:rPr>
              <w:t>--</w:t>
              <w:tab/>
            </w:r>
            <w:r>
              <w:rPr>
                <w:rFonts w:ascii="Times New Roman"/>
                <w:spacing w:val="-2"/>
                <w:sz w:val="18"/>
              </w:rPr>
            </w:r>
          </w:p>
        </w:tc>
      </w:tr>
      <w:tr>
        <w:trPr>
          <w:trHeight w:val="32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21,673,803.75</w:t>
            </w:r>
          </w:p>
        </w:tc>
        <w:tc>
          <w:tcPr>
            <w:tcW w:w="318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24,807,589.27</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11,673,592.72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3,974,133.34</w:t>
            </w:r>
          </w:p>
        </w:tc>
      </w:tr>
      <w:tr>
        <w:trPr>
          <w:trHeight w:val="55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47"/>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物资产折旧</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5,249,547.64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4,738,170.43</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21,558,439.49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20,898,315.90</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2,827,271.20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2,256,845.78</w:t>
            </w:r>
          </w:p>
        </w:tc>
      </w:tr>
      <w:tr>
        <w:trPr>
          <w:trHeight w:val="55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4" w:right="47"/>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-35,462,882.06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-123,741.16</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24,587.04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51,970.36</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22,646,648.94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17,206,792.46</w:t>
            </w:r>
          </w:p>
        </w:tc>
      </w:tr>
      <w:tr>
        <w:trPr>
          <w:trHeight w:val="32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62,411,753.54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17,316,800.62</w:t>
            </w:r>
          </w:p>
        </w:tc>
      </w:tr>
      <w:tr>
        <w:trPr>
          <w:trHeight w:val="31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5"/>
                <w:sz w:val="18"/>
                <w:szCs w:val="18"/>
              </w:rPr>
              <w:t>递延所得税资产减少（增加以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058" w:type="dxa"/>
            <w:tcBorders>
              <w:top w:val="single" w:sz="10" w:space="0" w:color="FFFFFF"/>
              <w:left w:val="single" w:sz="4" w:space="0" w:color="000000"/>
              <w:bottom w:val="single" w:sz="6" w:space="0" w:color="FFFFFF"/>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239,543.98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
              <w:jc w:val="right"/>
              <w:rPr>
                <w:rFonts w:ascii="Times New Roman" w:hAnsi="Times New Roman" w:cs="Times New Roman" w:eastAsia="Times New Roman" w:hint="default"/>
                <w:sz w:val="18"/>
                <w:szCs w:val="18"/>
              </w:rPr>
            </w:pPr>
            <w:r>
              <w:rPr>
                <w:rFonts w:ascii="Times New Roman"/>
                <w:spacing w:val="-1"/>
                <w:sz w:val="18"/>
              </w:rPr>
              <w:t>-6,647,813.83</w:t>
            </w:r>
          </w:p>
        </w:tc>
      </w:tr>
      <w:tr>
        <w:trPr>
          <w:trHeight w:val="3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5"/>
                <w:sz w:val="18"/>
                <w:szCs w:val="18"/>
              </w:rPr>
              <w:t>递延所得税负债增加（减少以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058" w:type="dxa"/>
            <w:tcBorders>
              <w:top w:val="single" w:sz="6" w:space="0" w:color="FFFFFF"/>
              <w:left w:val="single" w:sz="4" w:space="0" w:color="000000"/>
              <w:bottom w:val="single" w:sz="6" w:space="0" w:color="FFFFFF"/>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-816,987.26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-816,987.26</w:t>
            </w:r>
          </w:p>
        </w:tc>
      </w:tr>
      <w:tr>
        <w:trPr>
          <w:trHeight w:val="33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6" w:space="0" w:color="FFFFFF"/>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27,694,432.68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
              <w:jc w:val="right"/>
              <w:rPr>
                <w:rFonts w:ascii="Times New Roman" w:hAnsi="Times New Roman" w:cs="Times New Roman" w:eastAsia="Times New Roman" w:hint="default"/>
                <w:sz w:val="18"/>
                <w:szCs w:val="18"/>
              </w:rPr>
            </w:pPr>
            <w:r>
              <w:rPr>
                <w:rFonts w:ascii="Times New Roman"/>
                <w:spacing w:val="-1"/>
                <w:sz w:val="18"/>
              </w:rPr>
              <w:t>-50,202,578.19</w:t>
            </w:r>
          </w:p>
        </w:tc>
      </w:tr>
      <w:tr>
        <w:trPr>
          <w:trHeight w:val="293" w:hRule="exact"/>
        </w:trPr>
        <w:tc>
          <w:tcPr>
            <w:tcW w:w="332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pacing w:val="-3"/>
                <w:sz w:val="18"/>
                <w:szCs w:val="18"/>
                <w:shd w:fill="D2D2D2" w:color="auto" w:val="clear"/>
              </w:rPr>
              <w:t>经营性应收项目的减少（增加以</w:t>
            </w:r>
            <w:r>
              <w:rPr>
                <w:rFonts w:ascii="Times New Roman" w:hAnsi="Times New Roman" w:cs="Times New Roman" w:eastAsia="Times New Roman" w:hint="default"/>
                <w:spacing w:val="-3"/>
                <w:sz w:val="18"/>
                <w:szCs w:val="18"/>
                <w:shd w:fill="D2D2D2" w:color="auto" w:val="clear"/>
              </w:rPr>
              <w:t>“</w:t>
            </w:r>
            <w:r>
              <w:rPr>
                <w:rFonts w:ascii="宋体" w:hAnsi="宋体" w:cs="宋体" w:eastAsia="宋体" w:hint="default"/>
                <w:spacing w:val="-3"/>
                <w:sz w:val="18"/>
                <w:szCs w:val="18"/>
                <w:shd w:fill="D2D2D2" w:color="auto" w:val="clear"/>
              </w:rPr>
              <w:t>－</w:t>
            </w:r>
            <w:r>
              <w:rPr>
                <w:rFonts w:ascii="Times New Roman" w:hAnsi="Times New Roman" w:cs="Times New Roman" w:eastAsia="Times New Roman" w:hint="default"/>
                <w:spacing w:val="-3"/>
                <w:sz w:val="18"/>
                <w:szCs w:val="18"/>
                <w:shd w:fill="D2D2D2" w:color="auto" w:val="clear"/>
              </w:rPr>
              <w:t>”</w:t>
            </w:r>
            <w:r>
              <w:rPr>
                <w:rFonts w:ascii="宋体" w:hAnsi="宋体" w:cs="宋体" w:eastAsia="宋体" w:hint="default"/>
                <w:spacing w:val="-3"/>
                <w:sz w:val="18"/>
                <w:szCs w:val="18"/>
                <w:shd w:fill="D2D2D2" w:color="auto" w:val="clear"/>
              </w:rPr>
              <w:t>号填</w:t>
            </w:r>
            <w:r>
              <w:rPr>
                <w:rFonts w:ascii="宋体" w:hAnsi="宋体" w:cs="宋体" w:eastAsia="宋体" w:hint="default"/>
                <w:spacing w:val="-3"/>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-12,042,145.46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
              <w:jc w:val="right"/>
              <w:rPr>
                <w:rFonts w:ascii="Times New Roman" w:hAnsi="Times New Roman" w:cs="Times New Roman" w:eastAsia="Times New Roman" w:hint="default"/>
                <w:sz w:val="18"/>
                <w:szCs w:val="18"/>
              </w:rPr>
            </w:pPr>
            <w:r>
              <w:rPr>
                <w:rFonts w:ascii="Times New Roman"/>
                <w:spacing w:val="-1"/>
                <w:sz w:val="18"/>
              </w:rPr>
              <w:t>-106,953,438.45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28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before="27"/>
              <w:ind w:left="24" w:right="65"/>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-30,491,745.77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3,831,306.73</w:t>
            </w:r>
          </w:p>
        </w:tc>
      </w:tr>
      <w:tr>
        <w:trPr>
          <w:trHeight w:val="38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58" w:space="0" w:color="D2D2D2"/>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97,185,860.43</w:t>
            </w:r>
          </w:p>
        </w:tc>
        <w:tc>
          <w:tcPr>
            <w:tcW w:w="3184" w:type="dxa"/>
            <w:tcBorders>
              <w:top w:val="single" w:sz="4" w:space="0" w:color="000000"/>
              <w:left w:val="single" w:sz="4" w:space="0" w:color="000000"/>
              <w:bottom w:val="single" w:sz="58" w:space="0" w:color="D2D2D2"/>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-69,662,634.00</w:t>
            </w:r>
          </w:p>
        </w:tc>
      </w:tr>
      <w:tr>
        <w:trPr>
          <w:trHeight w:val="42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58" w:type="dxa"/>
            <w:tcBorders>
              <w:top w:val="single" w:sz="58" w:space="0" w:color="D2D2D2"/>
              <w:left w:val="single" w:sz="12" w:space="0" w:color="D2D2D2"/>
              <w:bottom w:val="single" w:sz="52" w:space="0" w:color="D2D2D2"/>
              <w:right w:val="single" w:sz="4" w:space="0" w:color="000000"/>
            </w:tcBorders>
          </w:tcPr>
          <w:p>
            <w:pPr>
              <w:pStyle w:val="TableParagraph"/>
              <w:tabs>
                <w:tab w:pos="1440" w:val="left" w:leader="none"/>
                <w:tab w:pos="3000" w:val="left" w:leader="none"/>
              </w:tabs>
              <w:spacing w:line="240" w:lineRule="auto" w:before="33"/>
              <w:ind w:right="21"/>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r>
            <w:r>
              <w:rPr>
                <w:rFonts w:ascii="Times New Roman"/>
                <w:spacing w:val="-2"/>
                <w:sz w:val="18"/>
                <w:shd w:fill="D2D2D2" w:color="auto" w:val="clear"/>
              </w:rPr>
              <w:t>--</w:t>
              <w:tab/>
            </w:r>
            <w:r>
              <w:rPr>
                <w:rFonts w:ascii="Times New Roman"/>
                <w:spacing w:val="-2"/>
                <w:sz w:val="18"/>
              </w:rPr>
            </w:r>
          </w:p>
        </w:tc>
        <w:tc>
          <w:tcPr>
            <w:tcW w:w="3184" w:type="dxa"/>
            <w:tcBorders>
              <w:top w:val="single" w:sz="58" w:space="0" w:color="D2D2D2"/>
              <w:left w:val="single" w:sz="4" w:space="0" w:color="000000"/>
              <w:bottom w:val="single" w:sz="52" w:space="0" w:color="D2D2D2"/>
              <w:right w:val="single" w:sz="4" w:space="0" w:color="000000"/>
            </w:tcBorders>
          </w:tcPr>
          <w:p>
            <w:pPr>
              <w:pStyle w:val="TableParagraph"/>
              <w:tabs>
                <w:tab w:pos="1503" w:val="left" w:leader="none"/>
                <w:tab w:pos="3130" w:val="left" w:leader="none"/>
              </w:tabs>
              <w:spacing w:line="240" w:lineRule="auto" w:before="33"/>
              <w:ind w:right="1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r>
            <w:r>
              <w:rPr>
                <w:rFonts w:ascii="Times New Roman"/>
                <w:spacing w:val="-2"/>
                <w:sz w:val="18"/>
                <w:shd w:fill="D2D2D2" w:color="auto" w:val="clear"/>
              </w:rPr>
              <w:t>--</w:t>
              <w:tab/>
            </w:r>
            <w:r>
              <w:rPr>
                <w:rFonts w:ascii="Times New Roman"/>
                <w:spacing w:val="-2"/>
                <w:sz w:val="18"/>
              </w:rPr>
            </w:r>
          </w:p>
        </w:tc>
      </w:tr>
      <w:tr>
        <w:trPr>
          <w:trHeight w:val="38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52" w:space="0" w:color="D2D2D2"/>
              <w:left w:val="single" w:sz="12" w:space="0" w:color="D2D2D2"/>
              <w:bottom w:val="single" w:sz="6" w:space="0" w:color="D2D2D2"/>
              <w:right w:val="single" w:sz="4" w:space="0" w:color="000000"/>
            </w:tcBorders>
          </w:tcPr>
          <w:p>
            <w:pPr>
              <w:pStyle w:val="TableParagraph"/>
              <w:tabs>
                <w:tab w:pos="1440" w:val="left" w:leader="none"/>
                <w:tab w:pos="3000" w:val="left" w:leader="none"/>
              </w:tabs>
              <w:spacing w:line="240" w:lineRule="auto" w:before="57"/>
              <w:ind w:right="21"/>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r>
            <w:r>
              <w:rPr>
                <w:rFonts w:ascii="Times New Roman"/>
                <w:spacing w:val="-2"/>
                <w:sz w:val="18"/>
                <w:shd w:fill="D2D2D2" w:color="auto" w:val="clear"/>
              </w:rPr>
              <w:t>--</w:t>
              <w:tab/>
            </w:r>
            <w:r>
              <w:rPr>
                <w:rFonts w:ascii="Times New Roman"/>
                <w:spacing w:val="-2"/>
                <w:sz w:val="18"/>
              </w:rPr>
            </w:r>
          </w:p>
        </w:tc>
        <w:tc>
          <w:tcPr>
            <w:tcW w:w="3184" w:type="dxa"/>
            <w:tcBorders>
              <w:top w:val="single" w:sz="52" w:space="0" w:color="D2D2D2"/>
              <w:left w:val="single" w:sz="4" w:space="0" w:color="000000"/>
              <w:bottom w:val="single" w:sz="6" w:space="0" w:color="D2D2D2"/>
              <w:right w:val="single" w:sz="4" w:space="0" w:color="000000"/>
            </w:tcBorders>
          </w:tcPr>
          <w:p>
            <w:pPr>
              <w:pStyle w:val="TableParagraph"/>
              <w:tabs>
                <w:tab w:pos="1503" w:val="left" w:leader="none"/>
                <w:tab w:pos="3130" w:val="left" w:leader="none"/>
              </w:tabs>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r>
            <w:r>
              <w:rPr>
                <w:rFonts w:ascii="Times New Roman"/>
                <w:spacing w:val="-2"/>
                <w:sz w:val="18"/>
                <w:shd w:fill="D2D2D2" w:color="auto" w:val="clear"/>
              </w:rPr>
              <w:t>--</w:t>
              <w:tab/>
            </w:r>
            <w:r>
              <w:rPr>
                <w:rFonts w:ascii="Times New Roman"/>
                <w:spacing w:val="-2"/>
                <w:sz w:val="18"/>
              </w:rPr>
            </w:r>
          </w:p>
        </w:tc>
      </w:tr>
      <w:tr>
        <w:trPr>
          <w:trHeight w:val="32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377,399,461.89</w:t>
            </w:r>
          </w:p>
        </w:tc>
        <w:tc>
          <w:tcPr>
            <w:tcW w:w="3184"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300,807,755.03</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300,807,755.03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305,808,389.10</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76,591,706.86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-5,000,634.07</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377,399,461.89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300,807,755.03</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702,057.43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428,768.66</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360,287,080.90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284,529,739.49</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16,410,323.56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15,849,246.88</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377,399,461.89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300,807,755.03</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48</w:t>
      </w:r>
      <w:r>
        <w:rPr/>
        <w:t>、所有权或使用权受到限制的资产</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11,950,000.00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449,506.60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10,417,488.59</w:t>
            </w:r>
          </w:p>
        </w:tc>
        <w:tc>
          <w:tcPr>
            <w:tcW w:w="3184"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存放于银行的业务保证金</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22,816,995.19</w:t>
            </w:r>
          </w:p>
        </w:tc>
        <w:tc>
          <w:tcPr>
            <w:tcW w:w="3184" w:type="dxa"/>
            <w:tcBorders>
              <w:top w:val="single" w:sz="6" w:space="0" w:color="D2D2D2"/>
              <w:left w:val="single" w:sz="4" w:space="0" w:color="000000"/>
              <w:bottom w:val="single" w:sz="10" w:space="0" w:color="D2D2D2"/>
              <w:right w:val="single" w:sz="4" w:space="0" w:color="000000"/>
            </w:tcBorders>
          </w:tcPr>
          <w:p>
            <w:pPr>
              <w:pStyle w:val="TableParagraph"/>
              <w:tabs>
                <w:tab w:pos="1527" w:val="left" w:leader="none"/>
                <w:tab w:pos="3154" w:val="left" w:leader="none"/>
              </w:tabs>
              <w:spacing w:line="240" w:lineRule="auto" w:before="45"/>
              <w:ind w:left="23" w:right="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t>--</w:t>
              <w:tab/>
            </w:r>
            <w:r>
              <w:rPr>
                <w:rFonts w:ascii="Times New Roman"/>
                <w:sz w:val="18"/>
              </w:rPr>
            </w:r>
          </w:p>
        </w:tc>
      </w:tr>
    </w:tbl>
    <w:p>
      <w:pPr>
        <w:spacing w:line="240" w:lineRule="auto" w:before="6"/>
        <w:rPr>
          <w:rFonts w:ascii="宋体" w:hAnsi="宋体" w:cs="宋体" w:eastAsia="宋体" w:hint="default"/>
          <w:sz w:val="16"/>
          <w:szCs w:val="16"/>
        </w:rPr>
      </w:pPr>
    </w:p>
    <w:p>
      <w:pPr>
        <w:pStyle w:val="Heading3"/>
        <w:spacing w:line="240" w:lineRule="auto" w:before="36"/>
        <w:ind w:right="1055"/>
        <w:jc w:val="left"/>
        <w:rPr>
          <w:b w:val="0"/>
          <w:bCs w:val="0"/>
        </w:rPr>
      </w:pPr>
      <w:r>
        <w:rPr>
          <w:rFonts w:ascii="Times New Roman" w:hAnsi="Times New Roman" w:cs="Times New Roman" w:eastAsia="Times New Roman" w:hint="default"/>
        </w:rPr>
        <w:t>49</w:t>
      </w:r>
      <w:r>
        <w:rPr/>
        <w:t>、外币货币性项目</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20" w:right="0"/>
              <w:jc w:val="left"/>
              <w:rPr>
                <w:rFonts w:ascii="Times New Roman" w:hAnsi="Times New Roman" w:cs="Times New Roman" w:eastAsia="Times New Roman" w:hint="default"/>
                <w:sz w:val="18"/>
                <w:szCs w:val="18"/>
              </w:rPr>
            </w:pPr>
            <w:r>
              <w:rPr>
                <w:rFonts w:ascii="Times New Roman"/>
                <w:sz w:val="18"/>
              </w:rPr>
              <w:t>36,928,246.27</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3,152,963.94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21,639,422.11</w:t>
            </w:r>
          </w:p>
        </w:tc>
      </w:tr>
      <w:tr>
        <w:trPr>
          <w:trHeight w:val="326"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63"/>
              <w:jc w:val="righ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823,621.30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6,463,203.43</w:t>
            </w:r>
          </w:p>
        </w:tc>
      </w:tr>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63"/>
              <w:jc w:val="right"/>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737,589.64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6,399,475.23</w:t>
            </w:r>
          </w:p>
        </w:tc>
      </w:tr>
      <w:tr>
        <w:trPr>
          <w:trHeight w:val="327"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4,018,105.20</w:t>
            </w:r>
          </w:p>
        </w:tc>
      </w:tr>
      <w:tr>
        <w:trPr>
          <w:trHeight w:val="816"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452,587.48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3,106,198.39</w:t>
            </w:r>
          </w:p>
        </w:tc>
      </w:tr>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63"/>
              <w:jc w:val="righ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63,378.63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497,351.12</w:t>
            </w:r>
          </w:p>
        </w:tc>
      </w:tr>
      <w:tr>
        <w:trPr>
          <w:trHeight w:val="326"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9,424,705.95</w:t>
            </w:r>
          </w:p>
        </w:tc>
      </w:tr>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1,373,223.27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9,424,705.95</w:t>
            </w:r>
          </w:p>
        </w:tc>
      </w:tr>
    </w:tbl>
    <w:p>
      <w:pPr>
        <w:spacing w:line="240" w:lineRule="auto" w:before="5"/>
        <w:rPr>
          <w:rFonts w:ascii="宋体" w:hAnsi="宋体" w:cs="宋体" w:eastAsia="宋体" w:hint="default"/>
          <w:sz w:val="17"/>
          <w:szCs w:val="17"/>
        </w:rPr>
      </w:pPr>
    </w:p>
    <w:p>
      <w:pPr>
        <w:pStyle w:val="Heading3"/>
        <w:spacing w:line="274" w:lineRule="exact" w:before="62"/>
        <w:ind w:right="1055"/>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1"/>
          <w:szCs w:val="21"/>
        </w:rPr>
      </w:pPr>
    </w:p>
    <w:p>
      <w:pPr>
        <w:pStyle w:val="Heading3"/>
        <w:spacing w:line="240" w:lineRule="auto"/>
        <w:ind w:right="1055"/>
        <w:jc w:val="left"/>
        <w:rPr>
          <w:b w:val="0"/>
          <w:bCs w:val="0"/>
        </w:rPr>
      </w:pPr>
      <w:r>
        <w:rPr>
          <w:rFonts w:ascii="Times New Roman" w:hAnsi="Times New Roman" w:cs="Times New Roman" w:eastAsia="Times New Roman" w:hint="default"/>
        </w:rPr>
        <w:t>50</w:t>
      </w:r>
      <w:r>
        <w:rPr/>
        <w:t>、政府补助</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软件即征即退税款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2,104,904.61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2,104,904.61</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人才安居房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2,373,698.90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35,800.69</w:t>
            </w:r>
          </w:p>
        </w:tc>
      </w:tr>
      <w:tr>
        <w:trPr>
          <w:trHeight w:val="55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90"/>
              <w:jc w:val="left"/>
              <w:rPr>
                <w:rFonts w:ascii="宋体" w:hAnsi="宋体" w:cs="宋体" w:eastAsia="宋体" w:hint="default"/>
                <w:sz w:val="18"/>
                <w:szCs w:val="18"/>
              </w:rPr>
            </w:pPr>
            <w:r>
              <w:rPr>
                <w:rFonts w:ascii="宋体" w:hAnsi="宋体" w:cs="宋体" w:eastAsia="宋体" w:hint="default"/>
                <w:spacing w:val="-3"/>
                <w:sz w:val="18"/>
                <w:szCs w:val="18"/>
              </w:rPr>
              <w:t>大数据平台研究项目补贴摊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3,288,657.05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544,284.45</w:t>
            </w:r>
          </w:p>
        </w:tc>
      </w:tr>
      <w:tr>
        <w:trPr>
          <w:trHeight w:val="3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工业设计创新成果转化资助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企业研究开发资助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923,000.00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923,000.00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84,732.30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84,732.30</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科技计划配套补贴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1,533,100.00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1,533,100.00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66,598.00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66,598.00</w:t>
            </w:r>
          </w:p>
        </w:tc>
      </w:tr>
      <w:tr>
        <w:trPr>
          <w:trHeight w:val="3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跨境电商补贴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2,177,700.00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2,177,700.00</w:t>
            </w:r>
          </w:p>
        </w:tc>
      </w:tr>
      <w:tr>
        <w:trPr>
          <w:trHeight w:val="55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90"/>
              <w:jc w:val="left"/>
              <w:rPr>
                <w:rFonts w:ascii="宋体" w:hAnsi="宋体" w:cs="宋体" w:eastAsia="宋体" w:hint="default"/>
                <w:sz w:val="18"/>
                <w:szCs w:val="18"/>
              </w:rPr>
            </w:pPr>
            <w:r>
              <w:rPr>
                <w:rFonts w:ascii="宋体" w:hAnsi="宋体" w:cs="宋体" w:eastAsia="宋体" w:hint="default"/>
                <w:spacing w:val="-3"/>
                <w:sz w:val="18"/>
                <w:szCs w:val="18"/>
              </w:rPr>
              <w:t>提升国际化经营能力事项补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128,765.00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128,765.00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出口信用保险保费资助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103,200.00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103,200.00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个税代扣手续费返还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27,908.75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27,908.75</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高技能人才企业补贴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424,000.00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424,000.00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中关村资信评级补贴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科技金融信贷贴息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387,000.00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13,649,664.61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8,567,393.80</w:t>
            </w:r>
          </w:p>
        </w:tc>
      </w:tr>
    </w:tbl>
    <w:p>
      <w:pPr>
        <w:spacing w:line="240" w:lineRule="auto" w:before="1"/>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2"/>
        <w:rPr>
          <w:rFonts w:ascii="宋体" w:hAnsi="宋体" w:cs="宋体" w:eastAsia="宋体" w:hint="default"/>
          <w:sz w:val="19"/>
          <w:szCs w:val="19"/>
        </w:rPr>
      </w:pPr>
      <w:r>
        <w:rPr/>
        <w:pict>
          <v:shape style="position:absolute;margin-left:119.570885pt;margin-top:731.255981pt;width:73.95pt;height:27.4pt;mso-position-horizontal-relative:page;mso-position-vertical-relative:page;z-index:-820888" type="#_x0000_t202" filled="false" stroked="false">
            <v:textbox inset="0,0,0,0">
              <w:txbxContent>
                <w:p>
                  <w:pPr>
                    <w:pStyle w:val="BodyText"/>
                    <w:spacing w:line="240" w:lineRule="auto" w:before="5"/>
                    <w:ind w:left="0" w:right="0"/>
                    <w:jc w:val="left"/>
                  </w:pPr>
                  <w:r>
                    <w:rPr>
                      <w:w w:val="101"/>
                    </w:rPr>
                    <w:t>）</w:t>
                  </w:r>
                  <w:r>
                    <w:rPr/>
                  </w:r>
                </w:p>
              </w:txbxContent>
            </v:textbox>
            <w10:wrap type="none"/>
          </v:shape>
        </w:pict>
      </w:r>
    </w:p>
    <w:p>
      <w:pPr>
        <w:pStyle w:val="Heading2"/>
        <w:spacing w:line="240" w:lineRule="auto" w:before="26"/>
        <w:ind w:right="1055"/>
        <w:jc w:val="left"/>
        <w:rPr>
          <w:b w:val="0"/>
          <w:bCs w:val="0"/>
        </w:rPr>
      </w:pPr>
      <w:r>
        <w:rPr/>
        <w:t>八、合并范围的变更</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spacing w:val="-3"/>
        </w:rPr>
        <w:t>报告期内，本公司未发生非同一控制下企业合并。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055"/>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3" w:right="1055"/>
        <w:jc w:val="left"/>
      </w:pPr>
      <w:r>
        <w:rPr>
          <w:spacing w:val="-3"/>
        </w:rPr>
        <w:t>报告期内，本公司未发生同一控制下企业合并。</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、处置子公司</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55"/>
        <w:jc w:val="left"/>
      </w:pPr>
      <w:r>
        <w:rPr>
          <w:spacing w:val="-3"/>
        </w:rPr>
        <w:t>是否存在单次处置对子公司投资即丧失控制权的情形</w:t>
      </w:r>
    </w:p>
    <w:p>
      <w:pPr>
        <w:pStyle w:val="BodyText"/>
        <w:spacing w:line="264" w:lineRule="auto" w:before="38"/>
        <w:ind w:right="502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是否存在通过多次交易分步处置对子公司投资且在本期丧失控制权的情形</w:t>
      </w:r>
    </w:p>
    <w:p>
      <w:pPr>
        <w:pStyle w:val="BodyText"/>
        <w:spacing w:line="240" w:lineRule="auto" w:before="20"/>
        <w:ind w:right="105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1"/>
          <w:szCs w:val="21"/>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、其他原因的合并范围变动</w:t>
      </w:r>
      <w:r>
        <w:rPr>
          <w:b w:val="0"/>
          <w:bCs w:val="0"/>
        </w:rPr>
      </w:r>
    </w:p>
    <w:p>
      <w:pPr>
        <w:spacing w:line="240" w:lineRule="auto" w:before="4"/>
        <w:rPr>
          <w:rFonts w:ascii="宋体" w:hAnsi="宋体" w:cs="宋体" w:eastAsia="宋体" w:hint="default"/>
          <w:b/>
          <w:bCs/>
          <w:sz w:val="22"/>
          <w:szCs w:val="22"/>
        </w:rPr>
      </w:pPr>
    </w:p>
    <w:p>
      <w:pPr>
        <w:pStyle w:val="BodyText"/>
        <w:spacing w:line="273" w:lineRule="auto"/>
        <w:ind w:left="513" w:right="1055" w:hanging="360"/>
        <w:jc w:val="left"/>
      </w:pPr>
      <w:r>
        <w:rPr>
          <w:spacing w:val="-3"/>
        </w:rPr>
        <w:t>说明其他原因导致的合并范围变动（如，新设子公司、清算子公司等）及其相关情况：</w:t>
      </w:r>
      <w:r>
        <w:rPr>
          <w:spacing w:val="20"/>
        </w:rPr>
        <w:t> </w:t>
      </w:r>
      <w:r>
        <w:rPr>
          <w:spacing w:val="20"/>
        </w:rPr>
      </w:r>
      <w:r>
        <w:rPr>
          <w:spacing w:val="-3"/>
        </w:rPr>
        <w:t>报告期内，本公司设立全资子公司深圳银之杰拓扑技术有限公司，合并报表范围增加</w:t>
      </w:r>
      <w:r>
        <w:rPr>
          <w:rFonts w:ascii="宋体" w:hAnsi="宋体" w:cs="宋体" w:eastAsia="宋体" w:hint="default"/>
          <w:spacing w:val="-3"/>
        </w:rPr>
        <w:t>1</w:t>
      </w:r>
      <w:r>
        <w:rPr>
          <w:spacing w:val="-3"/>
        </w:rPr>
        <w:t>户；同时，全资子公司深圳市银</w:t>
      </w:r>
    </w:p>
    <w:p>
      <w:pPr>
        <w:pStyle w:val="BodyText"/>
        <w:spacing w:line="357" w:lineRule="auto" w:before="89"/>
        <w:ind w:right="1117"/>
        <w:jc w:val="left"/>
      </w:pPr>
      <w:r>
        <w:rPr>
          <w:spacing w:val="-4"/>
          <w:w w:val="101"/>
        </w:rPr>
        <w:t>之杰金融设备有限公司的股东由本公司变更为全资子公司深圳银之杰智慧科技有限公司，深圳市银之杰金融设备有限公司变</w:t>
      </w:r>
      <w:r>
        <w:rPr>
          <w:w w:val="101"/>
        </w:rPr>
        <w:t> </w:t>
      </w:r>
      <w:r>
        <w:rPr>
          <w:spacing w:val="-3"/>
        </w:rPr>
        <w:t>更为公司全资孙公司，合并报表范围减少</w:t>
      </w:r>
      <w:r>
        <w:rPr>
          <w:rFonts w:ascii="宋体" w:hAnsi="宋体" w:cs="宋体" w:eastAsia="宋体" w:hint="default"/>
          <w:spacing w:val="-3"/>
        </w:rPr>
        <w:t>1</w:t>
      </w:r>
      <w:r>
        <w:rPr>
          <w:spacing w:val="-3"/>
        </w:rPr>
        <w:t>户。</w:t>
      </w:r>
    </w:p>
    <w:p>
      <w:pPr>
        <w:spacing w:line="240" w:lineRule="auto" w:before="3"/>
        <w:rPr>
          <w:rFonts w:ascii="宋体" w:hAnsi="宋体" w:cs="宋体" w:eastAsia="宋体" w:hint="default"/>
          <w:sz w:val="24"/>
          <w:szCs w:val="24"/>
        </w:rPr>
      </w:pPr>
    </w:p>
    <w:p>
      <w:pPr>
        <w:pStyle w:val="Heading2"/>
        <w:spacing w:line="240" w:lineRule="auto"/>
        <w:ind w:right="1055"/>
        <w:jc w:val="left"/>
        <w:rPr>
          <w:b w:val="0"/>
          <w:bCs w:val="0"/>
        </w:rPr>
      </w:pPr>
      <w:r>
        <w:rPr/>
        <w:t>九、在其他主体中的权益</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5"/>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9"/>
        <w:gridCol w:w="1369"/>
        <w:gridCol w:w="1364"/>
        <w:gridCol w:w="1369"/>
      </w:tblGrid>
      <w:tr>
        <w:trPr>
          <w:trHeight w:val="326"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深圳银之杰拓扑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金融信息化行业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深圳银之杰智慧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金融信息化行业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北京亿美软通科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3"/>
                <w:sz w:val="18"/>
                <w:szCs w:val="18"/>
              </w:rPr>
              <w:t>移动信息服务行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深圳银之杰资产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08"/>
              <w:jc w:val="left"/>
              <w:rPr>
                <w:rFonts w:ascii="宋体" w:hAnsi="宋体" w:cs="宋体" w:eastAsia="宋体" w:hint="default"/>
                <w:sz w:val="18"/>
                <w:szCs w:val="18"/>
              </w:rPr>
            </w:pPr>
            <w:r>
              <w:rPr>
                <w:rFonts w:ascii="宋体" w:hAnsi="宋体" w:cs="宋体" w:eastAsia="宋体" w:hint="default"/>
                <w:spacing w:val="-7"/>
                <w:sz w:val="18"/>
                <w:szCs w:val="18"/>
              </w:rPr>
              <w:t>安科创新（深圳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p>
            <w:pPr>
              <w:pStyle w:val="TableParagraph"/>
              <w:spacing w:line="547" w:lineRule="exact"/>
              <w:ind w:right="-55"/>
              <w:jc w:val="left"/>
              <w:rPr>
                <w:rFonts w:ascii="宋体" w:hAnsi="宋体" w:cs="宋体" w:eastAsia="宋体" w:hint="default"/>
                <w:sz w:val="20"/>
                <w:szCs w:val="20"/>
              </w:rPr>
            </w:pPr>
            <w:r>
              <w:rPr>
                <w:rFonts w:ascii="宋体" w:hAnsi="宋体" w:cs="宋体" w:eastAsia="宋体" w:hint="default"/>
                <w:position w:val="-10"/>
                <w:sz w:val="20"/>
                <w:szCs w:val="20"/>
              </w:rPr>
              <w:pict>
                <v:group style="width:67.95pt;height:27.4pt;mso-position-horizontal-relative:char;mso-position-vertical-relative:line" coordorigin="0,0" coordsize="1359,548">
                  <v:group style="position:absolute;left:0;top:0;width:1359;height:548" coordorigin="0,0" coordsize="1359,548">
                    <v:shape style="position:absolute;left:0;top:0;width:1359;height:548" coordorigin="0,0" coordsize="1359,548" path="m0,547l1359,547,1359,0,0,0,0,547xe" filled="true" fillcolor="#ffffff" stroked="false">
                      <v:path arrowok="t"/>
                      <v:fill type="solid"/>
                    </v:shape>
                  </v:group>
                  <v:group style="position:absolute;left:24;top:120;width:1311;height:312" coordorigin="24,120" coordsize="1311,312">
                    <v:shape style="position:absolute;left:24;top:120;width:1311;height:312" coordorigin="24,120" coordsize="1311,312" path="m24,432l1335,432,1335,120,24,120,24,432xe" filled="true" fillcolor="#ffffff" stroked="false">
                      <v:path arrowok="t"/>
                      <v:fill type="solid"/>
                    </v:shape>
                  </v:group>
                </v:group>
              </w:pict>
            </w:r>
            <w:r>
              <w:rPr>
                <w:rFonts w:ascii="宋体" w:hAnsi="宋体" w:cs="宋体" w:eastAsia="宋体" w:hint="default"/>
                <w:position w:val="-10"/>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11"/>
        <w:rPr>
          <w:rFonts w:ascii="宋体" w:hAnsi="宋体" w:cs="宋体" w:eastAsia="宋体" w:hint="default"/>
          <w:b/>
          <w:bCs/>
          <w:sz w:val="18"/>
          <w:szCs w:val="18"/>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2"/>
                <w:sz w:val="18"/>
                <w:szCs w:val="18"/>
              </w:rPr>
              <w:t>安科创新（深圳）有限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-14,076,933.94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14,628,115.82</w:t>
            </w:r>
          </w:p>
        </w:tc>
      </w:tr>
    </w:tbl>
    <w:p>
      <w:pPr>
        <w:pStyle w:val="BodyText"/>
        <w:spacing w:line="273" w:lineRule="auto" w:before="10"/>
        <w:ind w:left="513" w:right="5823" w:hanging="360"/>
        <w:jc w:val="left"/>
      </w:pPr>
      <w:r>
        <w:rPr>
          <w:spacing w:val="-3"/>
        </w:rPr>
        <w:t>子公司少数股东的持股比例不同于表决权比例的说明：</w:t>
      </w:r>
      <w:r>
        <w:rPr>
          <w:spacing w:val="-16"/>
        </w:rPr>
        <w:t> </w:t>
      </w:r>
      <w:r>
        <w:rPr>
          <w:spacing w:val="-16"/>
        </w:rPr>
      </w:r>
      <w:r>
        <w:rPr/>
        <w:t>不适用。</w:t>
      </w:r>
    </w:p>
    <w:p>
      <w:pPr>
        <w:spacing w:line="240" w:lineRule="auto" w:before="0"/>
        <w:rPr>
          <w:rFonts w:ascii="宋体" w:hAnsi="宋体" w:cs="宋体" w:eastAsia="宋体" w:hint="default"/>
          <w:sz w:val="18"/>
          <w:szCs w:val="18"/>
        </w:rPr>
      </w:pPr>
    </w:p>
    <w:p>
      <w:pPr>
        <w:pStyle w:val="Heading3"/>
        <w:spacing w:line="240" w:lineRule="auto" w:before="146"/>
        <w:ind w:right="1055"/>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4"/>
        <w:gridCol w:w="740"/>
        <w:gridCol w:w="735"/>
        <w:gridCol w:w="734"/>
        <w:gridCol w:w="735"/>
        <w:gridCol w:w="734"/>
        <w:gridCol w:w="735"/>
        <w:gridCol w:w="740"/>
        <w:gridCol w:w="734"/>
        <w:gridCol w:w="740"/>
      </w:tblGrid>
      <w:tr>
        <w:trPr>
          <w:trHeight w:val="322"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4" w:right="89" w:hanging="179"/>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4"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74" w:right="89" w:hanging="179"/>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2"/>
              <w:jc w:val="left"/>
              <w:rPr>
                <w:rFonts w:ascii="宋体" w:hAnsi="宋体" w:cs="宋体" w:eastAsia="宋体" w:hint="default"/>
                <w:sz w:val="18"/>
                <w:szCs w:val="18"/>
              </w:rPr>
            </w:pPr>
            <w:r>
              <w:rPr>
                <w:rFonts w:ascii="宋体" w:hAnsi="宋体" w:cs="宋体" w:eastAsia="宋体" w:hint="default"/>
                <w:sz w:val="18"/>
                <w:szCs w:val="18"/>
              </w:rPr>
              <w:t>安科创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圳）有限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55" w:right="0"/>
              <w:jc w:val="center"/>
              <w:rPr>
                <w:rFonts w:ascii="Times New Roman" w:hAnsi="Times New Roman" w:cs="Times New Roman" w:eastAsia="Times New Roman" w:hint="default"/>
                <w:sz w:val="18"/>
                <w:szCs w:val="18"/>
              </w:rPr>
            </w:pPr>
            <w:r>
              <w:rPr>
                <w:rFonts w:ascii="Times New Roman"/>
                <w:sz w:val="18"/>
              </w:rPr>
              <w:t>164,503,</w:t>
            </w:r>
          </w:p>
          <w:p>
            <w:pPr>
              <w:pStyle w:val="TableParagraph"/>
              <w:spacing w:line="207" w:lineRule="exact"/>
              <w:ind w:left="192" w:right="0"/>
              <w:jc w:val="center"/>
              <w:rPr>
                <w:rFonts w:ascii="Times New Roman" w:hAnsi="Times New Roman" w:cs="Times New Roman" w:eastAsia="Times New Roman" w:hint="default"/>
                <w:sz w:val="18"/>
                <w:szCs w:val="18"/>
              </w:rPr>
            </w:pPr>
            <w:r>
              <w:rPr>
                <w:rFonts w:ascii="Times New Roman"/>
                <w:sz w:val="18"/>
              </w:rPr>
              <w:t>651.58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15,815,0</w:t>
            </w:r>
          </w:p>
          <w:p>
            <w:pPr>
              <w:pStyle w:val="TableParagraph"/>
              <w:spacing w:line="207" w:lineRule="exact"/>
              <w:ind w:left="302" w:right="0"/>
              <w:jc w:val="left"/>
              <w:rPr>
                <w:rFonts w:ascii="Times New Roman" w:hAnsi="Times New Roman" w:cs="Times New Roman" w:eastAsia="Times New Roman" w:hint="default"/>
                <w:sz w:val="18"/>
                <w:szCs w:val="18"/>
              </w:rPr>
            </w:pPr>
            <w:r>
              <w:rPr>
                <w:rFonts w:ascii="Times New Roman"/>
                <w:sz w:val="18"/>
              </w:rPr>
              <w:t>17.96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60" w:right="0"/>
              <w:jc w:val="center"/>
              <w:rPr>
                <w:rFonts w:ascii="Times New Roman" w:hAnsi="Times New Roman" w:cs="Times New Roman" w:eastAsia="Times New Roman" w:hint="default"/>
                <w:sz w:val="18"/>
                <w:szCs w:val="18"/>
              </w:rPr>
            </w:pPr>
            <w:r>
              <w:rPr>
                <w:rFonts w:ascii="Times New Roman"/>
                <w:sz w:val="18"/>
              </w:rPr>
              <w:t>180,318,</w:t>
            </w:r>
          </w:p>
          <w:p>
            <w:pPr>
              <w:pStyle w:val="TableParagraph"/>
              <w:spacing w:line="207" w:lineRule="exact"/>
              <w:ind w:left="196" w:right="0"/>
              <w:jc w:val="center"/>
              <w:rPr>
                <w:rFonts w:ascii="Times New Roman" w:hAnsi="Times New Roman" w:cs="Times New Roman" w:eastAsia="Times New Roman" w:hint="default"/>
                <w:sz w:val="18"/>
                <w:szCs w:val="18"/>
              </w:rPr>
            </w:pPr>
            <w:r>
              <w:rPr>
                <w:rFonts w:ascii="Times New Roman"/>
                <w:sz w:val="18"/>
              </w:rPr>
              <w:t>669.54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54" w:right="0"/>
              <w:jc w:val="center"/>
              <w:rPr>
                <w:rFonts w:ascii="Times New Roman" w:hAnsi="Times New Roman" w:cs="Times New Roman" w:eastAsia="Times New Roman" w:hint="default"/>
                <w:sz w:val="18"/>
                <w:szCs w:val="18"/>
              </w:rPr>
            </w:pPr>
            <w:r>
              <w:rPr>
                <w:rFonts w:ascii="Times New Roman"/>
                <w:sz w:val="18"/>
              </w:rPr>
              <w:t>150,465,</w:t>
            </w:r>
          </w:p>
          <w:p>
            <w:pPr>
              <w:pStyle w:val="TableParagraph"/>
              <w:spacing w:line="207" w:lineRule="exact"/>
              <w:ind w:left="192" w:right="0"/>
              <w:jc w:val="center"/>
              <w:rPr>
                <w:rFonts w:ascii="Times New Roman" w:hAnsi="Times New Roman" w:cs="Times New Roman" w:eastAsia="Times New Roman" w:hint="default"/>
                <w:sz w:val="18"/>
                <w:szCs w:val="18"/>
              </w:rPr>
            </w:pPr>
            <w:r>
              <w:rPr>
                <w:rFonts w:ascii="Times New Roman"/>
                <w:sz w:val="18"/>
              </w:rPr>
              <w:t>371.95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50" w:right="0"/>
              <w:jc w:val="center"/>
              <w:rPr>
                <w:rFonts w:ascii="Times New Roman" w:hAnsi="Times New Roman" w:cs="Times New Roman" w:eastAsia="Times New Roman" w:hint="default"/>
                <w:sz w:val="18"/>
                <w:szCs w:val="18"/>
              </w:rPr>
            </w:pPr>
            <w:r>
              <w:rPr>
                <w:rFonts w:ascii="Times New Roman"/>
                <w:sz w:val="18"/>
              </w:rPr>
              <w:t>150,465,</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371.95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50" w:right="0"/>
              <w:jc w:val="center"/>
              <w:rPr>
                <w:rFonts w:ascii="Times New Roman" w:hAnsi="Times New Roman" w:cs="Times New Roman" w:eastAsia="Times New Roman" w:hint="default"/>
                <w:sz w:val="18"/>
                <w:szCs w:val="18"/>
              </w:rPr>
            </w:pPr>
            <w:r>
              <w:rPr>
                <w:rFonts w:ascii="Times New Roman"/>
                <w:sz w:val="18"/>
              </w:rPr>
              <w:t>229,724,</w:t>
            </w:r>
          </w:p>
          <w:p>
            <w:pPr>
              <w:pStyle w:val="TableParagraph"/>
              <w:spacing w:line="207" w:lineRule="exact"/>
              <w:ind w:left="186" w:right="0"/>
              <w:jc w:val="center"/>
              <w:rPr>
                <w:rFonts w:ascii="Times New Roman" w:hAnsi="Times New Roman" w:cs="Times New Roman" w:eastAsia="Times New Roman" w:hint="default"/>
                <w:sz w:val="18"/>
                <w:szCs w:val="18"/>
              </w:rPr>
            </w:pPr>
            <w:r>
              <w:rPr>
                <w:rFonts w:ascii="Times New Roman"/>
                <w:sz w:val="18"/>
              </w:rPr>
              <w:t>346.58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10,816,2</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63.43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51" w:right="0"/>
              <w:jc w:val="center"/>
              <w:rPr>
                <w:rFonts w:ascii="Times New Roman" w:hAnsi="Times New Roman" w:cs="Times New Roman" w:eastAsia="Times New Roman" w:hint="default"/>
                <w:sz w:val="18"/>
                <w:szCs w:val="18"/>
              </w:rPr>
            </w:pPr>
            <w:r>
              <w:rPr>
                <w:rFonts w:ascii="Times New Roman"/>
                <w:sz w:val="18"/>
              </w:rPr>
              <w:t>240,540,</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610.01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54" w:right="0"/>
              <w:jc w:val="center"/>
              <w:rPr>
                <w:rFonts w:ascii="Times New Roman" w:hAnsi="Times New Roman" w:cs="Times New Roman" w:eastAsia="Times New Roman" w:hint="default"/>
                <w:sz w:val="18"/>
                <w:szCs w:val="18"/>
              </w:rPr>
            </w:pPr>
            <w:r>
              <w:rPr>
                <w:rFonts w:ascii="Times New Roman"/>
                <w:sz w:val="18"/>
              </w:rPr>
              <w:t>181,958,</w:t>
            </w:r>
          </w:p>
          <w:p>
            <w:pPr>
              <w:pStyle w:val="TableParagraph"/>
              <w:spacing w:line="207" w:lineRule="exact"/>
              <w:ind w:left="191" w:right="0"/>
              <w:jc w:val="center"/>
              <w:rPr>
                <w:rFonts w:ascii="Times New Roman" w:hAnsi="Times New Roman" w:cs="Times New Roman" w:eastAsia="Times New Roman" w:hint="default"/>
                <w:sz w:val="18"/>
                <w:szCs w:val="18"/>
              </w:rPr>
            </w:pPr>
            <w:r>
              <w:rPr>
                <w:rFonts w:ascii="Times New Roman"/>
                <w:sz w:val="18"/>
              </w:rPr>
              <w:t>875.80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07" w:lineRule="exact"/>
              <w:ind w:left="54" w:right="0"/>
              <w:jc w:val="center"/>
              <w:rPr>
                <w:rFonts w:ascii="Times New Roman" w:hAnsi="Times New Roman" w:cs="Times New Roman" w:eastAsia="Times New Roman" w:hint="default"/>
                <w:sz w:val="18"/>
                <w:szCs w:val="18"/>
              </w:rPr>
            </w:pPr>
            <w:r>
              <w:rPr>
                <w:rFonts w:ascii="Times New Roman"/>
                <w:sz w:val="18"/>
              </w:rPr>
              <w:t>181,958,</w:t>
            </w:r>
          </w:p>
          <w:p>
            <w:pPr>
              <w:pStyle w:val="TableParagraph"/>
              <w:spacing w:line="207" w:lineRule="exact"/>
              <w:ind w:left="192" w:right="0"/>
              <w:jc w:val="center"/>
              <w:rPr>
                <w:rFonts w:ascii="Times New Roman" w:hAnsi="Times New Roman" w:cs="Times New Roman" w:eastAsia="Times New Roman" w:hint="default"/>
                <w:sz w:val="18"/>
                <w:szCs w:val="18"/>
              </w:rPr>
            </w:pPr>
            <w:r>
              <w:rPr>
                <w:rFonts w:ascii="Times New Roman"/>
                <w:sz w:val="18"/>
              </w:rPr>
              <w:t>875.80</w:t>
            </w:r>
          </w:p>
        </w:tc>
      </w:tr>
    </w:tbl>
    <w:p>
      <w:pPr>
        <w:pStyle w:val="BodyText"/>
        <w:spacing w:line="240" w:lineRule="auto" w:before="10"/>
        <w:ind w:left="0" w:right="1121"/>
        <w:jc w:val="right"/>
      </w:pPr>
      <w:r>
        <w:rPr/>
        <w:t>单位：</w:t>
      </w:r>
      <w:r>
        <w:rPr>
          <w:spacing w:val="5"/>
        </w:rPr>
        <w:t> </w:t>
      </w:r>
      <w:r>
        <w:rPr/>
        <w:t>元</w:t>
      </w: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32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59"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64"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7"/>
              <w:jc w:val="left"/>
              <w:rPr>
                <w:rFonts w:ascii="宋体" w:hAnsi="宋体" w:cs="宋体" w:eastAsia="宋体" w:hint="default"/>
                <w:sz w:val="18"/>
                <w:szCs w:val="18"/>
              </w:rPr>
            </w:pPr>
            <w:r>
              <w:rPr>
                <w:rFonts w:ascii="宋体" w:hAnsi="宋体" w:cs="宋体" w:eastAsia="宋体" w:hint="default"/>
                <w:w w:val="101"/>
                <w:sz w:val="18"/>
                <w:szCs w:val="18"/>
              </w:rPr>
              <w:t>安</w:t>
            </w:r>
            <w:r>
              <w:rPr>
                <w:rFonts w:ascii="宋体" w:hAnsi="宋体" w:cs="宋体" w:eastAsia="宋体" w:hint="default"/>
                <w:spacing w:val="-5"/>
                <w:w w:val="101"/>
                <w:sz w:val="18"/>
                <w:szCs w:val="18"/>
              </w:rPr>
              <w:t>科</w:t>
            </w:r>
            <w:r>
              <w:rPr>
                <w:rFonts w:ascii="宋体" w:hAnsi="宋体" w:cs="宋体" w:eastAsia="宋体" w:hint="default"/>
                <w:w w:val="101"/>
                <w:sz w:val="18"/>
                <w:szCs w:val="18"/>
              </w:rPr>
              <w:t>创</w:t>
            </w:r>
            <w:r>
              <w:rPr>
                <w:rFonts w:ascii="宋体" w:hAnsi="宋体" w:cs="宋体" w:eastAsia="宋体" w:hint="default"/>
                <w:spacing w:val="-77"/>
                <w:w w:val="101"/>
                <w:sz w:val="18"/>
                <w:szCs w:val="18"/>
              </w:rPr>
              <w:t>新</w:t>
            </w:r>
            <w:r>
              <w:rPr>
                <w:rFonts w:ascii="宋体" w:hAnsi="宋体" w:cs="宋体" w:eastAsia="宋体" w:hint="default"/>
                <w:spacing w:val="-5"/>
                <w:w w:val="101"/>
                <w:sz w:val="18"/>
                <w:szCs w:val="18"/>
              </w:rPr>
              <w:t>（</w:t>
            </w:r>
            <w:r>
              <w:rPr>
                <w:rFonts w:ascii="宋体" w:hAnsi="宋体" w:cs="宋体" w:eastAsia="宋体" w:hint="default"/>
                <w:w w:val="101"/>
                <w:sz w:val="18"/>
                <w:szCs w:val="18"/>
              </w:rPr>
              <w:t>深</w:t>
            </w:r>
            <w:r>
              <w:rPr>
                <w:rFonts w:ascii="宋体" w:hAnsi="宋体" w:cs="宋体" w:eastAsia="宋体" w:hint="default"/>
                <w:w w:val="101"/>
                <w:sz w:val="18"/>
                <w:szCs w:val="18"/>
              </w:rPr>
              <w:t> 圳</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0"/>
              <w:jc w:val="right"/>
              <w:rPr>
                <w:rFonts w:ascii="Times New Roman" w:hAnsi="Times New Roman" w:cs="Times New Roman" w:eastAsia="Times New Roman" w:hint="default"/>
                <w:sz w:val="18"/>
                <w:szCs w:val="18"/>
              </w:rPr>
            </w:pPr>
            <w:r>
              <w:rPr>
                <w:rFonts w:ascii="Times New Roman"/>
                <w:spacing w:val="-1"/>
                <w:sz w:val="18"/>
              </w:rPr>
              <w:t>376,172,257.</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3"/>
              <w:jc w:val="right"/>
              <w:rPr>
                <w:rFonts w:ascii="Times New Roman" w:hAnsi="Times New Roman" w:cs="Times New Roman" w:eastAsia="Times New Roman" w:hint="default"/>
                <w:sz w:val="18"/>
                <w:szCs w:val="18"/>
              </w:rPr>
            </w:pPr>
            <w:r>
              <w:rPr>
                <w:rFonts w:ascii="Times New Roman"/>
                <w:spacing w:val="-1"/>
                <w:sz w:val="18"/>
              </w:rPr>
              <w:t>-28,728,436.6</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7"/>
              <w:jc w:val="right"/>
              <w:rPr>
                <w:rFonts w:ascii="Times New Roman" w:hAnsi="Times New Roman" w:cs="Times New Roman" w:eastAsia="Times New Roman" w:hint="default"/>
                <w:sz w:val="18"/>
                <w:szCs w:val="18"/>
              </w:rPr>
            </w:pPr>
            <w:r>
              <w:rPr>
                <w:rFonts w:ascii="Times New Roman"/>
                <w:spacing w:val="-1"/>
                <w:sz w:val="18"/>
              </w:rPr>
              <w:t>-28,728,436.6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7"/>
              <w:jc w:val="right"/>
              <w:rPr>
                <w:rFonts w:ascii="Times New Roman" w:hAnsi="Times New Roman" w:cs="Times New Roman" w:eastAsia="Times New Roman" w:hint="default"/>
                <w:sz w:val="18"/>
                <w:szCs w:val="18"/>
              </w:rPr>
            </w:pPr>
            <w:r>
              <w:rPr>
                <w:rFonts w:ascii="Times New Roman"/>
                <w:spacing w:val="-1"/>
                <w:sz w:val="18"/>
              </w:rPr>
              <w:t>35,084,454.7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20"/>
              <w:jc w:val="right"/>
              <w:rPr>
                <w:rFonts w:ascii="Times New Roman" w:hAnsi="Times New Roman" w:cs="Times New Roman" w:eastAsia="Times New Roman" w:hint="default"/>
                <w:sz w:val="18"/>
                <w:szCs w:val="18"/>
              </w:rPr>
            </w:pPr>
            <w:r>
              <w:rPr>
                <w:rFonts w:ascii="Times New Roman"/>
                <w:spacing w:val="-1"/>
                <w:sz w:val="18"/>
              </w:rPr>
              <w:t>418,487,962.</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5,243,126.20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5,243,126.20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8"/>
              <w:jc w:val="right"/>
              <w:rPr>
                <w:rFonts w:ascii="Times New Roman" w:hAnsi="Times New Roman" w:cs="Times New Roman" w:eastAsia="Times New Roman" w:hint="default"/>
                <w:sz w:val="18"/>
                <w:szCs w:val="18"/>
              </w:rPr>
            </w:pPr>
            <w:r>
              <w:rPr>
                <w:rFonts w:ascii="Times New Roman"/>
                <w:spacing w:val="-1"/>
                <w:sz w:val="18"/>
              </w:rPr>
              <w:t>-39,593,376.4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9"/>
        <w:gridCol w:w="1369"/>
        <w:gridCol w:w="1364"/>
        <w:gridCol w:w="1369"/>
      </w:tblGrid>
      <w:tr>
        <w:trPr>
          <w:trHeight w:val="322"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1"/>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left="48"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计处理方法</w:t>
            </w:r>
          </w:p>
        </w:tc>
      </w:tr>
      <w:tr>
        <w:trPr>
          <w:trHeight w:val="471"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深圳票联金融服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3"/>
                <w:sz w:val="18"/>
                <w:szCs w:val="18"/>
              </w:rPr>
              <w:t>金融设备、软件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20.4167%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北京华道征信有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个人征信服务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8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75"/>
              <w:jc w:val="both"/>
              <w:rPr>
                <w:rFonts w:ascii="宋体" w:hAnsi="宋体" w:cs="宋体" w:eastAsia="宋体" w:hint="default"/>
                <w:sz w:val="18"/>
                <w:szCs w:val="18"/>
              </w:rPr>
            </w:pPr>
            <w:r>
              <w:rPr>
                <w:rFonts w:ascii="宋体" w:hAnsi="宋体" w:cs="宋体" w:eastAsia="宋体" w:hint="default"/>
                <w:spacing w:val="-3"/>
                <w:sz w:val="18"/>
                <w:szCs w:val="18"/>
              </w:rPr>
              <w:t>福建片仔癀银之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杰健康管理有限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健康管理服务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易安财产保险股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金融保险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9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both"/>
              <w:rPr>
                <w:rFonts w:ascii="宋体" w:hAnsi="宋体" w:cs="宋体" w:eastAsia="宋体" w:hint="default"/>
                <w:sz w:val="18"/>
                <w:szCs w:val="18"/>
              </w:rPr>
            </w:pPr>
            <w:r>
              <w:rPr>
                <w:rFonts w:ascii="宋体" w:hAnsi="宋体" w:cs="宋体" w:eastAsia="宋体" w:hint="default"/>
                <w:spacing w:val="-3"/>
                <w:sz w:val="18"/>
                <w:szCs w:val="18"/>
              </w:rPr>
              <w:t>国誉创富国际金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融服务（深圳）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恒银（嘉兴）资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产管理有限公司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嘉兴市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9"/>
        <w:gridCol w:w="1369"/>
        <w:gridCol w:w="1364"/>
        <w:gridCol w:w="1369"/>
      </w:tblGrid>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东亚前海证券有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26.10%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北京智帆金科信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息服务有限公司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55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75"/>
              <w:jc w:val="left"/>
              <w:rPr>
                <w:rFonts w:ascii="宋体" w:hAnsi="宋体" w:cs="宋体" w:eastAsia="宋体" w:hint="default"/>
                <w:sz w:val="18"/>
                <w:szCs w:val="18"/>
              </w:rPr>
            </w:pPr>
            <w:r>
              <w:rPr>
                <w:rFonts w:ascii="宋体" w:hAnsi="宋体" w:cs="宋体" w:eastAsia="宋体" w:hint="default"/>
                <w:spacing w:val="-3"/>
                <w:sz w:val="18"/>
                <w:szCs w:val="18"/>
              </w:rPr>
              <w:t>百可录（北京）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73" w:lineRule="auto" w:before="10"/>
        <w:ind w:left="513" w:right="5823" w:hanging="360"/>
        <w:jc w:val="left"/>
      </w:pPr>
      <w:r>
        <w:rPr>
          <w:spacing w:val="-3"/>
        </w:rPr>
        <w:t>在合营企业或联营企业的持股比例不同于表决权比例的说明：</w:t>
      </w:r>
      <w:r>
        <w:rPr>
          <w:spacing w:val="-10"/>
        </w:rPr>
        <w:t> </w:t>
      </w:r>
      <w:r>
        <w:rPr>
          <w:spacing w:val="-10"/>
        </w:rPr>
      </w:r>
      <w:r>
        <w:rPr/>
        <w:t>不适用。</w:t>
      </w:r>
    </w:p>
    <w:p>
      <w:pPr>
        <w:pStyle w:val="BodyText"/>
        <w:spacing w:line="264" w:lineRule="auto" w:before="133"/>
        <w:ind w:left="513" w:right="2850" w:hanging="360"/>
        <w:jc w:val="left"/>
      </w:pPr>
      <w:r>
        <w:rPr/>
        <w:t>持有 </w:t>
      </w:r>
      <w:r>
        <w:rPr>
          <w:rFonts w:ascii="Times New Roman" w:hAnsi="Times New Roman" w:cs="Times New Roman" w:eastAsia="Times New Roman" w:hint="default"/>
          <w:spacing w:val="-3"/>
        </w:rPr>
        <w:t>20%</w:t>
      </w:r>
      <w:r>
        <w:rPr>
          <w:spacing w:val="-3"/>
        </w:rPr>
        <w:t>以下表决权但具有重大影响，或者持有 </w:t>
      </w:r>
      <w:r>
        <w:rPr>
          <w:rFonts w:ascii="Times New Roman" w:hAnsi="Times New Roman" w:cs="Times New Roman" w:eastAsia="Times New Roman" w:hint="default"/>
          <w:spacing w:val="-3"/>
        </w:rPr>
        <w:t>20%</w:t>
      </w:r>
      <w:r>
        <w:rPr>
          <w:spacing w:val="-3"/>
        </w:rPr>
        <w:t>或以上表决权但不具有重大影响的依据：</w:t>
      </w:r>
      <w:r>
        <w:rPr>
          <w:spacing w:val="-53"/>
        </w:rPr>
        <w:t> </w:t>
      </w:r>
      <w:r>
        <w:rPr>
          <w:spacing w:val="-53"/>
        </w:rPr>
      </w:r>
      <w:r>
        <w:rPr/>
        <w:t>不适用。</w:t>
      </w:r>
    </w:p>
    <w:p>
      <w:pPr>
        <w:spacing w:line="240" w:lineRule="auto" w:before="0"/>
        <w:rPr>
          <w:rFonts w:ascii="宋体" w:hAnsi="宋体" w:cs="宋体" w:eastAsia="宋体" w:hint="default"/>
          <w:sz w:val="18"/>
          <w:szCs w:val="18"/>
        </w:rPr>
      </w:pPr>
    </w:p>
    <w:p>
      <w:pPr>
        <w:pStyle w:val="Heading3"/>
        <w:spacing w:line="240" w:lineRule="auto" w:before="152"/>
        <w:ind w:right="1055"/>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after="0" w:line="240" w:lineRule="auto"/>
        <w:jc w:val="left"/>
        <w:sectPr>
          <w:pgSz w:w="11910" w:h="16840"/>
          <w:pgMar w:header="871" w:footer="1186" w:top="1100" w:bottom="1380" w:left="980" w:right="0"/>
        </w:sectPr>
      </w:pPr>
    </w:p>
    <w:p>
      <w:pPr>
        <w:spacing w:line="240" w:lineRule="auto" w:before="2"/>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2.6pt;height:.75pt;mso-position-horizontal-relative:char;mso-position-vertical-relative:line" coordorigin="0,0" coordsize="13852,15">
            <v:group style="position:absolute;left:7;top:7;width:13838;height:2" coordorigin="7,7" coordsize="13838,2">
              <v:shape style="position:absolute;left:7;top:7;width:13838;height:2" coordorigin="7,7" coordsize="13838,0" path="m7,7l1384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0" w:right="148"/>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873"/>
        <w:gridCol w:w="1700"/>
        <w:gridCol w:w="1705"/>
        <w:gridCol w:w="1738"/>
        <w:gridCol w:w="1402"/>
        <w:gridCol w:w="1402"/>
        <w:gridCol w:w="1402"/>
        <w:gridCol w:w="1402"/>
        <w:gridCol w:w="1397"/>
      </w:tblGrid>
      <w:tr>
        <w:trPr>
          <w:trHeight w:val="326"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4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票联金服</w:t>
            </w: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17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6" w:right="0"/>
              <w:jc w:val="left"/>
              <w:rPr>
                <w:rFonts w:ascii="宋体" w:hAnsi="宋体" w:cs="宋体" w:eastAsia="宋体" w:hint="default"/>
                <w:sz w:val="18"/>
                <w:szCs w:val="18"/>
              </w:rPr>
            </w:pPr>
            <w:r>
              <w:rPr>
                <w:rFonts w:ascii="宋体" w:hAnsi="宋体" w:cs="宋体" w:eastAsia="宋体" w:hint="default"/>
                <w:sz w:val="18"/>
                <w:szCs w:val="18"/>
              </w:rPr>
              <w:t>国誉金服</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5" w:right="0"/>
              <w:jc w:val="left"/>
              <w:rPr>
                <w:rFonts w:ascii="宋体" w:hAnsi="宋体" w:cs="宋体" w:eastAsia="宋体" w:hint="default"/>
                <w:sz w:val="18"/>
                <w:szCs w:val="18"/>
              </w:rPr>
            </w:pPr>
            <w:r>
              <w:rPr>
                <w:rFonts w:ascii="宋体" w:hAnsi="宋体" w:cs="宋体" w:eastAsia="宋体" w:hint="default"/>
                <w:sz w:val="18"/>
                <w:szCs w:val="18"/>
              </w:rPr>
              <w:t>恒银资产</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6" w:right="0"/>
              <w:jc w:val="left"/>
              <w:rPr>
                <w:rFonts w:ascii="宋体" w:hAnsi="宋体" w:cs="宋体" w:eastAsia="宋体" w:hint="default"/>
                <w:sz w:val="18"/>
                <w:szCs w:val="18"/>
              </w:rPr>
            </w:pPr>
            <w:r>
              <w:rPr>
                <w:rFonts w:ascii="宋体" w:hAnsi="宋体" w:cs="宋体" w:eastAsia="宋体" w:hint="default"/>
                <w:sz w:val="18"/>
                <w:szCs w:val="18"/>
              </w:rPr>
              <w:t>智帆金科</w:t>
            </w:r>
          </w:p>
        </w:tc>
        <w:tc>
          <w:tcPr>
            <w:tcW w:w="1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sz w:val="18"/>
                <w:szCs w:val="18"/>
              </w:rPr>
              <w:t>百可录</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18,823,227.91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24,669,084.43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606,504,904.32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54,161,973.34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4,014,634.10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482,542,076.50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15,792,081.06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13,821,312.43</w:t>
            </w:r>
          </w:p>
        </w:tc>
      </w:tr>
      <w:tr>
        <w:trPr>
          <w:trHeight w:val="326"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7,987,565.31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77,390,757.51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1,237,815,197.84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746,461.47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2,020,000.00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1,845,606,664.73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9,099,045.71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5,988,654.47</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26,810,793.22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102,059,841.94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1,844,320,102.16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54,908,434.81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6,034,634.10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2,328,148,741.23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24,891,126.77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19,809,966.90</w:t>
            </w:r>
          </w:p>
        </w:tc>
      </w:tr>
      <w:tr>
        <w:trPr>
          <w:trHeight w:val="326"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5,828,780.11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106,113,617.37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1,058,306,475.86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38,865,600.93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1,595,890.39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925,851,813.14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2,094,354.81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125,389.94</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62,588,778.15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1,962,272.69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5,828,780.11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106,113,617.37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1,120,895,254.01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38,865,600.93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1,595,890.39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927,814,085.83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2,094,354.81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125,389.94</w:t>
            </w:r>
          </w:p>
        </w:tc>
      </w:tr>
      <w:tr>
        <w:trPr>
          <w:trHeight w:val="327"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20,982,013.11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-4,053,775.43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723,424,848.15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16,042,833.88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4,438,743.71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1,400,334,655.40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22,796,771.96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19,684,576.96</w:t>
            </w:r>
          </w:p>
        </w:tc>
      </w:tr>
      <w:tr>
        <w:trPr>
          <w:trHeight w:val="557"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3" w:right="31"/>
              <w:jc w:val="left"/>
              <w:rPr>
                <w:rFonts w:ascii="宋体" w:hAnsi="宋体" w:cs="宋体" w:eastAsia="宋体" w:hint="default"/>
                <w:sz w:val="18"/>
                <w:szCs w:val="18"/>
              </w:rPr>
            </w:pPr>
            <w:r>
              <w:rPr>
                <w:rFonts w:ascii="宋体" w:hAnsi="宋体" w:cs="宋体" w:eastAsia="宋体" w:hint="default"/>
                <w:spacing w:val="-2"/>
                <w:sz w:val="18"/>
                <w:szCs w:val="18"/>
              </w:rPr>
              <w:t>按持股比例计算的净资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产份额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4,283,834.67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-1,621,510.17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108,513,727.22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7,860,988.60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887,748.74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365,487,345.06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4,559,354.39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3,346,378.08</w:t>
            </w:r>
          </w:p>
        </w:tc>
      </w:tr>
      <w:tr>
        <w:trPr>
          <w:trHeight w:val="557"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3" w:right="31"/>
              <w:jc w:val="left"/>
              <w:rPr>
                <w:rFonts w:ascii="宋体" w:hAnsi="宋体" w:cs="宋体" w:eastAsia="宋体" w:hint="default"/>
                <w:sz w:val="18"/>
                <w:szCs w:val="18"/>
              </w:rPr>
            </w:pPr>
            <w:r>
              <w:rPr>
                <w:rFonts w:ascii="宋体" w:hAnsi="宋体" w:cs="宋体" w:eastAsia="宋体" w:hint="default"/>
                <w:spacing w:val="-2"/>
                <w:sz w:val="18"/>
                <w:szCs w:val="18"/>
              </w:rPr>
              <w:t>对联营企业权益投资的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6,325,484.67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-1,627,428.88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108,513,727.22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7,860,263.40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1,882,762.79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365,487,345.06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23,753,567.92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16,644,940.62</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4,277,890.17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29,364,903.71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1,173,431,482.21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2,095,894.26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91,307,842.84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15,863,198.96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7,059,303.51</w:t>
            </w: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-11,618,783.83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-19,053,283.59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-199,413,832.24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-11,433,728.32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-597,534.64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-56,092,072.11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-9,303,080.90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-2,088,584.60</w:t>
            </w:r>
          </w:p>
        </w:tc>
      </w:tr>
      <w:tr>
        <w:trPr>
          <w:trHeight w:val="326"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-55,315,156.67</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1,104,017.61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-11,618,783.83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-19,053,283.59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-254,728,988.91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-11,433,728.32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-597,534.64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-54,988,054.50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-9,303,080.90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-2,088,584.60</w:t>
            </w:r>
          </w:p>
        </w:tc>
      </w:tr>
    </w:tbl>
    <w:p>
      <w:pPr>
        <w:spacing w:after="0" w:line="240" w:lineRule="auto"/>
        <w:jc w:val="right"/>
        <w:rPr>
          <w:rFonts w:ascii="Times New Roman" w:hAnsi="Times New Roman" w:cs="Times New Roman" w:eastAsia="Times New Roman" w:hint="default"/>
          <w:sz w:val="18"/>
          <w:szCs w:val="18"/>
        </w:rPr>
        <w:sectPr>
          <w:headerReference w:type="default" r:id="rId33"/>
          <w:footerReference w:type="default" r:id="rId34"/>
          <w:pgSz w:w="16840" w:h="11910" w:orient="landscape"/>
          <w:pgMar w:header="863" w:footer="1181" w:top="1060" w:bottom="1380" w:left="1300" w:right="1280"/>
          <w:pgNumType w:start="154"/>
        </w:sectPr>
      </w:pPr>
    </w:p>
    <w:p>
      <w:pPr>
        <w:spacing w:line="240" w:lineRule="auto" w:before="2"/>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2.6pt;height:.75pt;mso-position-horizontal-relative:char;mso-position-vertical-relative:line" coordorigin="0,0" coordsize="13852,15">
            <v:group style="position:absolute;left:7;top:7;width:13838;height:2" coordorigin="7,7" coordsize="13838,2">
              <v:shape style="position:absolute;left:7;top:7;width:13838;height:2" coordorigin="7,7" coordsize="13838,0" path="m7,7l1384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016"/>
        <w:gridCol w:w="1700"/>
        <w:gridCol w:w="1561"/>
        <w:gridCol w:w="1738"/>
        <w:gridCol w:w="1402"/>
        <w:gridCol w:w="1402"/>
        <w:gridCol w:w="1397"/>
        <w:gridCol w:w="1402"/>
        <w:gridCol w:w="1402"/>
      </w:tblGrid>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80" w:right="0"/>
              <w:jc w:val="left"/>
              <w:rPr>
                <w:rFonts w:ascii="宋体" w:hAnsi="宋体" w:cs="宋体" w:eastAsia="宋体" w:hint="default"/>
                <w:sz w:val="18"/>
                <w:szCs w:val="18"/>
              </w:rPr>
            </w:pPr>
            <w:r>
              <w:rPr>
                <w:rFonts w:ascii="宋体" w:hAnsi="宋体" w:cs="宋体" w:eastAsia="宋体" w:hint="default"/>
                <w:sz w:val="18"/>
                <w:szCs w:val="18"/>
              </w:rPr>
              <w:t>票联金服</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12" w:right="0"/>
              <w:jc w:val="left"/>
              <w:rPr>
                <w:rFonts w:ascii="宋体" w:hAnsi="宋体" w:cs="宋体" w:eastAsia="宋体" w:hint="default"/>
                <w:sz w:val="18"/>
                <w:szCs w:val="18"/>
              </w:rPr>
            </w:pPr>
            <w:r>
              <w:rPr>
                <w:rFonts w:ascii="宋体" w:hAnsi="宋体" w:cs="宋体" w:eastAsia="宋体" w:hint="default"/>
                <w:sz w:val="18"/>
                <w:szCs w:val="18"/>
              </w:rPr>
              <w:t>华道征信</w:t>
            </w:r>
          </w:p>
        </w:tc>
        <w:tc>
          <w:tcPr>
            <w:tcW w:w="17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sz w:val="18"/>
                <w:szCs w:val="18"/>
              </w:rPr>
              <w:t>易安保险</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6" w:right="0"/>
              <w:jc w:val="left"/>
              <w:rPr>
                <w:rFonts w:ascii="宋体" w:hAnsi="宋体" w:cs="宋体" w:eastAsia="宋体" w:hint="default"/>
                <w:sz w:val="18"/>
                <w:szCs w:val="18"/>
              </w:rPr>
            </w:pPr>
            <w:r>
              <w:rPr>
                <w:rFonts w:ascii="宋体" w:hAnsi="宋体" w:cs="宋体" w:eastAsia="宋体" w:hint="default"/>
                <w:sz w:val="18"/>
                <w:szCs w:val="18"/>
              </w:rPr>
              <w:t>国誉金服</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1" w:right="0"/>
              <w:jc w:val="left"/>
              <w:rPr>
                <w:rFonts w:ascii="宋体" w:hAnsi="宋体" w:cs="宋体" w:eastAsia="宋体" w:hint="default"/>
                <w:sz w:val="18"/>
                <w:szCs w:val="18"/>
              </w:rPr>
            </w:pPr>
            <w:r>
              <w:rPr>
                <w:rFonts w:ascii="宋体" w:hAnsi="宋体" w:cs="宋体" w:eastAsia="宋体" w:hint="default"/>
                <w:sz w:val="18"/>
                <w:szCs w:val="18"/>
              </w:rPr>
              <w:t>恒银资产</w:t>
            </w:r>
          </w:p>
        </w:tc>
        <w:tc>
          <w:tcPr>
            <w:tcW w:w="1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z w:val="18"/>
                <w:szCs w:val="18"/>
              </w:rPr>
              <w:t>东亚前海证券</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6" w:right="0"/>
              <w:jc w:val="left"/>
              <w:rPr>
                <w:rFonts w:ascii="宋体" w:hAnsi="宋体" w:cs="宋体" w:eastAsia="宋体" w:hint="default"/>
                <w:sz w:val="18"/>
                <w:szCs w:val="18"/>
              </w:rPr>
            </w:pPr>
            <w:r>
              <w:rPr>
                <w:rFonts w:ascii="宋体" w:hAnsi="宋体" w:cs="宋体" w:eastAsia="宋体" w:hint="default"/>
                <w:sz w:val="18"/>
                <w:szCs w:val="18"/>
              </w:rPr>
              <w:t>智帆金科</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27" w:right="0"/>
              <w:jc w:val="left"/>
              <w:rPr>
                <w:rFonts w:ascii="宋体" w:hAnsi="宋体" w:cs="宋体" w:eastAsia="宋体" w:hint="default"/>
                <w:sz w:val="18"/>
                <w:szCs w:val="18"/>
              </w:rPr>
            </w:pPr>
            <w:r>
              <w:rPr>
                <w:rFonts w:ascii="宋体" w:hAnsi="宋体" w:cs="宋体" w:eastAsia="宋体" w:hint="default"/>
                <w:sz w:val="18"/>
                <w:szCs w:val="18"/>
              </w:rPr>
              <w:t>百可录</w:t>
            </w:r>
          </w:p>
        </w:tc>
      </w:tr>
      <w:tr>
        <w:trPr>
          <w:trHeight w:val="326"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23,370,576.06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25,730,151.80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385,013,596.84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117,296,038.27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2,990,143.78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1,459,811,306.20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32,273,882.78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20,420,972.98</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5,118,324.87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49,878,971.11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1,100,987,120.54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1,016,030.22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3,770,000.00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31,033,181.95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593,377.54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2,015,284.93</w:t>
            </w:r>
          </w:p>
        </w:tc>
      </w:tr>
      <w:tr>
        <w:trPr>
          <w:trHeight w:val="32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28,488,900.93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75,609,122.91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1,486,000,717.38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118,312,068.49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6,760,143.78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1,490,844,488.15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32,867,260.32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22,436,257.91</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5,388,103.99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60,609,614.35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486,682,552.02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90,835,506.29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2"/>
                <w:sz w:val="18"/>
              </w:rPr>
              <w:t>1,716,112.36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35,521,778.25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562,842.79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663,096.35</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21,164,328.30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5,388,103.99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60,609,614.35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507,846,880.32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90,835,506.29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1,716,112.36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35,521,778.25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562,842.79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663,096.35</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23,100,796.94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14,999,508.56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978,153,837.06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27,476,562.20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5,044,031.42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1,455,322,709.90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32,304,417.53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21,773,161.56</w:t>
            </w:r>
          </w:p>
        </w:tc>
      </w:tr>
      <w:tr>
        <w:trPr>
          <w:trHeight w:val="55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3" w:right="175"/>
              <w:jc w:val="left"/>
              <w:rPr>
                <w:rFonts w:ascii="宋体" w:hAnsi="宋体" w:cs="宋体" w:eastAsia="宋体" w:hint="default"/>
                <w:sz w:val="18"/>
                <w:szCs w:val="18"/>
              </w:rPr>
            </w:pPr>
            <w:r>
              <w:rPr>
                <w:rFonts w:ascii="宋体" w:hAnsi="宋体" w:cs="宋体" w:eastAsia="宋体" w:hint="default"/>
                <w:spacing w:val="-2"/>
                <w:sz w:val="18"/>
                <w:szCs w:val="18"/>
              </w:rPr>
              <w:t>按持股比例计算的净资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产份额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4,762,691.31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5,999,803.42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146,723,075.55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13,463,515.48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1,008,806.28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379,839,227.28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6,460,883.51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3,701,437.47</w:t>
            </w:r>
          </w:p>
        </w:tc>
      </w:tr>
      <w:tr>
        <w:trPr>
          <w:trHeight w:val="55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3" w:right="175"/>
              <w:jc w:val="left"/>
              <w:rPr>
                <w:rFonts w:ascii="宋体" w:hAnsi="宋体" w:cs="宋体" w:eastAsia="宋体" w:hint="default"/>
                <w:sz w:val="18"/>
                <w:szCs w:val="18"/>
              </w:rPr>
            </w:pPr>
            <w:r>
              <w:rPr>
                <w:rFonts w:ascii="宋体" w:hAnsi="宋体" w:cs="宋体" w:eastAsia="宋体" w:hint="default"/>
                <w:spacing w:val="-2"/>
                <w:sz w:val="18"/>
                <w:szCs w:val="18"/>
              </w:rPr>
              <w:t>对联营企业权益投资的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8,289,322.91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5,993,884.56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146,723,075.55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13,462,790.28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2,002,269.72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379,839,227.28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25,614,184.10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326"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3,109,358.84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15,827,398.14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798,045,176.06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1,113,904.61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218,446.60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23,392,414.81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13,196,718.51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4,265,101.92</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-10,348,853.21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-19,668,236.36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2"/>
                <w:sz w:val="18"/>
              </w:rPr>
              <w:t>7,110,461.25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-1,455,865.23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2"/>
                <w:sz w:val="18"/>
              </w:rPr>
              <w:t>11,348.58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-44,677,290.10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3,191,668.25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1,182,235.66</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-26,846,900.73</w:t>
            </w: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-10,348,853.21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-19,668,236.36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-19,736,439.48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-1,455,865.23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11,348.58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-44,677,290.10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3,191,668.25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1,182,235.66</w:t>
            </w:r>
          </w:p>
        </w:tc>
      </w:tr>
    </w:tbl>
    <w:p>
      <w:pPr>
        <w:pStyle w:val="BodyText"/>
        <w:spacing w:line="240" w:lineRule="auto" w:before="10"/>
        <w:ind w:left="140" w:right="0"/>
        <w:jc w:val="left"/>
      </w:pPr>
      <w:r>
        <w:rPr/>
        <w:t>其他说明</w:t>
      </w:r>
    </w:p>
    <w:p>
      <w:pPr>
        <w:pStyle w:val="BodyText"/>
        <w:spacing w:line="357" w:lineRule="auto" w:before="33"/>
        <w:ind w:left="140" w:right="0" w:firstLine="360"/>
        <w:jc w:val="left"/>
      </w:pPr>
      <w:r>
        <w:rPr>
          <w:spacing w:val="-3"/>
        </w:rPr>
        <w:t>票联金服为深圳票联金融服务有限公司；华道征信为北京华道征信有限公司；片仔癀银之杰为福建片仔癀银之杰健康管理有限公司；易安保险为易安财产保险股份有限公司；</w:t>
      </w:r>
      <w:r>
        <w:rPr>
          <w:w w:val="101"/>
        </w:rPr>
        <w:t> </w:t>
      </w:r>
      <w:r>
        <w:rPr>
          <w:spacing w:val="-4"/>
        </w:rPr>
        <w:t>国誉金服为国誉创富国际金融服务（深圳）有限公司；恒银资产为恒银（嘉兴）资产管理有限公司；东亚前海证券为东亚前海证券有限责任公司；智帆金科为北京智帆金科信息服</w:t>
      </w:r>
      <w:r>
        <w:rPr>
          <w:spacing w:val="43"/>
        </w:rPr>
        <w:t> </w:t>
      </w:r>
      <w:r>
        <w:rPr>
          <w:spacing w:val="43"/>
        </w:rPr>
      </w:r>
      <w:r>
        <w:rPr>
          <w:spacing w:val="-3"/>
        </w:rPr>
        <w:t>务有限公司；百可录为百可录（北京）科技有限公司。</w:t>
      </w:r>
    </w:p>
    <w:p>
      <w:pPr>
        <w:spacing w:after="0" w:line="357" w:lineRule="auto"/>
        <w:jc w:val="left"/>
        <w:sectPr>
          <w:pgSz w:w="16840" w:h="11910" w:orient="landscape"/>
          <w:pgMar w:header="863" w:footer="1181" w:top="1060" w:bottom="1380" w:left="1300" w:right="1240"/>
        </w:sectPr>
      </w:pPr>
    </w:p>
    <w:p>
      <w:pPr>
        <w:spacing w:line="240" w:lineRule="auto" w:before="11"/>
        <w:rPr>
          <w:rFonts w:ascii="宋体" w:hAnsi="宋体" w:cs="宋体" w:eastAsia="宋体" w:hint="default"/>
          <w:sz w:val="18"/>
          <w:szCs w:val="18"/>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left="513" w:right="6570" w:hanging="360"/>
        <w:jc w:val="left"/>
      </w:pPr>
      <w:r>
        <w:rPr>
          <w:spacing w:val="-3"/>
        </w:rPr>
        <w:t>未纳入合并财务报表范围的结构化主体的相关说明：</w:t>
      </w:r>
      <w:r>
        <w:rPr>
          <w:spacing w:val="-21"/>
        </w:rPr>
        <w:t> </w:t>
      </w:r>
      <w:r>
        <w:rPr>
          <w:spacing w:val="-21"/>
        </w:rPr>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2"/>
        <w:spacing w:line="240" w:lineRule="auto"/>
        <w:ind w:right="0"/>
        <w:jc w:val="both"/>
        <w:rPr>
          <w:b w:val="0"/>
          <w:bCs w:val="0"/>
        </w:rPr>
      </w:pPr>
      <w:r>
        <w:rPr/>
        <w:t>十、与金融工具相关的风险</w:t>
      </w:r>
      <w:r>
        <w:rPr>
          <w:b w:val="0"/>
          <w:bCs w:val="0"/>
        </w:rPr>
      </w:r>
    </w:p>
    <w:p>
      <w:pPr>
        <w:spacing w:line="240" w:lineRule="auto" w:before="7"/>
        <w:rPr>
          <w:rFonts w:ascii="宋体" w:hAnsi="宋体" w:cs="宋体" w:eastAsia="宋体" w:hint="default"/>
          <w:b/>
          <w:bCs/>
          <w:sz w:val="23"/>
          <w:szCs w:val="23"/>
        </w:rPr>
      </w:pPr>
    </w:p>
    <w:p>
      <w:pPr>
        <w:pStyle w:val="BodyText"/>
        <w:spacing w:line="357" w:lineRule="auto"/>
        <w:ind w:right="1124" w:firstLine="360"/>
        <w:jc w:val="both"/>
      </w:pPr>
      <w:r>
        <w:rPr>
          <w:spacing w:val="-5"/>
        </w:rPr>
        <w:t>本公司的主要金融工具包括股权投资、债权投资、应收账款、应付账款等，各项金融工具的详细情况说明见本附注六相</w:t>
      </w:r>
      <w:r>
        <w:rPr>
          <w:w w:val="101"/>
        </w:rPr>
        <w:t> </w:t>
      </w:r>
      <w:r>
        <w:rPr>
          <w:spacing w:val="-4"/>
        </w:rPr>
        <w:t>关项目。与这些金融工具有关的风险，以及本公司为降低这些风险所采取的风险管理政策如下所述。本公司管理层对这些风</w:t>
      </w:r>
      <w:r>
        <w:rPr>
          <w:spacing w:val="43"/>
        </w:rPr>
        <w:t> </w:t>
      </w:r>
      <w:r>
        <w:rPr>
          <w:spacing w:val="43"/>
        </w:rPr>
      </w:r>
      <w:r>
        <w:rPr>
          <w:spacing w:val="-3"/>
        </w:rPr>
        <w:t>险敞口进行管理和监控以确保将上述风险控制在限定的范围之内。</w:t>
      </w:r>
    </w:p>
    <w:p>
      <w:pPr>
        <w:pStyle w:val="BodyText"/>
        <w:spacing w:line="357" w:lineRule="auto" w:before="22"/>
        <w:ind w:right="1055" w:firstLine="360"/>
        <w:jc w:val="left"/>
      </w:pPr>
      <w:r>
        <w:rPr>
          <w:spacing w:val="-3"/>
        </w:rPr>
        <w:t>本公司从事风险管理的目标是在风险和收益之间取得适当的平衡，将风险对本公司经营业绩的负面影响降低到最低水</w:t>
      </w:r>
      <w:r>
        <w:rPr>
          <w:w w:val="101"/>
        </w:rPr>
        <w:t> </w:t>
      </w:r>
      <w:r>
        <w:rPr>
          <w:spacing w:val="-4"/>
        </w:rPr>
        <w:t>平，使股东及其其他权益投资者的利益最大化。基于该风险管理目标，本公司风险管理的基本策略是确定和分析本公司所面</w:t>
      </w:r>
      <w:r>
        <w:rPr>
          <w:spacing w:val="43"/>
        </w:rPr>
        <w:t> </w:t>
      </w:r>
      <w:r>
        <w:rPr>
          <w:spacing w:val="43"/>
        </w:rPr>
      </w:r>
      <w:r>
        <w:rPr>
          <w:spacing w:val="-4"/>
        </w:rPr>
        <w:t>临的各种风险，建立适当的风险承受底线和进行风险管理，并及时可靠地对各种风险进行监督，将风险控制在限定的范围之</w:t>
      </w:r>
      <w:r>
        <w:rPr>
          <w:spacing w:val="43"/>
        </w:rPr>
        <w:t> </w:t>
      </w:r>
      <w:r>
        <w:rPr>
          <w:spacing w:val="43"/>
        </w:rPr>
      </w:r>
      <w:r>
        <w:rPr/>
        <w:t>内。</w:t>
      </w:r>
    </w:p>
    <w:p>
      <w:pPr>
        <w:pStyle w:val="BodyText"/>
        <w:spacing w:line="357" w:lineRule="auto" w:before="26"/>
        <w:ind w:left="513" w:right="1055"/>
        <w:jc w:val="left"/>
      </w:pPr>
      <w:r>
        <w:rPr>
          <w:rFonts w:ascii="宋体" w:hAnsi="宋体" w:cs="宋体" w:eastAsia="宋体" w:hint="default"/>
          <w:b/>
          <w:bCs/>
        </w:rPr>
        <w:t>1</w:t>
      </w:r>
      <w:r>
        <w:rPr>
          <w:rFonts w:ascii="宋体" w:hAnsi="宋体" w:cs="宋体" w:eastAsia="宋体" w:hint="default"/>
          <w:b/>
          <w:bCs/>
        </w:rPr>
        <w:t>、市场风险</w:t>
      </w:r>
      <w:r>
        <w:rPr>
          <w:rFonts w:ascii="宋体" w:hAnsi="宋体" w:cs="宋体" w:eastAsia="宋体" w:hint="default"/>
          <w:b/>
          <w:bCs/>
          <w:spacing w:val="-87"/>
        </w:rPr>
        <w:t> </w:t>
      </w:r>
      <w:r>
        <w:rPr>
          <w:rFonts w:ascii="宋体" w:hAnsi="宋体" w:cs="宋体" w:eastAsia="宋体" w:hint="default"/>
          <w:b/>
          <w:bCs/>
          <w:spacing w:val="-87"/>
        </w:rPr>
      </w:r>
      <w:r>
        <w:rPr>
          <w:spacing w:val="-4"/>
        </w:rPr>
        <w:t>本公司市场风险主要为外汇风险。外汇风险指因汇率变动产生损失的风险。公司承受外汇风险主要与美元有关，除本公</w:t>
      </w:r>
    </w:p>
    <w:p>
      <w:pPr>
        <w:pStyle w:val="BodyText"/>
        <w:spacing w:line="357" w:lineRule="auto" w:before="26"/>
        <w:ind w:right="1121"/>
        <w:jc w:val="both"/>
      </w:pPr>
      <w:r>
        <w:rPr>
          <w:spacing w:val="-4"/>
        </w:rPr>
        <w:t>司下属孙公司安尼数码（香港）科技有限公司主要以美元进行销售外，公司的其他主要业务活动以人民币计价结算。于</w:t>
      </w:r>
      <w:r>
        <w:rPr>
          <w:rFonts w:ascii="宋体" w:hAnsi="宋体" w:cs="宋体" w:eastAsia="宋体" w:hint="default"/>
          <w:spacing w:val="-4"/>
        </w:rPr>
        <w:t>2018</w:t>
      </w:r>
      <w:r>
        <w:rPr>
          <w:rFonts w:ascii="宋体" w:hAnsi="宋体" w:cs="宋体" w:eastAsia="宋体" w:hint="default"/>
          <w:spacing w:val="50"/>
        </w:rPr>
        <w:t> </w:t>
      </w:r>
      <w:r>
        <w:rPr>
          <w:rFonts w:ascii="宋体" w:hAnsi="宋体" w:cs="宋体" w:eastAsia="宋体" w:hint="default"/>
          <w:spacing w:val="50"/>
        </w:rPr>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日，除下表所述资产及负债为外币余额外，公司其他资产及负债均为记账本位币余额。该等外币余额的资产和负债</w:t>
      </w:r>
      <w:r>
        <w:rPr>
          <w:spacing w:val="52"/>
        </w:rPr>
        <w:t> </w:t>
      </w:r>
      <w:r>
        <w:rPr>
          <w:spacing w:val="52"/>
        </w:rPr>
      </w:r>
      <w:r>
        <w:rPr>
          <w:spacing w:val="-3"/>
        </w:rPr>
        <w:t>产生的外汇风险可能对公司的经营业绩产生影响。</w:t>
      </w:r>
    </w:p>
    <w:p>
      <w:pPr>
        <w:spacing w:line="240" w:lineRule="auto" w:before="1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3213"/>
        <w:gridCol w:w="3217"/>
        <w:gridCol w:w="3213"/>
      </w:tblGrid>
      <w:tr>
        <w:trPr>
          <w:trHeight w:val="264" w:hRule="exact"/>
        </w:trPr>
        <w:tc>
          <w:tcPr>
            <w:tcW w:w="32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8" w:lineRule="exact"/>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8" w:lineRule="exact"/>
              <w:ind w:left="9"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269" w:hRule="exact"/>
        </w:trPr>
        <w:tc>
          <w:tcPr>
            <w:tcW w:w="32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right"/>
              <w:rPr>
                <w:rFonts w:ascii="Times New Roman" w:hAnsi="Times New Roman" w:cs="Times New Roman" w:eastAsia="Times New Roman" w:hint="default"/>
                <w:sz w:val="18"/>
                <w:szCs w:val="18"/>
              </w:rPr>
            </w:pPr>
            <w:r>
              <w:rPr>
                <w:rFonts w:ascii="Times New Roman"/>
                <w:spacing w:val="-1"/>
                <w:sz w:val="18"/>
              </w:rPr>
              <w:t>36,928,246.27</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right"/>
              <w:rPr>
                <w:rFonts w:ascii="Times New Roman" w:hAnsi="Times New Roman" w:cs="Times New Roman" w:eastAsia="Times New Roman" w:hint="default"/>
                <w:sz w:val="18"/>
                <w:szCs w:val="18"/>
              </w:rPr>
            </w:pPr>
            <w:r>
              <w:rPr>
                <w:rFonts w:ascii="Times New Roman"/>
                <w:spacing w:val="-1"/>
                <w:sz w:val="18"/>
              </w:rPr>
              <w:t>32,442,624.23</w:t>
            </w:r>
          </w:p>
        </w:tc>
      </w:tr>
      <w:tr>
        <w:trPr>
          <w:trHeight w:val="269" w:hRule="exact"/>
        </w:trPr>
        <w:tc>
          <w:tcPr>
            <w:tcW w:w="32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
              <w:jc w:val="right"/>
              <w:rPr>
                <w:rFonts w:ascii="Times New Roman" w:hAnsi="Times New Roman" w:cs="Times New Roman" w:eastAsia="Times New Roman" w:hint="default"/>
                <w:sz w:val="18"/>
                <w:szCs w:val="18"/>
              </w:rPr>
            </w:pPr>
            <w:r>
              <w:rPr>
                <w:rFonts w:ascii="Times New Roman"/>
                <w:spacing w:val="-1"/>
                <w:sz w:val="18"/>
              </w:rPr>
              <w:t>4,018,105.20</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right"/>
              <w:rPr>
                <w:rFonts w:ascii="Times New Roman" w:hAnsi="Times New Roman" w:cs="Times New Roman" w:eastAsia="Times New Roman" w:hint="default"/>
                <w:sz w:val="18"/>
                <w:szCs w:val="18"/>
              </w:rPr>
            </w:pPr>
            <w:r>
              <w:rPr>
                <w:rFonts w:ascii="Times New Roman"/>
                <w:spacing w:val="-1"/>
                <w:sz w:val="18"/>
              </w:rPr>
              <w:t>15,649,040.56</w:t>
            </w:r>
          </w:p>
        </w:tc>
      </w:tr>
      <w:tr>
        <w:trPr>
          <w:trHeight w:val="269" w:hRule="exact"/>
        </w:trPr>
        <w:tc>
          <w:tcPr>
            <w:tcW w:w="32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17" w:type="dxa"/>
            <w:tcBorders>
              <w:top w:val="single" w:sz="6" w:space="0" w:color="000000"/>
              <w:left w:val="single" w:sz="6" w:space="0" w:color="000000"/>
              <w:bottom w:val="single" w:sz="6" w:space="0" w:color="000000"/>
              <w:right w:val="single" w:sz="6" w:space="0" w:color="000000"/>
            </w:tcBorders>
          </w:tcPr>
          <w:p>
            <w:pP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
              <w:jc w:val="right"/>
              <w:rPr>
                <w:rFonts w:ascii="Times New Roman" w:hAnsi="Times New Roman" w:cs="Times New Roman" w:eastAsia="Times New Roman" w:hint="default"/>
                <w:sz w:val="18"/>
                <w:szCs w:val="18"/>
              </w:rPr>
            </w:pPr>
            <w:r>
              <w:rPr>
                <w:rFonts w:ascii="Times New Roman"/>
                <w:spacing w:val="-1"/>
                <w:sz w:val="18"/>
              </w:rPr>
              <w:t>567,903.62</w:t>
            </w:r>
          </w:p>
        </w:tc>
      </w:tr>
    </w:tbl>
    <w:p>
      <w:pPr>
        <w:pStyle w:val="BodyText"/>
        <w:spacing w:line="203" w:lineRule="exact"/>
        <w:ind w:left="513" w:right="1055"/>
        <w:jc w:val="left"/>
      </w:pPr>
      <w:r>
        <w:rPr>
          <w:spacing w:val="-3"/>
        </w:rPr>
        <w:t>公司密切关注汇率变动对公司外汇风险的影响</w:t>
      </w:r>
    </w:p>
    <w:p>
      <w:pPr>
        <w:spacing w:before="115"/>
        <w:ind w:left="513" w:right="105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、信用风险</w:t>
      </w:r>
      <w:r>
        <w:rPr>
          <w:rFonts w:ascii="宋体" w:hAnsi="宋体" w:cs="宋体" w:eastAsia="宋体" w:hint="default"/>
          <w:sz w:val="18"/>
          <w:szCs w:val="18"/>
        </w:rPr>
      </w:r>
    </w:p>
    <w:p>
      <w:pPr>
        <w:pStyle w:val="BodyText"/>
        <w:spacing w:line="357" w:lineRule="auto" w:before="115"/>
        <w:ind w:right="1055" w:firstLine="360"/>
        <w:jc w:val="left"/>
      </w:pPr>
      <w:r>
        <w:rPr>
          <w:rFonts w:ascii="宋体" w:hAnsi="宋体" w:cs="宋体" w:eastAsia="宋体" w:hint="default"/>
          <w:spacing w:val="-4"/>
          <w:w w:val="101"/>
        </w:rPr>
        <w:t>2018</w:t>
      </w:r>
      <w:r>
        <w:rPr>
          <w:spacing w:val="-4"/>
          <w:w w:val="101"/>
        </w:rPr>
        <w:t>年</w:t>
      </w:r>
      <w:r>
        <w:rPr>
          <w:rFonts w:ascii="宋体" w:hAnsi="宋体" w:cs="宋体" w:eastAsia="宋体" w:hint="default"/>
          <w:spacing w:val="-4"/>
          <w:w w:val="101"/>
        </w:rPr>
        <w:t>12</w:t>
      </w:r>
      <w:r>
        <w:rPr>
          <w:spacing w:val="-4"/>
          <w:w w:val="101"/>
        </w:rPr>
        <w:t>月</w:t>
      </w:r>
      <w:r>
        <w:rPr>
          <w:rFonts w:ascii="宋体" w:hAnsi="宋体" w:cs="宋体" w:eastAsia="宋体" w:hint="default"/>
          <w:spacing w:val="-4"/>
          <w:w w:val="101"/>
        </w:rPr>
        <w:t>31</w:t>
      </w:r>
      <w:r>
        <w:rPr>
          <w:spacing w:val="-4"/>
          <w:w w:val="101"/>
        </w:rPr>
        <w:t>日，可能引起本公司财务损失的最大信用风险敞口主要来自于合同另一方未能履行义务而导致本公司金融</w:t>
      </w:r>
      <w:r>
        <w:rPr>
          <w:w w:val="101"/>
        </w:rPr>
        <w:t> </w:t>
      </w:r>
      <w:r>
        <w:rPr>
          <w:spacing w:val="-3"/>
        </w:rPr>
        <w:t>资产产生的损失以及本公司承担的财务担保，具体包括：合并资产负债表中已确认的金融资产的账面金额。</w:t>
      </w:r>
    </w:p>
    <w:p>
      <w:pPr>
        <w:pStyle w:val="BodyText"/>
        <w:spacing w:line="357" w:lineRule="auto" w:before="26"/>
        <w:ind w:right="1124" w:firstLine="360"/>
        <w:jc w:val="both"/>
      </w:pPr>
      <w:r>
        <w:rPr>
          <w:spacing w:val="-4"/>
        </w:rPr>
        <w:t>为降低信用风险，本公司对每项金融资产确定信用额度、进行信用审批，并执行其他监控程序以确保采取必要的措施回</w:t>
      </w:r>
      <w:r>
        <w:rPr>
          <w:w w:val="101"/>
        </w:rPr>
        <w:t> </w:t>
      </w:r>
      <w:r>
        <w:rPr>
          <w:spacing w:val="-4"/>
        </w:rPr>
        <w:t>收过期债权。此外，本公司于每个资产负债表日审核每一单项应收款的回收情况，以确保就无法回收的款项计提充分的坏账</w:t>
      </w:r>
      <w:r>
        <w:rPr>
          <w:spacing w:val="43"/>
        </w:rPr>
        <w:t> </w:t>
      </w:r>
      <w:r>
        <w:rPr>
          <w:spacing w:val="43"/>
        </w:rPr>
      </w:r>
      <w:r>
        <w:rPr>
          <w:spacing w:val="-3"/>
        </w:rPr>
        <w:t>准备。因此，本公司管理层认为本公司所承担的信用风险已经大为降低。</w:t>
      </w:r>
    </w:p>
    <w:p>
      <w:pPr>
        <w:pStyle w:val="BodyText"/>
        <w:spacing w:line="357" w:lineRule="auto" w:before="22"/>
        <w:ind w:left="513" w:right="2115"/>
        <w:jc w:val="left"/>
        <w:rPr>
          <w:rFonts w:ascii="宋体" w:hAnsi="宋体" w:cs="宋体" w:eastAsia="宋体" w:hint="default"/>
        </w:rPr>
      </w:pPr>
      <w:r>
        <w:rPr>
          <w:spacing w:val="-3"/>
        </w:rPr>
        <w:t>本公司的流动资金存放在信用评级较高的银行，故流动资金的信用风险较低。</w:t>
      </w:r>
      <w:r>
        <w:rPr>
          <w:spacing w:val="8"/>
        </w:rPr>
        <w:t> </w:t>
      </w:r>
      <w:r>
        <w:rPr>
          <w:spacing w:val="8"/>
        </w:rPr>
      </w:r>
      <w:r>
        <w:rPr>
          <w:spacing w:val="-3"/>
        </w:rPr>
        <w:t>本公司采用了必要的政策确保所有销售客户均具有良好的信用记录。本公司无重大信用集中风险。</w:t>
      </w:r>
      <w:r>
        <w:rPr>
          <w:spacing w:val="37"/>
        </w:rPr>
        <w:t> </w:t>
      </w:r>
      <w:r>
        <w:rPr>
          <w:spacing w:val="37"/>
        </w:rPr>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357" w:lineRule="auto" w:before="26"/>
        <w:ind w:right="1055" w:firstLine="360"/>
        <w:jc w:val="left"/>
      </w:pPr>
      <w:r>
        <w:rPr>
          <w:spacing w:val="-4"/>
        </w:rPr>
        <w:t>管理流动风险时，本公司保持管理层认为充分的现金及现金等价物并对其进行监控，以满足本公司经营需要，并降低现</w:t>
      </w:r>
      <w:r>
        <w:rPr>
          <w:w w:val="101"/>
        </w:rPr>
        <w:t> </w:t>
      </w:r>
      <w:r>
        <w:rPr>
          <w:spacing w:val="-3"/>
        </w:rPr>
        <w:t>金流量波动的影响。</w:t>
      </w:r>
    </w:p>
    <w:p>
      <w:pPr>
        <w:pStyle w:val="BodyText"/>
        <w:spacing w:line="240" w:lineRule="auto" w:before="26"/>
        <w:ind w:left="513" w:right="1055"/>
        <w:jc w:val="left"/>
      </w:pPr>
      <w:r>
        <w:rPr>
          <w:spacing w:val="-3"/>
        </w:rPr>
        <w:t>本公司持有的金融负债按未折现剩余合同义务的到期期限分析如下：</w:t>
      </w:r>
    </w:p>
    <w:p>
      <w:pPr>
        <w:spacing w:line="240" w:lineRule="auto" w:before="8"/>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4821"/>
        <w:gridCol w:w="4821"/>
      </w:tblGrid>
      <w:tr>
        <w:trPr>
          <w:trHeight w:val="264" w:hRule="exact"/>
        </w:trPr>
        <w:tc>
          <w:tcPr>
            <w:tcW w:w="48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r>
      <w:tr>
        <w:trPr>
          <w:trHeight w:val="269" w:hRule="exact"/>
        </w:trPr>
        <w:tc>
          <w:tcPr>
            <w:tcW w:w="48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4821"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48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right"/>
              <w:rPr>
                <w:rFonts w:ascii="Times New Roman" w:hAnsi="Times New Roman" w:cs="Times New Roman" w:eastAsia="Times New Roman" w:hint="default"/>
                <w:sz w:val="18"/>
                <w:szCs w:val="18"/>
              </w:rPr>
            </w:pPr>
            <w:r>
              <w:rPr>
                <w:rFonts w:ascii="Times New Roman"/>
                <w:spacing w:val="-1"/>
                <w:sz w:val="18"/>
              </w:rPr>
              <w:t>287,900,000.00</w:t>
            </w:r>
          </w:p>
        </w:tc>
      </w:tr>
      <w:tr>
        <w:trPr>
          <w:trHeight w:val="269" w:hRule="exact"/>
        </w:trPr>
        <w:tc>
          <w:tcPr>
            <w:tcW w:w="48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r>
              <w:rPr>
                <w:rFonts w:ascii="宋体" w:hAnsi="宋体" w:cs="宋体" w:eastAsia="宋体" w:hint="default"/>
                <w:sz w:val="18"/>
                <w:szCs w:val="18"/>
              </w:rPr>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right"/>
              <w:rPr>
                <w:rFonts w:ascii="Times New Roman" w:hAnsi="Times New Roman" w:cs="Times New Roman" w:eastAsia="Times New Roman" w:hint="default"/>
                <w:sz w:val="18"/>
                <w:szCs w:val="18"/>
              </w:rPr>
            </w:pPr>
            <w:r>
              <w:rPr>
                <w:rFonts w:ascii="Times New Roman"/>
                <w:spacing w:val="-1"/>
                <w:sz w:val="18"/>
              </w:rPr>
              <w:t>101,285,276.21</w:t>
            </w:r>
          </w:p>
        </w:tc>
      </w:tr>
      <w:tr>
        <w:trPr>
          <w:trHeight w:val="264" w:hRule="exact"/>
        </w:trPr>
        <w:tc>
          <w:tcPr>
            <w:tcW w:w="48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right"/>
              <w:rPr>
                <w:rFonts w:ascii="Times New Roman" w:hAnsi="Times New Roman" w:cs="Times New Roman" w:eastAsia="Times New Roman" w:hint="default"/>
                <w:sz w:val="18"/>
                <w:szCs w:val="18"/>
              </w:rPr>
            </w:pPr>
            <w:r>
              <w:rPr>
                <w:rFonts w:ascii="Times New Roman"/>
                <w:spacing w:val="-1"/>
                <w:sz w:val="18"/>
              </w:rPr>
              <w:t>18,882,268.06</w:t>
            </w:r>
          </w:p>
        </w:tc>
      </w:tr>
    </w:tbl>
    <w:p>
      <w:pPr>
        <w:spacing w:line="240" w:lineRule="auto" w:before="1"/>
        <w:rPr>
          <w:rFonts w:ascii="宋体" w:hAnsi="宋体" w:cs="宋体" w:eastAsia="宋体" w:hint="default"/>
          <w:sz w:val="10"/>
          <w:szCs w:val="10"/>
        </w:rPr>
      </w:pPr>
    </w:p>
    <w:p>
      <w:pPr>
        <w:pStyle w:val="BodyText"/>
        <w:spacing w:line="240" w:lineRule="auto" w:before="46"/>
        <w:ind w:right="1055"/>
        <w:jc w:val="left"/>
      </w:pPr>
      <w:r>
        <w:rPr>
          <w:spacing w:val="-3"/>
        </w:rPr>
        <w:t>本企业的母公司情况的说明</w:t>
      </w:r>
    </w:p>
    <w:p>
      <w:pPr>
        <w:spacing w:after="0" w:line="240" w:lineRule="auto"/>
        <w:jc w:val="left"/>
        <w:sectPr>
          <w:headerReference w:type="default" r:id="rId35"/>
          <w:footerReference w:type="default" r:id="rId36"/>
          <w:pgSz w:w="11910" w:h="16840"/>
          <w:pgMar w:header="871" w:footer="1186" w:top="1100" w:bottom="1380" w:left="980" w:right="0"/>
          <w:pgNumType w:start="156"/>
        </w:sectPr>
      </w:pPr>
    </w:p>
    <w:p>
      <w:pPr>
        <w:spacing w:line="240" w:lineRule="auto" w:before="7"/>
        <w:rPr>
          <w:rFonts w:ascii="宋体" w:hAnsi="宋体" w:cs="宋体" w:eastAsia="宋体" w:hint="default"/>
          <w:sz w:val="18"/>
          <w:szCs w:val="18"/>
        </w:rPr>
      </w:pPr>
    </w:p>
    <w:p>
      <w:pPr>
        <w:pStyle w:val="BodyText"/>
        <w:spacing w:line="240" w:lineRule="auto" w:before="46"/>
        <w:ind w:left="513" w:right="1055"/>
        <w:jc w:val="left"/>
      </w:pPr>
      <w:r>
        <w:rPr>
          <w:spacing w:val="-3"/>
        </w:rPr>
        <w:t>本企业最终控制方是张学君、陈向军、李军。</w:t>
      </w:r>
    </w:p>
    <w:p>
      <w:pPr>
        <w:pStyle w:val="BodyText"/>
        <w:spacing w:line="235" w:lineRule="exact" w:before="115"/>
        <w:ind w:right="1055"/>
        <w:jc w:val="left"/>
      </w:pPr>
      <w:r>
        <w:rPr/>
        <w:t>其他说明：</w:t>
      </w:r>
    </w:p>
    <w:p>
      <w:pPr>
        <w:pStyle w:val="BodyText"/>
        <w:spacing w:line="240" w:lineRule="auto"/>
        <w:ind w:left="513" w:right="1055"/>
        <w:jc w:val="left"/>
      </w:pPr>
      <w:r>
        <w:rPr>
          <w:spacing w:val="-3"/>
        </w:rPr>
        <w:t>张学君、陈向军、李军三人以一致行动人的方式对公司实施共同控制，为本公司控股股东和实际控制人。</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055"/>
        <w:jc w:val="left"/>
        <w:rPr>
          <w:b w:val="0"/>
          <w:bCs w:val="0"/>
        </w:rPr>
      </w:pPr>
      <w:r>
        <w:rPr/>
        <w:t>十一、关联方及关联交易</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5"/>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9"/>
        <w:gridCol w:w="1595"/>
        <w:gridCol w:w="1594"/>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432" w:right="66" w:hanging="361"/>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3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张学君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18.98%</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陈向军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
              <w:jc w:val="right"/>
              <w:rPr>
                <w:rFonts w:ascii="Times New Roman" w:hAnsi="Times New Roman" w:cs="Times New Roman" w:eastAsia="Times New Roman" w:hint="default"/>
                <w:sz w:val="18"/>
                <w:szCs w:val="18"/>
              </w:rPr>
            </w:pPr>
            <w:r>
              <w:rPr>
                <w:rFonts w:ascii="Times New Roman"/>
                <w:spacing w:val="-1"/>
                <w:sz w:val="18"/>
              </w:rPr>
              <w:t>8.16%</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8.16%</w:t>
            </w:r>
          </w:p>
        </w:tc>
      </w:tr>
    </w:tbl>
    <w:p>
      <w:pPr>
        <w:pStyle w:val="BodyText"/>
        <w:spacing w:line="278" w:lineRule="auto" w:before="10"/>
        <w:ind w:left="513" w:right="1055" w:hanging="360"/>
        <w:jc w:val="left"/>
      </w:pPr>
      <w:r>
        <w:rPr>
          <w:spacing w:val="-3"/>
        </w:rPr>
        <w:t>本企业的母公司情况的说明</w:t>
      </w:r>
      <w:r>
        <w:rPr>
          <w:spacing w:val="-51"/>
        </w:rPr>
        <w:t> </w:t>
      </w:r>
      <w:r>
        <w:rPr>
          <w:spacing w:val="-51"/>
        </w:rPr>
      </w:r>
      <w:r>
        <w:rPr>
          <w:spacing w:val="-3"/>
        </w:rPr>
        <w:t>张学君、陈向军、李军三人以一致行动人的方式对公司实施共同控制，为本公司控股股东和实际控制人。</w:t>
      </w:r>
    </w:p>
    <w:p>
      <w:pPr>
        <w:pStyle w:val="BodyText"/>
        <w:spacing w:line="240" w:lineRule="auto" w:before="130"/>
        <w:ind w:right="1055"/>
        <w:jc w:val="left"/>
      </w:pPr>
      <w:r>
        <w:rPr>
          <w:spacing w:val="-3"/>
        </w:rPr>
        <w:t>本企业最终控制方是张学君、陈向军、李军。</w:t>
      </w:r>
    </w:p>
    <w:p>
      <w:pPr>
        <w:spacing w:line="240" w:lineRule="auto" w:before="11"/>
        <w:rPr>
          <w:rFonts w:ascii="宋体" w:hAnsi="宋体" w:cs="宋体" w:eastAsia="宋体" w:hint="default"/>
          <w:sz w:val="21"/>
          <w:szCs w:val="21"/>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spacing w:val="-3"/>
        </w:rPr>
        <w:t>本企业子公司的情况详见附注九、</w:t>
      </w:r>
      <w:r>
        <w:rPr>
          <w:rFonts w:ascii="宋体" w:hAnsi="宋体" w:cs="宋体" w:eastAsia="宋体" w:hint="default"/>
          <w:spacing w:val="-3"/>
        </w:rPr>
        <w:t>1</w:t>
      </w:r>
      <w:r>
        <w:rPr>
          <w:spacing w:val="-3"/>
        </w:rPr>
        <w:t>、在子公司中的权益。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2"/>
        <w:rPr>
          <w:rFonts w:ascii="宋体" w:hAnsi="宋体" w:cs="宋体" w:eastAsia="宋体" w:hint="default"/>
          <w:b/>
          <w:bCs/>
          <w:sz w:val="21"/>
          <w:szCs w:val="21"/>
        </w:rPr>
      </w:pPr>
    </w:p>
    <w:p>
      <w:pPr>
        <w:pStyle w:val="BodyText"/>
        <w:spacing w:line="400" w:lineRule="auto"/>
        <w:ind w:right="1055" w:firstLine="360"/>
        <w:jc w:val="left"/>
      </w:pPr>
      <w:r>
        <w:rPr/>
        <w:pict>
          <v:shape style="position:absolute;margin-left:56.424pt;margin-top:34.991749pt;width:479.25pt;height:113.6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8"/>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百可录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国誉创富国际金融服务（深圳）有限公司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p>
              </w:txbxContent>
            </v:textbox>
            <w10:wrap type="none"/>
          </v:shape>
        </w:pict>
      </w:r>
      <w:r>
        <w:rPr>
          <w:spacing w:val="-3"/>
        </w:rPr>
        <w:t>本企业重要的合营或联营企业详见附注九、</w:t>
      </w:r>
      <w:r>
        <w:rPr>
          <w:rFonts w:ascii="宋体" w:hAnsi="宋体" w:cs="宋体" w:eastAsia="宋体" w:hint="default"/>
          <w:spacing w:val="-3"/>
        </w:rPr>
        <w:t>2</w:t>
      </w:r>
      <w:r>
        <w:rPr>
          <w:spacing w:val="-3"/>
        </w:rPr>
        <w:t>、在合营安排或联营企业中的权益。</w:t>
      </w:r>
      <w:r>
        <w:rPr>
          <w:w w:val="101"/>
        </w:rPr>
        <w:t> </w:t>
      </w:r>
      <w:r>
        <w:rPr>
          <w:spacing w:val="-3"/>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3"/>
        <w:spacing w:line="240" w:lineRule="auto" w:before="36"/>
        <w:ind w:right="1055"/>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本公司之董事</w:t>
            </w:r>
          </w:p>
        </w:tc>
      </w:tr>
      <w:tr>
        <w:trPr>
          <w:trHeight w:val="3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刘佳</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本公司之董事冯军配偶</w:t>
            </w:r>
          </w:p>
        </w:tc>
      </w:tr>
    </w:tbl>
    <w:p>
      <w:pPr>
        <w:pStyle w:val="BodyText"/>
        <w:spacing w:line="240" w:lineRule="auto" w:before="10"/>
        <w:ind w:right="1055"/>
        <w:jc w:val="left"/>
      </w:pPr>
      <w:r>
        <w:rPr/>
        <w:t>其他说明</w:t>
      </w:r>
    </w:p>
    <w:p>
      <w:pPr>
        <w:pStyle w:val="BodyText"/>
        <w:spacing w:line="240" w:lineRule="auto" w:before="33"/>
        <w:ind w:left="513" w:right="1055"/>
        <w:jc w:val="left"/>
      </w:pPr>
      <w:r>
        <w:rPr/>
        <w:t>本公司无其他关联方。</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right="105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10"/>
        <w:gridCol w:w="1709"/>
      </w:tblGrid>
      <w:tr>
        <w:trPr>
          <w:trHeight w:val="32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60"/>
              <w:jc w:val="left"/>
              <w:rPr>
                <w:rFonts w:ascii="宋体" w:hAnsi="宋体" w:cs="宋体" w:eastAsia="宋体" w:hint="default"/>
                <w:sz w:val="18"/>
                <w:szCs w:val="18"/>
              </w:rPr>
            </w:pPr>
            <w:r>
              <w:rPr>
                <w:rFonts w:ascii="宋体" w:hAnsi="宋体" w:cs="宋体" w:eastAsia="宋体" w:hint="default"/>
                <w:spacing w:val="-2"/>
                <w:sz w:val="18"/>
                <w:szCs w:val="18"/>
              </w:rPr>
              <w:t>深圳票联金融服务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3,547.01</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84,615.38</w:t>
            </w: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7"/>
              <w:ind w:left="24" w:right="127"/>
              <w:jc w:val="left"/>
              <w:rPr>
                <w:rFonts w:ascii="宋体" w:hAnsi="宋体" w:cs="宋体" w:eastAsia="宋体" w:hint="default"/>
                <w:sz w:val="18"/>
                <w:szCs w:val="18"/>
              </w:rPr>
            </w:pPr>
            <w:r>
              <w:rPr>
                <w:rFonts w:ascii="宋体" w:hAnsi="宋体" w:cs="宋体" w:eastAsia="宋体" w:hint="default"/>
                <w:spacing w:val="-3"/>
                <w:sz w:val="18"/>
                <w:szCs w:val="18"/>
              </w:rPr>
              <w:t>百可录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w:t>
            </w:r>
            <w:r>
              <w:rPr>
                <w:rFonts w:ascii="宋体" w:hAnsi="宋体" w:cs="宋体" w:eastAsia="宋体" w:hint="default"/>
                <w:spacing w:val="-69"/>
                <w:sz w:val="18"/>
                <w:szCs w:val="18"/>
              </w:rPr>
              <w:t> </w:t>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45,341.22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数据服务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4,459,979.25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2,189,711.32</w:t>
            </w:r>
          </w:p>
        </w:tc>
      </w:tr>
    </w:tbl>
    <w:p>
      <w:pPr>
        <w:pStyle w:val="BodyText"/>
        <w:spacing w:line="240" w:lineRule="auto" w:before="10"/>
        <w:ind w:right="105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322"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北京华道征信有限公司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数据服务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技术服务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20,742,355.97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13,214,937.27</w:t>
            </w:r>
          </w:p>
        </w:tc>
      </w:tr>
      <w:tr>
        <w:trPr>
          <w:trHeight w:val="32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电信服务费</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1,719,804.22</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181,143.59</w:t>
            </w:r>
          </w:p>
        </w:tc>
      </w:tr>
      <w:tr>
        <w:trPr>
          <w:trHeight w:val="32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100.09</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7"/>
              <w:jc w:val="left"/>
              <w:rPr>
                <w:rFonts w:ascii="宋体" w:hAnsi="宋体" w:cs="宋体" w:eastAsia="宋体" w:hint="default"/>
                <w:sz w:val="18"/>
                <w:szCs w:val="18"/>
              </w:rPr>
            </w:pPr>
            <w:r>
              <w:rPr>
                <w:rFonts w:ascii="宋体" w:hAnsi="宋体" w:cs="宋体" w:eastAsia="宋体" w:hint="default"/>
                <w:spacing w:val="-3"/>
                <w:sz w:val="18"/>
                <w:szCs w:val="18"/>
              </w:rPr>
              <w:t>福建片仔癀银之杰健康管理有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7"/>
              <w:ind w:left="24" w:right="76"/>
              <w:jc w:val="left"/>
              <w:rPr>
                <w:rFonts w:ascii="宋体" w:hAnsi="宋体" w:cs="宋体" w:eastAsia="宋体" w:hint="default"/>
                <w:sz w:val="18"/>
                <w:szCs w:val="18"/>
              </w:rPr>
            </w:pPr>
            <w:r>
              <w:rPr>
                <w:rFonts w:ascii="宋体" w:hAnsi="宋体" w:cs="宋体" w:eastAsia="宋体" w:hint="default"/>
                <w:spacing w:val="-3"/>
                <w:sz w:val="18"/>
                <w:szCs w:val="18"/>
              </w:rPr>
              <w:t>国誉创富国际金融服务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提供劳务服务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1,047.13</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销售商品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电信服务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24,764.48</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百可录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电信服务费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65,863.79</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18,535.83</w:t>
            </w:r>
          </w:p>
        </w:tc>
      </w:tr>
    </w:tbl>
    <w:p>
      <w:pPr>
        <w:pStyle w:val="BodyText"/>
        <w:spacing w:line="240" w:lineRule="auto" w:before="10"/>
        <w:ind w:right="1055"/>
        <w:jc w:val="left"/>
      </w:pPr>
      <w:r>
        <w:rPr>
          <w:spacing w:val="-3"/>
        </w:rPr>
        <w:t>购销商品、提供和接受劳务的关联交易说明</w:t>
      </w:r>
    </w:p>
    <w:p>
      <w:pPr>
        <w:spacing w:line="240" w:lineRule="auto" w:before="12"/>
        <w:rPr>
          <w:rFonts w:ascii="宋体" w:hAnsi="宋体" w:cs="宋体" w:eastAsia="宋体" w:hint="default"/>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2"/>
          <w:szCs w:val="22"/>
        </w:rPr>
      </w:pPr>
    </w:p>
    <w:p>
      <w:pPr>
        <w:pStyle w:val="BodyText"/>
        <w:spacing w:line="264" w:lineRule="auto"/>
        <w:ind w:left="513" w:right="8069" w:hanging="360"/>
        <w:jc w:val="left"/>
      </w:pPr>
      <w:r>
        <w:rPr>
          <w:spacing w:val="-2"/>
        </w:rPr>
        <w:t>本公司受托管理</w:t>
      </w:r>
      <w:r>
        <w:rPr>
          <w:rFonts w:ascii="Times New Roman" w:hAnsi="Times New Roman" w:cs="Times New Roman" w:eastAsia="Times New Roman" w:hint="default"/>
          <w:spacing w:val="-2"/>
        </w:rPr>
        <w:t>/</w:t>
      </w:r>
      <w:r>
        <w:rPr>
          <w:spacing w:val="-2"/>
        </w:rPr>
        <w:t>承包情况表：</w:t>
      </w:r>
      <w:r>
        <w:rPr>
          <w:spacing w:val="-59"/>
        </w:rPr>
        <w:t> </w:t>
      </w:r>
      <w:r>
        <w:rPr>
          <w:spacing w:val="-59"/>
        </w:rPr>
      </w:r>
      <w:r>
        <w:rPr/>
        <w:t>无。</w:t>
      </w:r>
    </w:p>
    <w:p>
      <w:pPr>
        <w:pStyle w:val="BodyText"/>
        <w:spacing w:line="259" w:lineRule="auto" w:before="140"/>
        <w:ind w:left="513" w:right="8069" w:hanging="360"/>
        <w:jc w:val="left"/>
      </w:pPr>
      <w:r>
        <w:rPr>
          <w:spacing w:val="-2"/>
        </w:rPr>
        <w:t>本公司委托管理</w:t>
      </w:r>
      <w:r>
        <w:rPr>
          <w:rFonts w:ascii="Times New Roman" w:hAnsi="Times New Roman" w:cs="Times New Roman" w:eastAsia="Times New Roman" w:hint="default"/>
          <w:spacing w:val="-2"/>
        </w:rPr>
        <w:t>/</w:t>
      </w:r>
      <w:r>
        <w:rPr>
          <w:spacing w:val="-2"/>
        </w:rPr>
        <w:t>出包情况表：</w:t>
      </w:r>
      <w:r>
        <w:rPr>
          <w:spacing w:val="-59"/>
        </w:rPr>
        <w:t> </w:t>
      </w:r>
      <w:r>
        <w:rPr>
          <w:spacing w:val="-59"/>
        </w:rPr>
      </w: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right="1055"/>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right="1055"/>
        <w:jc w:val="left"/>
      </w:pPr>
      <w:r>
        <w:rPr/>
        <w:t>本公司作为担保方</w:t>
      </w:r>
    </w:p>
    <w:p>
      <w:pPr>
        <w:pStyle w:val="BodyText"/>
        <w:spacing w:line="240" w:lineRule="auto" w:before="38"/>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75"/>
              <w:jc w:val="left"/>
              <w:rPr>
                <w:rFonts w:ascii="宋体" w:hAnsi="宋体" w:cs="宋体" w:eastAsia="宋体" w:hint="default"/>
                <w:sz w:val="18"/>
                <w:szCs w:val="18"/>
              </w:rPr>
            </w:pPr>
            <w:r>
              <w:rPr>
                <w:rFonts w:ascii="宋体" w:hAnsi="宋体" w:cs="宋体" w:eastAsia="宋体" w:hint="default"/>
                <w:spacing w:val="-2"/>
                <w:sz w:val="18"/>
                <w:szCs w:val="18"/>
              </w:rPr>
              <w:t>安科创新（深圳）有限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1"/>
              <w:jc w:val="center"/>
              <w:rPr>
                <w:rFonts w:ascii="宋体" w:hAnsi="宋体" w:cs="宋体" w:eastAsia="宋体" w:hint="default"/>
                <w:sz w:val="18"/>
                <w:szCs w:val="18"/>
              </w:rPr>
            </w:pPr>
            <w:r>
              <w:rPr>
                <w:rFonts w:ascii="宋体" w:hAnsi="宋体" w:cs="宋体" w:eastAsia="宋体" w:hint="default"/>
                <w:sz w:val="18"/>
                <w:szCs w:val="18"/>
              </w:rPr>
              <w:t>深圳银之杰智慧科技有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1055"/>
        <w:jc w:val="left"/>
      </w:pPr>
      <w:r>
        <w:rPr>
          <w:spacing w:val="-3"/>
        </w:rPr>
        <w:t>本公司作为被担保方</w:t>
      </w:r>
    </w:p>
    <w:p>
      <w:pPr>
        <w:pStyle w:val="BodyText"/>
        <w:spacing w:line="240" w:lineRule="auto" w:before="33"/>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2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冯军、刘佳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冯军、刘佳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冯军、刘佳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21,000,000.00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10"/>
        <w:ind w:left="513" w:right="1122" w:hanging="360"/>
        <w:jc w:val="left"/>
      </w:pPr>
      <w:r>
        <w:rPr/>
        <w:t>关联担保情况说明</w:t>
      </w:r>
      <w:r>
        <w:rPr>
          <w:spacing w:val="-86"/>
        </w:rPr>
        <w:t> </w:t>
      </w:r>
      <w:r>
        <w:rPr>
          <w:spacing w:val="-86"/>
        </w:rPr>
      </w:r>
      <w:r>
        <w:rPr>
          <w:spacing w:val="-4"/>
          <w:w w:val="101"/>
        </w:rPr>
        <w:t>本公司控股子公司深圳银之杰智慧科技有限公司短期借款</w:t>
      </w:r>
      <w:r>
        <w:rPr>
          <w:rFonts w:ascii="宋体" w:hAnsi="宋体" w:cs="宋体" w:eastAsia="宋体" w:hint="default"/>
          <w:spacing w:val="-4"/>
          <w:w w:val="101"/>
        </w:rPr>
        <w:t>2000</w:t>
      </w:r>
      <w:r>
        <w:rPr>
          <w:spacing w:val="-4"/>
          <w:w w:val="101"/>
        </w:rPr>
        <w:t>万元，由深圳市中小企业融资担保有限公司提供连带责任</w:t>
      </w:r>
      <w:r>
        <w:rPr>
          <w:spacing w:val="-4"/>
        </w:rPr>
      </w:r>
    </w:p>
    <w:p>
      <w:pPr>
        <w:pStyle w:val="BodyText"/>
        <w:spacing w:line="240" w:lineRule="auto" w:before="86"/>
        <w:ind w:right="1055"/>
        <w:jc w:val="left"/>
      </w:pPr>
      <w:r>
        <w:rPr>
          <w:spacing w:val="-3"/>
        </w:rPr>
        <w:t>保证，本公司向担保公司提供反担保，承担无限连带责任保证。</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3" w:right="1055"/>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1,236,000.00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1,430,450.00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6</w:t>
      </w:r>
      <w:r>
        <w:rPr/>
        <w:t>、其他关联方情况</w:t>
      </w:r>
      <w:r>
        <w:rPr>
          <w:b w:val="0"/>
          <w:bCs w:val="0"/>
        </w:rPr>
      </w:r>
    </w:p>
    <w:p>
      <w:pPr>
        <w:spacing w:line="240" w:lineRule="auto" w:before="1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冯军</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本公司之董事</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刘佳</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本公司之董事冯军配偶</w:t>
            </w:r>
          </w:p>
        </w:tc>
      </w:tr>
    </w:tbl>
    <w:p>
      <w:pPr>
        <w:pStyle w:val="BodyText"/>
        <w:spacing w:line="240" w:lineRule="auto" w:before="10"/>
        <w:ind w:right="1055"/>
        <w:jc w:val="left"/>
      </w:pPr>
      <w:r>
        <w:rPr/>
        <w:t>其他说明</w:t>
      </w:r>
    </w:p>
    <w:p>
      <w:pPr>
        <w:pStyle w:val="BodyText"/>
        <w:spacing w:line="240" w:lineRule="auto" w:before="38"/>
        <w:ind w:right="1055" w:firstLine="360"/>
        <w:jc w:val="left"/>
      </w:pPr>
      <w:r>
        <w:rPr/>
        <w:t>本公司无其他关联方。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1055"/>
        <w:jc w:val="left"/>
        <w:rPr>
          <w:b w:val="0"/>
          <w:bCs w:val="0"/>
        </w:rPr>
      </w:pPr>
      <w:r>
        <w:rPr>
          <w:rFonts w:ascii="Times New Roman" w:hAnsi="Times New Roman" w:cs="Times New Roman" w:eastAsia="Times New Roman" w:hint="default"/>
        </w:rPr>
        <w:t>7</w:t>
      </w:r>
      <w:r>
        <w:rPr/>
        <w:t>、关联方应收应付款项</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5"/>
        <w:gridCol w:w="1594"/>
      </w:tblGrid>
      <w:tr>
        <w:trPr>
          <w:trHeight w:val="326"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118"/>
              <w:jc w:val="left"/>
              <w:rPr>
                <w:rFonts w:ascii="宋体" w:hAnsi="宋体" w:cs="宋体" w:eastAsia="宋体" w:hint="default"/>
                <w:sz w:val="18"/>
                <w:szCs w:val="18"/>
              </w:rPr>
            </w:pPr>
            <w:r>
              <w:rPr>
                <w:rFonts w:ascii="宋体" w:hAnsi="宋体" w:cs="宋体" w:eastAsia="宋体" w:hint="default"/>
                <w:spacing w:val="-2"/>
                <w:sz w:val="18"/>
                <w:szCs w:val="18"/>
              </w:rPr>
              <w:t>深圳票联金融服务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2,197,559.62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439,511.92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2,197,559.62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219,755.96</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5"/>
        <w:gridCol w:w="1594"/>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38,519,915.04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3,028,521.75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16,688,728.98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968,481.22</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118"/>
              <w:jc w:val="left"/>
              <w:rPr>
                <w:rFonts w:ascii="宋体" w:hAnsi="宋体" w:cs="宋体" w:eastAsia="宋体" w:hint="default"/>
                <w:sz w:val="18"/>
                <w:szCs w:val="18"/>
              </w:rPr>
            </w:pPr>
            <w:r>
              <w:rPr>
                <w:rFonts w:ascii="宋体" w:hAnsi="宋体" w:cs="宋体" w:eastAsia="宋体" w:hint="default"/>
                <w:spacing w:val="-2"/>
                <w:sz w:val="18"/>
                <w:szCs w:val="18"/>
              </w:rPr>
              <w:t>福建片仔癀银之杰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183,100.94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83,235.32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183,100.94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16,924.24</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118"/>
              <w:jc w:val="left"/>
              <w:rPr>
                <w:rFonts w:ascii="宋体" w:hAnsi="宋体" w:cs="宋体" w:eastAsia="宋体" w:hint="default"/>
                <w:sz w:val="18"/>
                <w:szCs w:val="18"/>
              </w:rPr>
            </w:pPr>
            <w:r>
              <w:rPr>
                <w:rFonts w:ascii="宋体" w:hAnsi="宋体" w:cs="宋体" w:eastAsia="宋体" w:hint="default"/>
                <w:spacing w:val="-2"/>
                <w:sz w:val="18"/>
                <w:szCs w:val="18"/>
              </w:rPr>
              <w:t>易安财产保险股份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363,165.66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18,158.28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7"/>
              <w:ind w:left="23" w:right="118"/>
              <w:jc w:val="both"/>
              <w:rPr>
                <w:rFonts w:ascii="宋体" w:hAnsi="宋体" w:cs="宋体" w:eastAsia="宋体" w:hint="default"/>
                <w:sz w:val="18"/>
                <w:szCs w:val="18"/>
              </w:rPr>
            </w:pPr>
            <w:r>
              <w:rPr>
                <w:rFonts w:ascii="宋体" w:hAnsi="宋体" w:cs="宋体" w:eastAsia="宋体" w:hint="default"/>
                <w:spacing w:val="-2"/>
                <w:sz w:val="18"/>
                <w:szCs w:val="18"/>
              </w:rPr>
              <w:t>国誉创富国际金融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w:t>
            </w:r>
            <w:r>
              <w:rPr>
                <w:rFonts w:ascii="宋体" w:hAnsi="宋体" w:cs="宋体" w:eastAsia="宋体" w:hint="default"/>
                <w:w w:val="101"/>
                <w:sz w:val="18"/>
                <w:szCs w:val="18"/>
              </w:rPr>
              <w:t> </w:t>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55.50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41,264,851.21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3,569,482.77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19,069,389.54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1,205,161.42</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3" w:right="118"/>
              <w:jc w:val="left"/>
              <w:rPr>
                <w:rFonts w:ascii="宋体" w:hAnsi="宋体" w:cs="宋体" w:eastAsia="宋体" w:hint="default"/>
                <w:sz w:val="18"/>
                <w:szCs w:val="18"/>
              </w:rPr>
            </w:pPr>
            <w:r>
              <w:rPr>
                <w:rFonts w:ascii="宋体" w:hAnsi="宋体" w:cs="宋体" w:eastAsia="宋体" w:hint="default"/>
                <w:spacing w:val="-2"/>
                <w:sz w:val="18"/>
                <w:szCs w:val="18"/>
              </w:rPr>
              <w:t>国誉创富国际金融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w:t>
            </w:r>
            <w:r>
              <w:rPr>
                <w:rFonts w:ascii="宋体" w:hAnsi="宋体" w:cs="宋体" w:eastAsia="宋体" w:hint="default"/>
                <w:w w:val="101"/>
                <w:sz w:val="18"/>
                <w:szCs w:val="18"/>
              </w:rPr>
              <w:t> </w:t>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785,000.00</w:t>
            </w:r>
          </w:p>
        </w:tc>
      </w:tr>
      <w:tr>
        <w:trPr>
          <w:trHeight w:val="3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1,882,500.00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15,700,000.00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785,000.00</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北京华道征信有限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13,638,753.00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915,180.00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13,638,753.00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915,180.00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2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345,562.39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342,015.38</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百可录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31,687.60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377,249.99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342,015.38</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易安财产保险股份有限公司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43,153.03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168,855.99</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百可录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23,536.40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43,352.02</w:t>
            </w: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深圳票联金融服务有限公司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4,893.90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东亚前海证券有限责任公司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99,792.76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171,376.09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212,208.01</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7"/>
              <w:ind w:left="23" w:right="76"/>
              <w:jc w:val="left"/>
              <w:rPr>
                <w:rFonts w:ascii="宋体" w:hAnsi="宋体" w:cs="宋体" w:eastAsia="宋体" w:hint="default"/>
                <w:sz w:val="18"/>
                <w:szCs w:val="18"/>
              </w:rPr>
            </w:pPr>
            <w:r>
              <w:rPr>
                <w:rFonts w:ascii="宋体" w:hAnsi="宋体" w:cs="宋体" w:eastAsia="宋体" w:hint="default"/>
                <w:spacing w:val="-3"/>
                <w:sz w:val="18"/>
                <w:szCs w:val="18"/>
              </w:rPr>
              <w:t>国誉创富国际金融服务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10,853,000.00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49,333,000.00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10,853,000.00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49,333,000.00</w:t>
            </w:r>
          </w:p>
        </w:tc>
      </w:tr>
    </w:tbl>
    <w:p>
      <w:pPr>
        <w:spacing w:line="240" w:lineRule="auto" w:before="9"/>
        <w:rPr>
          <w:rFonts w:ascii="宋体" w:hAnsi="宋体" w:cs="宋体" w:eastAsia="宋体" w:hint="default"/>
          <w:sz w:val="17"/>
          <w:szCs w:val="17"/>
        </w:rPr>
      </w:pPr>
    </w:p>
    <w:p>
      <w:pPr>
        <w:pStyle w:val="Heading2"/>
        <w:spacing w:line="240" w:lineRule="auto" w:before="26"/>
        <w:ind w:right="1055"/>
        <w:jc w:val="left"/>
        <w:rPr>
          <w:b w:val="0"/>
          <w:bCs w:val="0"/>
        </w:rPr>
      </w:pPr>
      <w:r>
        <w:rPr/>
        <w:t>十二、承诺及或有事项</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left="513" w:right="3882" w:hanging="360"/>
        <w:jc w:val="left"/>
      </w:pPr>
      <w:r>
        <w:rPr>
          <w:spacing w:val="-3"/>
        </w:rPr>
        <w:t>资产负债表日存在的重要承诺</w:t>
      </w:r>
      <w:r>
        <w:rPr>
          <w:spacing w:val="-50"/>
        </w:rPr>
        <w:t> </w:t>
      </w:r>
      <w:r>
        <w:rPr>
          <w:spacing w:val="-50"/>
        </w:rPr>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日，本公司无需要披露的重大承诺事项。</w:t>
      </w:r>
    </w:p>
    <w:p>
      <w:pPr>
        <w:spacing w:after="0" w:line="278"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t>截至2018年12月31日，本公司无需要披露的重大或有事项。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spacing w:val="-3"/>
        </w:rPr>
        <w:t>公司不存在需要披露的重要或有事项。</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055"/>
        <w:jc w:val="left"/>
        <w:rPr>
          <w:b w:val="0"/>
          <w:bCs w:val="0"/>
        </w:rPr>
      </w:pPr>
      <w:r>
        <w:rPr/>
        <w:t>十三、资产负债表日后事项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327"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14,132,810.70</w:t>
            </w:r>
          </w:p>
        </w:tc>
      </w:tr>
      <w:tr>
        <w:trPr>
          <w:trHeight w:val="32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14,132,810.70</w:t>
            </w:r>
          </w:p>
        </w:tc>
      </w:tr>
    </w:tbl>
    <w:p>
      <w:pPr>
        <w:spacing w:line="240" w:lineRule="auto" w:before="0"/>
        <w:rPr>
          <w:rFonts w:ascii="宋体" w:hAnsi="宋体" w:cs="宋体" w:eastAsia="宋体" w:hint="default"/>
          <w:sz w:val="17"/>
          <w:szCs w:val="17"/>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2"/>
          <w:szCs w:val="22"/>
        </w:rPr>
      </w:pPr>
    </w:p>
    <w:p>
      <w:pPr>
        <w:pStyle w:val="BodyText"/>
        <w:spacing w:line="357" w:lineRule="auto"/>
        <w:ind w:right="1121" w:firstLine="360"/>
        <w:jc w:val="both"/>
      </w:pPr>
      <w:r>
        <w:rPr>
          <w:spacing w:val="-4"/>
        </w:rPr>
        <w:t>财政部于</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31</w:t>
      </w:r>
      <w:r>
        <w:rPr>
          <w:spacing w:val="-4"/>
        </w:rPr>
        <w:t>日分别发布了《企业会计准则第</w:t>
      </w:r>
      <w:r>
        <w:rPr>
          <w:rFonts w:ascii="宋体" w:hAnsi="宋体" w:cs="宋体" w:eastAsia="宋体" w:hint="default"/>
          <w:spacing w:val="-4"/>
        </w:rPr>
        <w:t>22</w:t>
      </w:r>
      <w:r>
        <w:rPr>
          <w:spacing w:val="-4"/>
        </w:rPr>
        <w:t>号——金融工具确认和计量（</w:t>
      </w:r>
      <w:r>
        <w:rPr>
          <w:rFonts w:ascii="宋体" w:hAnsi="宋体" w:cs="宋体" w:eastAsia="宋体" w:hint="default"/>
          <w:spacing w:val="-4"/>
        </w:rPr>
        <w:t>2017</w:t>
      </w:r>
      <w:r>
        <w:rPr>
          <w:spacing w:val="-4"/>
        </w:rPr>
        <w:t>年修订）》（财会〔</w:t>
      </w:r>
      <w:r>
        <w:rPr>
          <w:rFonts w:ascii="宋体" w:hAnsi="宋体" w:cs="宋体" w:eastAsia="宋体" w:hint="default"/>
          <w:spacing w:val="-4"/>
        </w:rPr>
        <w:t>2017</w:t>
      </w:r>
      <w:r>
        <w:rPr>
          <w:spacing w:val="-4"/>
        </w:rPr>
        <w:t>〕</w:t>
      </w:r>
      <w:r>
        <w:rPr>
          <w:rFonts w:ascii="宋体" w:hAnsi="宋体" w:cs="宋体" w:eastAsia="宋体" w:hint="default"/>
          <w:spacing w:val="-4"/>
        </w:rPr>
        <w:t>7</w:t>
      </w:r>
      <w:r>
        <w:rPr>
          <w:rFonts w:ascii="宋体" w:hAnsi="宋体" w:cs="宋体" w:eastAsia="宋体" w:hint="default"/>
          <w:w w:val="101"/>
        </w:rPr>
        <w:t> </w:t>
      </w:r>
      <w:r>
        <w:rPr>
          <w:spacing w:val="-3"/>
        </w:rPr>
        <w:t>号）、《企业会计准则第</w:t>
      </w:r>
      <w:r>
        <w:rPr>
          <w:rFonts w:ascii="宋体" w:hAnsi="宋体" w:cs="宋体" w:eastAsia="宋体" w:hint="default"/>
          <w:spacing w:val="-3"/>
        </w:rPr>
        <w:t>23</w:t>
      </w:r>
      <w:r>
        <w:rPr>
          <w:spacing w:val="-3"/>
        </w:rPr>
        <w:t>号——金融资产转移（</w:t>
      </w:r>
      <w:r>
        <w:rPr>
          <w:rFonts w:ascii="宋体" w:hAnsi="宋体" w:cs="宋体" w:eastAsia="宋体" w:hint="default"/>
          <w:spacing w:val="-3"/>
        </w:rPr>
        <w:t>2017</w:t>
      </w:r>
      <w:r>
        <w:rPr>
          <w:spacing w:val="-3"/>
        </w:rPr>
        <w:t>年修订）》（财会〔</w:t>
      </w:r>
      <w:r>
        <w:rPr>
          <w:rFonts w:ascii="宋体" w:hAnsi="宋体" w:cs="宋体" w:eastAsia="宋体" w:hint="default"/>
          <w:spacing w:val="-3"/>
        </w:rPr>
        <w:t>2017</w:t>
      </w:r>
      <w:r>
        <w:rPr>
          <w:spacing w:val="-3"/>
        </w:rPr>
        <w:t>〕</w:t>
      </w:r>
      <w:r>
        <w:rPr>
          <w:rFonts w:ascii="宋体" w:hAnsi="宋体" w:cs="宋体" w:eastAsia="宋体" w:hint="default"/>
          <w:spacing w:val="-3"/>
        </w:rPr>
        <w:t>8</w:t>
      </w:r>
      <w:r>
        <w:rPr>
          <w:spacing w:val="-3"/>
        </w:rPr>
        <w:t>号）、《企业会计准则第</w:t>
      </w:r>
      <w:r>
        <w:rPr>
          <w:rFonts w:ascii="宋体" w:hAnsi="宋体" w:cs="宋体" w:eastAsia="宋体" w:hint="default"/>
          <w:spacing w:val="-3"/>
        </w:rPr>
        <w:t>24</w:t>
      </w:r>
      <w:r>
        <w:rPr>
          <w:spacing w:val="-3"/>
        </w:rPr>
        <w:t>号——套期</w:t>
      </w:r>
      <w:r>
        <w:rPr>
          <w:spacing w:val="1"/>
        </w:rPr>
        <w:t> </w:t>
      </w:r>
      <w:r>
        <w:rPr>
          <w:spacing w:val="1"/>
        </w:rPr>
      </w:r>
      <w:r>
        <w:rPr>
          <w:spacing w:val="-3"/>
        </w:rPr>
        <w:t>会计（</w:t>
      </w:r>
      <w:r>
        <w:rPr>
          <w:rFonts w:ascii="宋体" w:hAnsi="宋体" w:cs="宋体" w:eastAsia="宋体" w:hint="default"/>
          <w:spacing w:val="-3"/>
        </w:rPr>
        <w:t>2017</w:t>
      </w:r>
      <w:r>
        <w:rPr>
          <w:spacing w:val="-3"/>
        </w:rPr>
        <w:t>年修订）》（财会〔</w:t>
      </w:r>
      <w:r>
        <w:rPr>
          <w:rFonts w:ascii="宋体" w:hAnsi="宋体" w:cs="宋体" w:eastAsia="宋体" w:hint="default"/>
          <w:spacing w:val="-3"/>
        </w:rPr>
        <w:t>2017</w:t>
      </w:r>
      <w:r>
        <w:rPr>
          <w:spacing w:val="-3"/>
        </w:rPr>
        <w:t>〕</w:t>
      </w:r>
      <w:r>
        <w:rPr>
          <w:rFonts w:ascii="宋体" w:hAnsi="宋体" w:cs="宋体" w:eastAsia="宋体" w:hint="default"/>
          <w:spacing w:val="-3"/>
        </w:rPr>
        <w:t>9</w:t>
      </w:r>
      <w:r>
        <w:rPr>
          <w:spacing w:val="-3"/>
        </w:rPr>
        <w:t>号），于</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w:t>
      </w:r>
      <w:r>
        <w:rPr>
          <w:spacing w:val="-3"/>
        </w:rPr>
        <w:t>日发布了《企业会计准则第</w:t>
      </w:r>
      <w:r>
        <w:rPr>
          <w:rFonts w:ascii="宋体" w:hAnsi="宋体" w:cs="宋体" w:eastAsia="宋体" w:hint="default"/>
          <w:spacing w:val="-3"/>
        </w:rPr>
        <w:t>37</w:t>
      </w:r>
      <w:r>
        <w:rPr>
          <w:spacing w:val="-3"/>
        </w:rPr>
        <w:t>号——金融工具列报（</w:t>
      </w:r>
      <w:r>
        <w:rPr>
          <w:rFonts w:ascii="宋体" w:hAnsi="宋体" w:cs="宋体" w:eastAsia="宋体" w:hint="default"/>
          <w:spacing w:val="-3"/>
        </w:rPr>
        <w:t>2017</w:t>
      </w:r>
      <w:r>
        <w:rPr>
          <w:spacing w:val="-3"/>
        </w:rPr>
        <w:t>年修</w:t>
      </w:r>
      <w:r>
        <w:rPr>
          <w:spacing w:val="5"/>
        </w:rPr>
        <w:t> </w:t>
      </w:r>
      <w:r>
        <w:rPr>
          <w:spacing w:val="-4"/>
        </w:rPr>
        <w:t>订）》（财会〔</w:t>
      </w:r>
      <w:r>
        <w:rPr>
          <w:rFonts w:ascii="宋体" w:hAnsi="宋体" w:cs="宋体" w:eastAsia="宋体" w:hint="default"/>
          <w:spacing w:val="-4"/>
        </w:rPr>
        <w:t>2017</w:t>
      </w:r>
      <w:r>
        <w:rPr>
          <w:spacing w:val="-4"/>
        </w:rPr>
        <w:t>〕</w:t>
      </w:r>
      <w:r>
        <w:rPr>
          <w:rFonts w:ascii="宋体" w:hAnsi="宋体" w:cs="宋体" w:eastAsia="宋体" w:hint="default"/>
          <w:spacing w:val="-4"/>
        </w:rPr>
        <w:t>14</w:t>
      </w:r>
      <w:r>
        <w:rPr>
          <w:spacing w:val="-4"/>
        </w:rPr>
        <w:t>号）（上述准则以下统称“新金融工具准则”），并要求境内上市公司自</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日起施行。经</w:t>
      </w:r>
      <w:r>
        <w:rPr>
          <w:spacing w:val="65"/>
        </w:rPr>
        <w:t> </w:t>
      </w:r>
      <w:r>
        <w:rPr>
          <w:spacing w:val="65"/>
        </w:rPr>
      </w:r>
      <w:r>
        <w:rPr>
          <w:spacing w:val="-3"/>
        </w:rPr>
        <w:t>本公司第四届董事会第十六次会议于</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22</w:t>
      </w:r>
      <w:r>
        <w:rPr>
          <w:spacing w:val="-3"/>
        </w:rPr>
        <w:t>日决议通过，本公司将于</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日起执行上述新金融工具准则，并将</w:t>
      </w:r>
      <w:r>
        <w:rPr>
          <w:spacing w:val="1"/>
        </w:rPr>
        <w:t> </w:t>
      </w:r>
      <w:r>
        <w:rPr>
          <w:spacing w:val="1"/>
        </w:rPr>
      </w:r>
      <w:r>
        <w:rPr>
          <w:spacing w:val="-3"/>
        </w:rPr>
        <w:t>依据上述新金融工具准则的规定对相关会计政策进行变更。</w:t>
      </w:r>
    </w:p>
    <w:p>
      <w:pPr>
        <w:pStyle w:val="BodyText"/>
        <w:spacing w:line="357" w:lineRule="auto" w:before="26"/>
        <w:ind w:left="513" w:right="1055"/>
        <w:jc w:val="left"/>
      </w:pPr>
      <w:r>
        <w:rPr>
          <w:spacing w:val="-3"/>
        </w:rPr>
        <w:t>以下为所涉及的会计政策变更的主要内容：</w:t>
      </w:r>
      <w:r>
        <w:rPr>
          <w:spacing w:val="-33"/>
        </w:rPr>
        <w:t> </w:t>
      </w:r>
      <w:r>
        <w:rPr>
          <w:spacing w:val="-33"/>
        </w:rPr>
      </w:r>
      <w:r>
        <w:rPr>
          <w:spacing w:val="-3"/>
        </w:rPr>
        <w:t>在新金融工具准则下所有已确认金融资产其后续均按摊余成本或公允价值计量。</w:t>
      </w:r>
      <w:r>
        <w:rPr>
          <w:spacing w:val="13"/>
        </w:rPr>
        <w:t> </w:t>
      </w:r>
      <w:r>
        <w:rPr>
          <w:spacing w:val="13"/>
        </w:rPr>
      </w:r>
      <w:r>
        <w:rPr>
          <w:spacing w:val="-4"/>
        </w:rPr>
        <w:t>在新金融工具准则施行日，以本公司该日既有事实和情况为基础评估管理金融资产的业务模式、以金融资产初始确认时</w:t>
      </w:r>
    </w:p>
    <w:p>
      <w:pPr>
        <w:pStyle w:val="BodyText"/>
        <w:spacing w:line="357" w:lineRule="auto" w:before="26"/>
        <w:ind w:right="1124"/>
        <w:jc w:val="both"/>
      </w:pPr>
      <w:r>
        <w:rPr>
          <w:spacing w:val="-4"/>
        </w:rPr>
        <w:t>的事实和情况为基础评估该金融资产上的合同现金流量特征，将金融资产分为三类：按摊余成本计量、按公允价值计量且其</w:t>
      </w:r>
      <w:r>
        <w:rPr>
          <w:spacing w:val="43"/>
        </w:rPr>
        <w:t> </w:t>
      </w:r>
      <w:r>
        <w:rPr>
          <w:spacing w:val="43"/>
        </w:rPr>
      </w:r>
      <w:r>
        <w:rPr>
          <w:spacing w:val="-4"/>
        </w:rPr>
        <w:t>变动计入其他综合收益及按公允价值计量且其变动计入损益。其中，对于按公允价值计量且其变动计入其他综合收益的权益</w:t>
      </w:r>
      <w:r>
        <w:rPr>
          <w:spacing w:val="44"/>
        </w:rPr>
        <w:t> </w:t>
      </w:r>
      <w:r>
        <w:rPr>
          <w:spacing w:val="44"/>
        </w:rPr>
      </w:r>
      <w:r>
        <w:rPr>
          <w:spacing w:val="-4"/>
        </w:rPr>
        <w:t>工具投资，当该金融资产终止确认时，之前计入其他综合收益的累计利得或损失将从其他综合收益转入留存收益，不计入当</w:t>
      </w:r>
      <w:r>
        <w:rPr>
          <w:spacing w:val="43"/>
        </w:rPr>
        <w:t> </w:t>
      </w:r>
      <w:r>
        <w:rPr>
          <w:spacing w:val="43"/>
        </w:rPr>
      </w:r>
      <w:r>
        <w:rPr/>
        <w:t>期损益。</w:t>
      </w:r>
    </w:p>
    <w:p>
      <w:pPr>
        <w:pStyle w:val="BodyText"/>
        <w:spacing w:line="352" w:lineRule="auto" w:before="26"/>
        <w:ind w:right="1124" w:firstLine="360"/>
        <w:jc w:val="both"/>
      </w:pPr>
      <w:r>
        <w:rPr>
          <w:spacing w:val="-4"/>
        </w:rPr>
        <w:t>在新金融工具准则下，本公司以预期信用损失为基础，对以摊余成本计量的金融资产、以公允价值计量且其变动计入其</w:t>
      </w:r>
      <w:r>
        <w:rPr>
          <w:w w:val="101"/>
        </w:rPr>
        <w:t> </w:t>
      </w:r>
      <w:r>
        <w:rPr>
          <w:spacing w:val="-3"/>
        </w:rPr>
        <w:t>他综合收益的债务工具投资、租赁应收款、合同资产及财务担保合同计提减值准备并确认信用减值损失</w:t>
      </w:r>
    </w:p>
    <w:p>
      <w:pPr>
        <w:pStyle w:val="BodyText"/>
        <w:spacing w:line="240" w:lineRule="auto" w:before="30"/>
        <w:ind w:left="513" w:right="1055"/>
        <w:jc w:val="left"/>
      </w:pPr>
      <w:r>
        <w:rPr>
          <w:spacing w:val="-3"/>
        </w:rPr>
        <w:t>除上述事项外，截至本报告日，本公司不存在应披露的资产负债表日后事项。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both"/>
        <w:rPr>
          <w:b w:val="0"/>
          <w:bCs w:val="0"/>
        </w:rPr>
      </w:pPr>
      <w:r>
        <w:rPr/>
        <w:t>十四、其他重要事项</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513" w:right="1055"/>
        <w:jc w:val="left"/>
      </w:pPr>
      <w:r>
        <w:rPr>
          <w:spacing w:val="-4"/>
        </w:rPr>
        <w:t>公司以内部组织结构、管理要求、内部报告制度等为依据确定经营分部。公司的经营分部是指同时满足下列条件的组成</w:t>
      </w:r>
    </w:p>
    <w:p>
      <w:pPr>
        <w:spacing w:after="0" w:line="240" w:lineRule="auto"/>
        <w:jc w:val="left"/>
        <w:sectPr>
          <w:pgSz w:w="11910" w:h="16840"/>
          <w:pgMar w:header="871" w:footer="1186" w:top="1100" w:bottom="1380" w:left="980" w:right="0"/>
        </w:sectPr>
      </w:pPr>
    </w:p>
    <w:p>
      <w:pPr>
        <w:spacing w:line="240" w:lineRule="auto" w:before="7"/>
        <w:rPr>
          <w:rFonts w:ascii="宋体" w:hAnsi="宋体" w:cs="宋体" w:eastAsia="宋体" w:hint="default"/>
          <w:sz w:val="18"/>
          <w:szCs w:val="18"/>
        </w:rPr>
      </w:pPr>
    </w:p>
    <w:p>
      <w:pPr>
        <w:pStyle w:val="BodyText"/>
        <w:spacing w:line="240" w:lineRule="auto" w:before="46"/>
        <w:ind w:right="1055"/>
        <w:jc w:val="left"/>
      </w:pPr>
      <w:r>
        <w:rPr/>
        <w:t>部分：</w:t>
      </w:r>
    </w:p>
    <w:p>
      <w:pPr>
        <w:pStyle w:val="BodyText"/>
        <w:spacing w:line="240" w:lineRule="auto" w:before="115"/>
        <w:ind w:left="513" w:right="1055"/>
        <w:jc w:val="left"/>
      </w:pPr>
      <w:r>
        <w:rPr>
          <w:spacing w:val="-3"/>
        </w:rPr>
        <w:t>①该组成部分能够在日常活动中产生收入、发生费用；</w:t>
      </w:r>
    </w:p>
    <w:p>
      <w:pPr>
        <w:pStyle w:val="BodyText"/>
        <w:spacing w:line="240" w:lineRule="auto" w:before="115"/>
        <w:ind w:left="513" w:right="1055"/>
        <w:jc w:val="left"/>
      </w:pPr>
      <w:r>
        <w:rPr>
          <w:spacing w:val="-3"/>
        </w:rPr>
        <w:t>②管理层能够定期评价该组成部分的经营成果，以决定向其配置资源、评价其业绩；</w:t>
      </w:r>
    </w:p>
    <w:p>
      <w:pPr>
        <w:pStyle w:val="BodyText"/>
        <w:spacing w:line="357" w:lineRule="auto" w:before="115"/>
        <w:ind w:left="513" w:right="1055"/>
        <w:jc w:val="left"/>
      </w:pPr>
      <w:r>
        <w:rPr>
          <w:spacing w:val="-3"/>
        </w:rPr>
        <w:t>③能够通过分析取得该组成部分的财务状况、经营成果和现金流量等有关会计信息。</w:t>
      </w:r>
      <w:r>
        <w:rPr>
          <w:spacing w:val="19"/>
        </w:rPr>
        <w:t> </w:t>
      </w:r>
      <w:r>
        <w:rPr>
          <w:spacing w:val="19"/>
        </w:rPr>
      </w:r>
      <w:r>
        <w:rPr>
          <w:spacing w:val="-3"/>
        </w:rPr>
        <w:t>本公司以行业分部为基础确定报告分部，与各分部共同使用的资产、负债按照规模比例在不同的分部之间分配。</w:t>
      </w:r>
    </w:p>
    <w:p>
      <w:pPr>
        <w:spacing w:line="240" w:lineRule="auto" w:before="4"/>
        <w:rPr>
          <w:rFonts w:ascii="宋体" w:hAnsi="宋体" w:cs="宋体" w:eastAsia="宋体" w:hint="default"/>
          <w:sz w:val="24"/>
          <w:szCs w:val="24"/>
        </w:rPr>
      </w:pPr>
    </w:p>
    <w:p>
      <w:pPr>
        <w:pStyle w:val="Heading3"/>
        <w:spacing w:line="240" w:lineRule="auto"/>
        <w:ind w:right="1055"/>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5"/>
        <w:gridCol w:w="1599"/>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金融信息</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306,009,896.40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612,735,639.35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6" w:right="0"/>
              <w:jc w:val="left"/>
              <w:rPr>
                <w:rFonts w:ascii="Times New Roman" w:hAnsi="Times New Roman" w:cs="Times New Roman" w:eastAsia="Times New Roman" w:hint="default"/>
                <w:sz w:val="18"/>
                <w:szCs w:val="18"/>
              </w:rPr>
            </w:pPr>
            <w:r>
              <w:rPr>
                <w:rFonts w:ascii="Times New Roman"/>
                <w:sz w:val="18"/>
              </w:rPr>
              <w:t>376,172,257.34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10,183.10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1,294,907,609.99</w:t>
            </w:r>
          </w:p>
        </w:tc>
      </w:tr>
      <w:tr>
        <w:trPr>
          <w:trHeight w:val="3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189,326,802.31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440,172,339.10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6" w:right="0"/>
              <w:jc w:val="left"/>
              <w:rPr>
                <w:rFonts w:ascii="Times New Roman" w:hAnsi="Times New Roman" w:cs="Times New Roman" w:eastAsia="Times New Roman" w:hint="default"/>
                <w:sz w:val="18"/>
                <w:szCs w:val="18"/>
              </w:rPr>
            </w:pPr>
            <w:r>
              <w:rPr>
                <w:rFonts w:ascii="Times New Roman"/>
                <w:sz w:val="18"/>
              </w:rPr>
              <w:t>253,527,629.47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10,183.10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883,016,587.78</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1,759,670,190.65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576,687,724.54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6" w:right="0"/>
              <w:jc w:val="left"/>
              <w:rPr>
                <w:rFonts w:ascii="Times New Roman" w:hAnsi="Times New Roman" w:cs="Times New Roman" w:eastAsia="Times New Roman" w:hint="default"/>
                <w:sz w:val="18"/>
                <w:szCs w:val="18"/>
              </w:rPr>
            </w:pPr>
            <w:r>
              <w:rPr>
                <w:rFonts w:ascii="Times New Roman"/>
                <w:sz w:val="18"/>
              </w:rPr>
              <w:t>180,318,669.54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362,122,579.17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2,154,554,005.56</w:t>
            </w:r>
          </w:p>
        </w:tc>
      </w:tr>
      <w:tr>
        <w:trPr>
          <w:trHeight w:val="3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525,595,987.17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245,774,341.19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6" w:right="0"/>
              <w:jc w:val="left"/>
              <w:rPr>
                <w:rFonts w:ascii="Times New Roman" w:hAnsi="Times New Roman" w:cs="Times New Roman" w:eastAsia="Times New Roman" w:hint="default"/>
                <w:sz w:val="18"/>
                <w:szCs w:val="18"/>
              </w:rPr>
            </w:pPr>
            <w:r>
              <w:rPr>
                <w:rFonts w:ascii="Times New Roman"/>
                <w:sz w:val="18"/>
              </w:rPr>
              <w:t>150,465,371.95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2"/>
                <w:sz w:val="18"/>
              </w:rPr>
              <w:t>133,176,110.46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788,659,589.85</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13" w:right="1055"/>
        <w:jc w:val="left"/>
      </w:pPr>
      <w:r>
        <w:rPr>
          <w:rFonts w:ascii="宋体" w:hAnsi="宋体" w:cs="宋体" w:eastAsia="宋体" w:hint="default"/>
          <w:spacing w:val="-3"/>
        </w:rPr>
        <w:t>1</w:t>
      </w:r>
      <w:r>
        <w:rPr>
          <w:spacing w:val="-3"/>
        </w:rPr>
        <w:t>、收购北京慧博科技有限公司</w:t>
      </w:r>
      <w:r>
        <w:rPr>
          <w:rFonts w:ascii="宋体" w:hAnsi="宋体" w:cs="宋体" w:eastAsia="宋体" w:hint="default"/>
          <w:spacing w:val="-3"/>
        </w:rPr>
        <w:t>100%</w:t>
      </w:r>
      <w:r>
        <w:rPr>
          <w:spacing w:val="-3"/>
        </w:rPr>
        <w:t>股权进展情况</w:t>
      </w:r>
    </w:p>
    <w:p>
      <w:pPr>
        <w:pStyle w:val="BodyText"/>
        <w:spacing w:line="357" w:lineRule="auto" w:before="115"/>
        <w:ind w:right="1122" w:firstLine="360"/>
        <w:jc w:val="both"/>
      </w:pPr>
      <w:r>
        <w:rPr>
          <w:rFonts w:ascii="宋体" w:hAnsi="宋体" w:cs="宋体" w:eastAsia="宋体" w:hint="default"/>
          <w:spacing w:val="-4"/>
        </w:rPr>
        <w:t>2017</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30</w:t>
      </w:r>
      <w:r>
        <w:rPr>
          <w:spacing w:val="-4"/>
        </w:rPr>
        <w:t>日，公司第四届董事会第八次会议审议通过了《发行股份及支付现金购买资产并募集配套资金预案》等有</w:t>
      </w:r>
      <w:r>
        <w:rPr>
          <w:w w:val="101"/>
        </w:rPr>
        <w:t> </w:t>
      </w:r>
      <w:r>
        <w:rPr>
          <w:spacing w:val="-4"/>
        </w:rPr>
        <w:t>关议案，拟通过发行股份及支付现金的方式购买赵芳、王利军、文渝等三人合计持有的北京慧博科技有限公司</w:t>
      </w:r>
      <w:r>
        <w:rPr>
          <w:rFonts w:ascii="宋体" w:hAnsi="宋体" w:cs="宋体" w:eastAsia="宋体" w:hint="default"/>
          <w:spacing w:val="-4"/>
        </w:rPr>
        <w:t>100%</w:t>
      </w:r>
      <w:r>
        <w:rPr>
          <w:spacing w:val="-4"/>
        </w:rPr>
        <w:t>股权，同</w:t>
      </w:r>
      <w:r>
        <w:rPr>
          <w:spacing w:val="48"/>
        </w:rPr>
        <w:t> </w:t>
      </w:r>
      <w:r>
        <w:rPr>
          <w:spacing w:val="48"/>
        </w:rPr>
      </w:r>
      <w:r>
        <w:rPr>
          <w:spacing w:val="-3"/>
        </w:rPr>
        <w:t>时公司拟向不超过</w:t>
      </w:r>
      <w:r>
        <w:rPr>
          <w:rFonts w:ascii="宋体" w:hAnsi="宋体" w:cs="宋体" w:eastAsia="宋体" w:hint="default"/>
          <w:spacing w:val="-3"/>
        </w:rPr>
        <w:t>5</w:t>
      </w:r>
      <w:r>
        <w:rPr>
          <w:spacing w:val="-3"/>
        </w:rPr>
        <w:t>名符合条件的特定对象非公开发行股份募集配套资金。</w:t>
      </w:r>
    </w:p>
    <w:p>
      <w:pPr>
        <w:pStyle w:val="BodyText"/>
        <w:spacing w:line="357" w:lineRule="auto" w:before="22"/>
        <w:ind w:right="1122" w:firstLine="360"/>
        <w:jc w:val="both"/>
      </w:pPr>
      <w:r>
        <w:rPr>
          <w:spacing w:val="-4"/>
          <w:w w:val="101"/>
        </w:rPr>
        <w:t>综合考虑慧博科技</w:t>
      </w:r>
      <w:r>
        <w:rPr>
          <w:rFonts w:ascii="宋体" w:hAnsi="宋体" w:cs="宋体" w:eastAsia="宋体" w:hint="default"/>
          <w:spacing w:val="-4"/>
          <w:w w:val="101"/>
        </w:rPr>
        <w:t>2018</w:t>
      </w:r>
      <w:r>
        <w:rPr>
          <w:spacing w:val="-4"/>
          <w:w w:val="101"/>
        </w:rPr>
        <w:t>年前三季度业绩未达预期及对未来能否完成业绩承诺目标存在不确定性，经公司董事会研究并与</w:t>
      </w:r>
      <w:r>
        <w:rPr>
          <w:w w:val="101"/>
        </w:rPr>
        <w:t> </w:t>
      </w:r>
      <w:r>
        <w:rPr>
          <w:spacing w:val="-4"/>
        </w:rPr>
        <w:t>交易对方友好协商，交易各方决定终止发行股份及支付现金购买慧博科技</w:t>
      </w:r>
      <w:r>
        <w:rPr>
          <w:rFonts w:ascii="宋体" w:hAnsi="宋体" w:cs="宋体" w:eastAsia="宋体" w:hint="default"/>
          <w:spacing w:val="-4"/>
        </w:rPr>
        <w:t>100%</w:t>
      </w:r>
      <w:r>
        <w:rPr>
          <w:spacing w:val="-4"/>
        </w:rPr>
        <w:t>股权并募集配套资金事项，签署重大资产重组</w:t>
      </w:r>
      <w:r>
        <w:rPr>
          <w:spacing w:val="52"/>
        </w:rPr>
        <w:t> </w:t>
      </w:r>
      <w:r>
        <w:rPr>
          <w:spacing w:val="52"/>
        </w:rPr>
      </w:r>
      <w:r>
        <w:rPr>
          <w:spacing w:val="-4"/>
        </w:rPr>
        <w:t>终止协议，同时公司向中国证监会申请撤回本次重大资产重组相关申请文件。</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11</w:t>
      </w:r>
      <w:r>
        <w:rPr>
          <w:spacing w:val="-4"/>
        </w:rPr>
        <w:t>日，公司收到中国证监会下发的</w:t>
      </w:r>
    </w:p>
    <w:p>
      <w:pPr>
        <w:pStyle w:val="BodyText"/>
        <w:spacing w:line="240" w:lineRule="auto" w:before="27"/>
        <w:ind w:right="1055"/>
        <w:jc w:val="left"/>
      </w:pPr>
      <w:r>
        <w:rPr>
          <w:spacing w:val="-4"/>
        </w:rPr>
        <w:t>《中国证监会行政许可申请终止审查通知书》（</w:t>
      </w:r>
      <w:r>
        <w:rPr>
          <w:rFonts w:ascii="宋体" w:hAnsi="宋体" w:cs="宋体" w:eastAsia="宋体" w:hint="default"/>
          <w:spacing w:val="-4"/>
        </w:rPr>
        <w:t>[2018]466</w:t>
      </w:r>
      <w:r>
        <w:rPr>
          <w:spacing w:val="-4"/>
        </w:rPr>
        <w:t>号），中国证监会决定终止对《中国证监会行政许可申请受理单》</w:t>
      </w:r>
    </w:p>
    <w:p>
      <w:pPr>
        <w:pStyle w:val="BodyText"/>
        <w:spacing w:line="240" w:lineRule="auto" w:before="115"/>
        <w:ind w:right="1055"/>
        <w:jc w:val="left"/>
      </w:pPr>
      <w:r>
        <w:rPr/>
        <w:t>（</w:t>
      </w:r>
      <w:r>
        <w:rPr>
          <w:rFonts w:ascii="宋体" w:hAnsi="宋体" w:cs="宋体" w:eastAsia="宋体" w:hint="default"/>
        </w:rPr>
        <w:t>181111</w:t>
      </w:r>
      <w:r>
        <w:rPr/>
        <w:t>号）行政许可申请的审查。</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1055"/>
        <w:jc w:val="left"/>
        <w:rPr>
          <w:b w:val="0"/>
          <w:bCs w:val="0"/>
        </w:rPr>
      </w:pPr>
      <w:r>
        <w:rPr/>
        <w:t>十五、母公司财务报表主要项目注释</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160,522,838.38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119,229,468.29</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160,522,838.38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2"/>
                <w:sz w:val="18"/>
              </w:rPr>
              <w:t>119,229,468.29</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55"/>
        <w:jc w:val="left"/>
      </w:pPr>
      <w:r>
        <w:rPr>
          <w:rFonts w:ascii="宋体" w:hAnsi="宋体" w:cs="宋体" w:eastAsia="宋体" w:hint="default"/>
        </w:rPr>
        <w:t>1)</w:t>
      </w:r>
      <w:r>
        <w:rPr/>
        <w:t>应收账款分类披露</w:t>
      </w:r>
    </w:p>
    <w:p>
      <w:pPr>
        <w:spacing w:line="240" w:lineRule="auto" w:before="7"/>
        <w:rPr>
          <w:rFonts w:ascii="宋体" w:hAnsi="宋体" w:cs="宋体" w:eastAsia="宋体" w:hint="default"/>
          <w:sz w:val="8"/>
          <w:szCs w:val="8"/>
        </w:rPr>
      </w:pPr>
    </w:p>
    <w:p>
      <w:pPr>
        <w:pStyle w:val="BodyText"/>
        <w:spacing w:line="240" w:lineRule="auto" w:before="46"/>
        <w:ind w:left="0" w:right="1121"/>
        <w:jc w:val="right"/>
      </w:pPr>
      <w:r>
        <w:rPr/>
        <w:t>单位：</w:t>
      </w:r>
      <w:r>
        <w:rPr>
          <w:spacing w:val="5"/>
        </w:rPr>
        <w:t> </w:t>
      </w:r>
      <w:r>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8"/>
        <w:gridCol w:w="653"/>
        <w:gridCol w:w="764"/>
        <w:gridCol w:w="816"/>
        <w:gridCol w:w="932"/>
        <w:gridCol w:w="932"/>
      </w:tblGrid>
      <w:tr>
        <w:trPr>
          <w:trHeight w:val="327"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8"/>
        <w:gridCol w:w="653"/>
        <w:gridCol w:w="764"/>
        <w:gridCol w:w="816"/>
        <w:gridCol w:w="932"/>
        <w:gridCol w:w="932"/>
      </w:tblGrid>
      <w:tr>
        <w:trPr>
          <w:trHeight w:val="28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9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8" w:right="0"/>
              <w:jc w:val="center"/>
              <w:rPr>
                <w:rFonts w:ascii="Times New Roman" w:hAnsi="Times New Roman" w:cs="Times New Roman" w:eastAsia="Times New Roman" w:hint="default"/>
                <w:sz w:val="18"/>
                <w:szCs w:val="18"/>
              </w:rPr>
            </w:pPr>
            <w:r>
              <w:rPr>
                <w:rFonts w:ascii="Times New Roman"/>
                <w:sz w:val="18"/>
              </w:rPr>
              <w:t>182,902,</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618.92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22,379,7</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80.54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12.24%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160,522,8</w:t>
            </w:r>
          </w:p>
          <w:p>
            <w:pPr>
              <w:pStyle w:val="TableParagraph"/>
              <w:spacing w:line="207" w:lineRule="exact"/>
              <w:ind w:left="355" w:right="0"/>
              <w:jc w:val="left"/>
              <w:rPr>
                <w:rFonts w:ascii="Times New Roman" w:hAnsi="Times New Roman" w:cs="Times New Roman" w:eastAsia="Times New Roman" w:hint="default"/>
                <w:sz w:val="18"/>
                <w:szCs w:val="18"/>
              </w:rPr>
            </w:pPr>
            <w:r>
              <w:rPr>
                <w:rFonts w:ascii="Times New Roman"/>
                <w:sz w:val="18"/>
              </w:rPr>
              <w:t>38.38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135,322</w:t>
            </w:r>
          </w:p>
          <w:p>
            <w:pPr>
              <w:pStyle w:val="TableParagraph"/>
              <w:spacing w:line="207" w:lineRule="exact"/>
              <w:ind w:left="86" w:right="0"/>
              <w:jc w:val="left"/>
              <w:rPr>
                <w:rFonts w:ascii="Times New Roman" w:hAnsi="Times New Roman" w:cs="Times New Roman" w:eastAsia="Times New Roman" w:hint="default"/>
                <w:sz w:val="18"/>
                <w:szCs w:val="18"/>
              </w:rPr>
            </w:pPr>
            <w:r>
              <w:rPr>
                <w:rFonts w:ascii="Times New Roman"/>
                <w:sz w:val="18"/>
              </w:rPr>
              <w:t>,534.24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62" w:right="0"/>
              <w:jc w:val="left"/>
              <w:rPr>
                <w:rFonts w:ascii="Times New Roman" w:hAnsi="Times New Roman" w:cs="Times New Roman" w:eastAsia="Times New Roman" w:hint="default"/>
                <w:sz w:val="18"/>
                <w:szCs w:val="18"/>
              </w:rPr>
            </w:pPr>
            <w:r>
              <w:rPr>
                <w:rFonts w:ascii="Times New Roman"/>
                <w:sz w:val="18"/>
              </w:rPr>
              <w:t>16,093,06</w:t>
            </w:r>
          </w:p>
          <w:p>
            <w:pPr>
              <w:pStyle w:val="TableParagraph"/>
              <w:spacing w:line="207" w:lineRule="exact"/>
              <w:ind w:left="465" w:right="0"/>
              <w:jc w:val="left"/>
              <w:rPr>
                <w:rFonts w:ascii="Times New Roman" w:hAnsi="Times New Roman" w:cs="Times New Roman" w:eastAsia="Times New Roman" w:hint="default"/>
                <w:sz w:val="18"/>
                <w:szCs w:val="18"/>
              </w:rPr>
            </w:pPr>
            <w:r>
              <w:rPr>
                <w:rFonts w:ascii="Times New Roman"/>
                <w:sz w:val="18"/>
              </w:rPr>
              <w:t>5.95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11.89%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119,229,46</w:t>
            </w:r>
          </w:p>
          <w:p>
            <w:pPr>
              <w:pStyle w:val="TableParagraph"/>
              <w:spacing w:line="207" w:lineRule="exact"/>
              <w:ind w:left="586" w:right="0"/>
              <w:jc w:val="left"/>
              <w:rPr>
                <w:rFonts w:ascii="Times New Roman" w:hAnsi="Times New Roman" w:cs="Times New Roman" w:eastAsia="Times New Roman" w:hint="default"/>
                <w:sz w:val="18"/>
                <w:szCs w:val="18"/>
              </w:rPr>
            </w:pPr>
            <w:r>
              <w:rPr>
                <w:rFonts w:ascii="Times New Roman"/>
                <w:sz w:val="18"/>
              </w:rPr>
              <w:t>8.29</w:t>
            </w:r>
          </w:p>
        </w:tc>
      </w:tr>
      <w:tr>
        <w:trPr>
          <w:trHeight w:val="50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78" w:right="0"/>
              <w:jc w:val="center"/>
              <w:rPr>
                <w:rFonts w:ascii="Times New Roman" w:hAnsi="Times New Roman" w:cs="Times New Roman" w:eastAsia="Times New Roman" w:hint="default"/>
                <w:sz w:val="18"/>
                <w:szCs w:val="18"/>
              </w:rPr>
            </w:pPr>
            <w:r>
              <w:rPr>
                <w:rFonts w:ascii="Times New Roman"/>
                <w:sz w:val="18"/>
              </w:rPr>
              <w:t>182,902,</w:t>
            </w:r>
          </w:p>
          <w:p>
            <w:pPr>
              <w:pStyle w:val="TableParagraph"/>
              <w:spacing w:line="207" w:lineRule="exact"/>
              <w:ind w:left="216" w:right="0"/>
              <w:jc w:val="center"/>
              <w:rPr>
                <w:rFonts w:ascii="Times New Roman" w:hAnsi="Times New Roman" w:cs="Times New Roman" w:eastAsia="Times New Roman" w:hint="default"/>
                <w:sz w:val="18"/>
                <w:szCs w:val="18"/>
              </w:rPr>
            </w:pPr>
            <w:r>
              <w:rPr>
                <w:rFonts w:ascii="Times New Roman"/>
                <w:sz w:val="18"/>
              </w:rPr>
              <w:t>618.92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100" w:right="0"/>
              <w:jc w:val="left"/>
              <w:rPr>
                <w:rFonts w:ascii="Times New Roman" w:hAnsi="Times New Roman" w:cs="Times New Roman" w:eastAsia="Times New Roman" w:hint="default"/>
                <w:sz w:val="18"/>
                <w:szCs w:val="18"/>
              </w:rPr>
            </w:pPr>
            <w:r>
              <w:rPr>
                <w:rFonts w:ascii="Times New Roman"/>
                <w:sz w:val="18"/>
              </w:rPr>
              <w:t>22,379,7</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80.54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1" w:right="0"/>
              <w:jc w:val="center"/>
              <w:rPr>
                <w:rFonts w:ascii="Times New Roman" w:hAnsi="Times New Roman" w:cs="Times New Roman" w:eastAsia="Times New Roman" w:hint="default"/>
                <w:sz w:val="18"/>
                <w:szCs w:val="18"/>
              </w:rPr>
            </w:pPr>
            <w:r>
              <w:rPr>
                <w:rFonts w:ascii="Times New Roman"/>
                <w:sz w:val="18"/>
              </w:rPr>
              <w:t>12.24%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38" w:right="0"/>
              <w:jc w:val="left"/>
              <w:rPr>
                <w:rFonts w:ascii="Times New Roman" w:hAnsi="Times New Roman" w:cs="Times New Roman" w:eastAsia="Times New Roman" w:hint="default"/>
                <w:sz w:val="18"/>
                <w:szCs w:val="18"/>
              </w:rPr>
            </w:pPr>
            <w:r>
              <w:rPr>
                <w:rFonts w:ascii="Times New Roman"/>
                <w:sz w:val="18"/>
              </w:rPr>
              <w:t>160,522,8</w:t>
            </w:r>
          </w:p>
          <w:p>
            <w:pPr>
              <w:pStyle w:val="TableParagraph"/>
              <w:spacing w:line="207" w:lineRule="exact"/>
              <w:ind w:left="355" w:right="0"/>
              <w:jc w:val="left"/>
              <w:rPr>
                <w:rFonts w:ascii="Times New Roman" w:hAnsi="Times New Roman" w:cs="Times New Roman" w:eastAsia="Times New Roman" w:hint="default"/>
                <w:sz w:val="18"/>
                <w:szCs w:val="18"/>
              </w:rPr>
            </w:pPr>
            <w:r>
              <w:rPr>
                <w:rFonts w:ascii="Times New Roman"/>
                <w:sz w:val="18"/>
              </w:rPr>
              <w:t>38.38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38" w:right="0"/>
              <w:jc w:val="left"/>
              <w:rPr>
                <w:rFonts w:ascii="Times New Roman" w:hAnsi="Times New Roman" w:cs="Times New Roman" w:eastAsia="Times New Roman" w:hint="default"/>
                <w:sz w:val="18"/>
                <w:szCs w:val="18"/>
              </w:rPr>
            </w:pPr>
            <w:r>
              <w:rPr>
                <w:rFonts w:ascii="Times New Roman"/>
                <w:sz w:val="18"/>
              </w:rPr>
              <w:t>135,322</w:t>
            </w:r>
          </w:p>
          <w:p>
            <w:pPr>
              <w:pStyle w:val="TableParagraph"/>
              <w:spacing w:line="207" w:lineRule="exact"/>
              <w:ind w:left="86" w:right="0"/>
              <w:jc w:val="left"/>
              <w:rPr>
                <w:rFonts w:ascii="Times New Roman" w:hAnsi="Times New Roman" w:cs="Times New Roman" w:eastAsia="Times New Roman" w:hint="default"/>
                <w:sz w:val="18"/>
                <w:szCs w:val="18"/>
              </w:rPr>
            </w:pPr>
            <w:r>
              <w:rPr>
                <w:rFonts w:ascii="Times New Roman"/>
                <w:sz w:val="18"/>
              </w:rPr>
              <w:t>,534.24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62" w:right="0"/>
              <w:jc w:val="left"/>
              <w:rPr>
                <w:rFonts w:ascii="Times New Roman" w:hAnsi="Times New Roman" w:cs="Times New Roman" w:eastAsia="Times New Roman" w:hint="default"/>
                <w:sz w:val="18"/>
                <w:szCs w:val="18"/>
              </w:rPr>
            </w:pPr>
            <w:r>
              <w:rPr>
                <w:rFonts w:ascii="Times New Roman"/>
                <w:sz w:val="18"/>
              </w:rPr>
              <w:t>16,093,06</w:t>
            </w:r>
          </w:p>
          <w:p>
            <w:pPr>
              <w:pStyle w:val="TableParagraph"/>
              <w:spacing w:line="207" w:lineRule="exact"/>
              <w:ind w:left="465" w:right="0"/>
              <w:jc w:val="left"/>
              <w:rPr>
                <w:rFonts w:ascii="Times New Roman" w:hAnsi="Times New Roman" w:cs="Times New Roman" w:eastAsia="Times New Roman" w:hint="default"/>
                <w:sz w:val="18"/>
                <w:szCs w:val="18"/>
              </w:rPr>
            </w:pPr>
            <w:r>
              <w:rPr>
                <w:rFonts w:ascii="Times New Roman"/>
                <w:sz w:val="18"/>
              </w:rPr>
              <w:t>5.95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4"/>
              <w:jc w:val="right"/>
              <w:rPr>
                <w:rFonts w:ascii="Times New Roman" w:hAnsi="Times New Roman" w:cs="Times New Roman" w:eastAsia="Times New Roman" w:hint="default"/>
                <w:sz w:val="18"/>
                <w:szCs w:val="18"/>
              </w:rPr>
            </w:pPr>
            <w:r>
              <w:rPr>
                <w:rFonts w:ascii="Times New Roman"/>
                <w:spacing w:val="-3"/>
                <w:sz w:val="18"/>
              </w:rPr>
              <w:t>11.89%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100" w:right="0"/>
              <w:jc w:val="left"/>
              <w:rPr>
                <w:rFonts w:ascii="Times New Roman" w:hAnsi="Times New Roman" w:cs="Times New Roman" w:eastAsia="Times New Roman" w:hint="default"/>
                <w:sz w:val="18"/>
                <w:szCs w:val="18"/>
              </w:rPr>
            </w:pPr>
            <w:r>
              <w:rPr>
                <w:rFonts w:ascii="Times New Roman"/>
                <w:sz w:val="18"/>
              </w:rPr>
              <w:t>119,229,46</w:t>
            </w:r>
          </w:p>
          <w:p>
            <w:pPr>
              <w:pStyle w:val="TableParagraph"/>
              <w:spacing w:line="207" w:lineRule="exact"/>
              <w:ind w:left="586" w:right="0"/>
              <w:jc w:val="left"/>
              <w:rPr>
                <w:rFonts w:ascii="Times New Roman" w:hAnsi="Times New Roman" w:cs="Times New Roman" w:eastAsia="Times New Roman" w:hint="default"/>
                <w:sz w:val="18"/>
                <w:szCs w:val="18"/>
              </w:rPr>
            </w:pPr>
            <w:r>
              <w:rPr>
                <w:rFonts w:ascii="Times New Roman"/>
                <w:sz w:val="18"/>
              </w:rPr>
              <w:t>8.29</w:t>
            </w:r>
          </w:p>
        </w:tc>
      </w:tr>
    </w:tbl>
    <w:p>
      <w:pPr>
        <w:spacing w:after="0" w:line="207" w:lineRule="exact"/>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pStyle w:val="BodyText"/>
        <w:spacing w:line="240" w:lineRule="auto" w:before="10"/>
        <w:ind w:right="0"/>
        <w:jc w:val="left"/>
      </w:pPr>
      <w:r>
        <w:rPr>
          <w:spacing w:val="-3"/>
        </w:rPr>
        <w:t>期末单项金额重大并单项计提坏账准备的应收账款：</w:t>
      </w:r>
    </w:p>
    <w:p>
      <w:pPr>
        <w:pStyle w:val="BodyText"/>
        <w:spacing w:line="264" w:lineRule="auto" w:before="33"/>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组合中，按账龄分析法计提坏账准备的应收账款：</w:t>
      </w:r>
    </w:p>
    <w:p>
      <w:pPr>
        <w:pStyle w:val="BodyText"/>
        <w:spacing w:line="240" w:lineRule="auto" w:before="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4297" w:space="4534"/>
            <w:col w:w="2099"/>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3"/>
        <w:gridCol w:w="2299"/>
        <w:gridCol w:w="2387"/>
        <w:gridCol w:w="2391"/>
      </w:tblGrid>
      <w:tr>
        <w:trPr>
          <w:trHeight w:val="168"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8"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9" w:type="dxa"/>
            <w:vMerge/>
            <w:tcBorders>
              <w:left w:val="single" w:sz="4" w:space="0" w:color="000000"/>
              <w:bottom w:val="single" w:sz="4" w:space="0" w:color="000000"/>
              <w:right w:val="single" w:sz="4" w:space="0" w:color="000000"/>
            </w:tcBorders>
            <w:shd w:val="clear" w:color="auto" w:fill="D2D2D2"/>
          </w:tcPr>
          <w:p>
            <w:pPr/>
          </w:p>
        </w:tc>
        <w:tc>
          <w:tcPr>
            <w:tcW w:w="238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2"/>
                <w:sz w:val="18"/>
              </w:rPr>
              <w:t>114,238,595.25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5,711,929.76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7"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24,103,201.92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2,410,320.19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26,742,934.27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5,348,586.85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26"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17,817,887.48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8,908,943.74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182,902,618.92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22,379,780.54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12.24%</w:t>
            </w:r>
          </w:p>
        </w:tc>
      </w:tr>
    </w:tbl>
    <w:p>
      <w:pPr>
        <w:pStyle w:val="BodyText"/>
        <w:spacing w:line="273" w:lineRule="auto" w:before="10"/>
        <w:ind w:right="5823"/>
        <w:jc w:val="left"/>
      </w:pPr>
      <w:r>
        <w:rPr>
          <w:spacing w:val="-3"/>
        </w:rPr>
        <w:t>确定该组合依据的说明：</w:t>
      </w:r>
      <w:r>
        <w:rPr>
          <w:spacing w:val="-56"/>
        </w:rPr>
        <w:t> </w:t>
      </w:r>
      <w:r>
        <w:rPr>
          <w:spacing w:val="-56"/>
        </w:rPr>
      </w:r>
      <w:r>
        <w:rPr>
          <w:spacing w:val="-3"/>
        </w:rPr>
        <w:t>组合中，采用余额百分比法计提坏账准备的应收账款：</w:t>
      </w:r>
    </w:p>
    <w:p>
      <w:pPr>
        <w:pStyle w:val="BodyText"/>
        <w:spacing w:line="271" w:lineRule="auto" w:before="13"/>
        <w:ind w:right="58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组合中，采用其他方法计提坏账准备的应收账款：</w:t>
      </w:r>
      <w:r>
        <w:rPr>
          <w:spacing w:val="-22"/>
        </w:rPr>
        <w:t> </w:t>
      </w:r>
      <w:r>
        <w:rPr>
          <w:spacing w:val="-22"/>
        </w:rPr>
      </w:r>
      <w:r>
        <w:rPr>
          <w:rFonts w:ascii="Times New Roman" w:hAnsi="Times New Roman" w:cs="Times New Roman" w:eastAsia="Times New Roman" w:hint="default"/>
          <w:spacing w:val="-3"/>
        </w:rPr>
        <w:t>2)</w:t>
      </w:r>
      <w:r>
        <w:rPr>
          <w:spacing w:val="-3"/>
        </w:rPr>
        <w:t>本期计提、收回或转回的坏账准备情况</w:t>
      </w:r>
    </w:p>
    <w:p>
      <w:pPr>
        <w:pStyle w:val="BodyText"/>
        <w:spacing w:line="234" w:lineRule="exact"/>
        <w:ind w:left="513" w:right="1055"/>
        <w:jc w:val="left"/>
      </w:pPr>
      <w:r>
        <w:rPr/>
        <w:t>本期计提坏账准备金额</w:t>
      </w:r>
      <w:r>
        <w:rPr>
          <w:rFonts w:ascii="宋体" w:hAnsi="宋体" w:cs="宋体" w:eastAsia="宋体" w:hint="default"/>
        </w:rPr>
        <w:t>6,286,714.59</w:t>
      </w:r>
      <w:r>
        <w:rPr/>
        <w:t>元；本期收回或转回坏账准备金额</w:t>
      </w:r>
      <w:r>
        <w:rPr>
          <w:rFonts w:ascii="宋体" w:hAnsi="宋体" w:cs="宋体" w:eastAsia="宋体" w:hint="default"/>
        </w:rPr>
        <w:t>0.00</w:t>
      </w:r>
      <w:r>
        <w:rPr/>
        <w:t>元。</w:t>
      </w:r>
    </w:p>
    <w:p>
      <w:pPr>
        <w:pStyle w:val="BodyText"/>
        <w:spacing w:line="259" w:lineRule="auto" w:before="158"/>
        <w:ind w:left="513" w:right="6932" w:hanging="360"/>
        <w:jc w:val="left"/>
      </w:pPr>
      <w:r>
        <w:rPr>
          <w:rFonts w:ascii="Times New Roman" w:hAnsi="Times New Roman" w:cs="Times New Roman" w:eastAsia="Times New Roman" w:hint="default"/>
        </w:rPr>
        <w:t>3)</w:t>
      </w:r>
      <w:r>
        <w:rPr/>
        <w:t>本期实际核销的应收账款情况</w:t>
      </w:r>
      <w:r>
        <w:rPr>
          <w:spacing w:val="-86"/>
        </w:rPr>
        <w:t> </w:t>
      </w:r>
      <w:r>
        <w:rPr>
          <w:spacing w:val="-86"/>
        </w:rPr>
      </w:r>
      <w:r>
        <w:rPr>
          <w:spacing w:val="-3"/>
        </w:rPr>
        <w:t>本年无实际核销的应收账款情况。</w:t>
      </w:r>
    </w:p>
    <w:p>
      <w:pPr>
        <w:spacing w:line="240" w:lineRule="auto" w:before="0"/>
        <w:rPr>
          <w:rFonts w:ascii="宋体" w:hAnsi="宋体" w:cs="宋体" w:eastAsia="宋体" w:hint="default"/>
          <w:sz w:val="18"/>
          <w:szCs w:val="18"/>
        </w:rPr>
      </w:pPr>
    </w:p>
    <w:p>
      <w:pPr>
        <w:pStyle w:val="BodyText"/>
        <w:spacing w:line="259" w:lineRule="auto" w:before="119"/>
        <w:ind w:left="513" w:right="1213" w:hanging="360"/>
        <w:jc w:val="left"/>
      </w:pPr>
      <w:r>
        <w:rPr>
          <w:rFonts w:ascii="Times New Roman" w:hAnsi="Times New Roman" w:cs="Times New Roman" w:eastAsia="Times New Roman" w:hint="default"/>
          <w:spacing w:val="-3"/>
        </w:rPr>
        <w:t>4)</w:t>
      </w:r>
      <w:r>
        <w:rPr>
          <w:spacing w:val="-3"/>
        </w:rPr>
        <w:t>按欠款方归集的期末余额前五名的应收账款情况</w:t>
      </w:r>
      <w:r>
        <w:rPr>
          <w:spacing w:val="-18"/>
        </w:rPr>
        <w:t> </w:t>
      </w:r>
      <w:r>
        <w:rPr>
          <w:spacing w:val="-18"/>
        </w:rPr>
      </w:r>
      <w:r>
        <w:rPr>
          <w:spacing w:val="-2"/>
        </w:rPr>
        <w:t>本公司本年按欠款方归集的年末余额前五名应收账款汇总金额</w:t>
      </w:r>
      <w:r>
        <w:rPr>
          <w:rFonts w:ascii="宋体" w:hAnsi="宋体" w:cs="宋体" w:eastAsia="宋体" w:hint="default"/>
          <w:spacing w:val="-2"/>
        </w:rPr>
        <w:t>23,602,268.29</w:t>
      </w:r>
      <w:r>
        <w:rPr>
          <w:rFonts w:ascii="宋体" w:hAnsi="宋体" w:cs="宋体" w:eastAsia="宋体" w:hint="default"/>
        </w:rPr>
        <w:t> </w:t>
      </w:r>
      <w:r>
        <w:rPr>
          <w:rFonts w:ascii="宋体" w:hAnsi="宋体" w:cs="宋体" w:eastAsia="宋体" w:hint="default"/>
          <w:spacing w:val="39"/>
        </w:rPr>
        <w:t> </w:t>
      </w:r>
      <w:r>
        <w:rPr>
          <w:spacing w:val="-3"/>
        </w:rPr>
        <w:t>元，占应收账款期末余额合计数的比例</w:t>
      </w:r>
    </w:p>
    <w:p>
      <w:pPr>
        <w:pStyle w:val="BodyText"/>
        <w:spacing w:line="240" w:lineRule="auto" w:before="100"/>
        <w:ind w:right="1055"/>
        <w:jc w:val="left"/>
      </w:pPr>
      <w:r>
        <w:rPr>
          <w:rFonts w:ascii="宋体" w:hAnsi="宋体" w:cs="宋体" w:eastAsia="宋体" w:hint="default"/>
        </w:rPr>
        <w:t>12.90%</w:t>
      </w:r>
      <w:r>
        <w:rPr/>
        <w:t>，相应计提的坏账准备期末余额汇总金额</w:t>
      </w:r>
      <w:r>
        <w:rPr>
          <w:rFonts w:ascii="宋体" w:hAnsi="宋体" w:cs="宋体" w:eastAsia="宋体" w:hint="default"/>
        </w:rPr>
        <w:t>2,401,121.69</w:t>
      </w:r>
      <w:r>
        <w:rPr/>
        <w:t>元。</w:t>
      </w:r>
    </w:p>
    <w:p>
      <w:pPr>
        <w:pStyle w:val="BodyText"/>
        <w:spacing w:line="259" w:lineRule="auto" w:before="158"/>
        <w:ind w:left="513" w:right="7278" w:hanging="360"/>
        <w:jc w:val="left"/>
      </w:pPr>
      <w:r>
        <w:rPr>
          <w:rFonts w:ascii="Times New Roman" w:hAnsi="Times New Roman" w:cs="Times New Roman" w:eastAsia="Times New Roman" w:hint="default"/>
          <w:spacing w:val="-3"/>
        </w:rPr>
        <w:t>5)</w:t>
      </w:r>
      <w:r>
        <w:rPr>
          <w:spacing w:val="-3"/>
        </w:rPr>
        <w:t>因金融资产转移而终止确认的应收账款</w:t>
      </w:r>
      <w:r>
        <w:rPr>
          <w:spacing w:val="-30"/>
        </w:rPr>
        <w:t> </w:t>
      </w:r>
      <w:r>
        <w:rPr>
          <w:spacing w:val="-30"/>
        </w:rPr>
      </w:r>
      <w:r>
        <w:rPr/>
        <w:t>无。</w:t>
      </w:r>
    </w:p>
    <w:p>
      <w:pPr>
        <w:pStyle w:val="BodyText"/>
        <w:spacing w:line="259" w:lineRule="auto" w:before="143"/>
        <w:ind w:left="513" w:right="6570" w:hanging="360"/>
        <w:jc w:val="left"/>
      </w:pPr>
      <w:r>
        <w:rPr>
          <w:rFonts w:ascii="Times New Roman" w:hAnsi="Times New Roman" w:cs="Times New Roman" w:eastAsia="Times New Roman" w:hint="default"/>
          <w:spacing w:val="-3"/>
        </w:rPr>
        <w:t>6)</w:t>
      </w:r>
      <w:r>
        <w:rPr>
          <w:spacing w:val="-3"/>
        </w:rPr>
        <w:t>转移应收账款且继续涉入形成的资产、负债金额</w:t>
      </w:r>
      <w:r>
        <w:rPr>
          <w:spacing w:val="-18"/>
        </w:rPr>
        <w:t> </w:t>
      </w:r>
      <w:r>
        <w:rPr>
          <w:spacing w:val="-18"/>
        </w:rPr>
      </w:r>
      <w:r>
        <w:rPr/>
        <w:t>无。</w:t>
      </w:r>
    </w:p>
    <w:p>
      <w:pPr>
        <w:spacing w:line="240" w:lineRule="auto" w:before="0"/>
        <w:rPr>
          <w:rFonts w:ascii="宋体" w:hAnsi="宋体" w:cs="宋体" w:eastAsia="宋体" w:hint="default"/>
          <w:sz w:val="18"/>
          <w:szCs w:val="18"/>
        </w:rPr>
      </w:pPr>
    </w:p>
    <w:p>
      <w:pPr>
        <w:pStyle w:val="Heading3"/>
        <w:spacing w:line="240" w:lineRule="auto" w:before="156"/>
        <w:ind w:right="1055"/>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315,616.44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162,900.00</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2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84,369,262.96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2"/>
                <w:sz w:val="18"/>
              </w:rPr>
              <w:t>117,392,199.96</w:t>
            </w: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104,684,879.40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167,555,099.96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1)</w:t>
      </w:r>
      <w:r>
        <w:rPr/>
        <w:t>应收利息分类</w:t>
      </w:r>
    </w:p>
    <w:p>
      <w:pPr>
        <w:pStyle w:val="BodyText"/>
        <w:spacing w:line="240" w:lineRule="auto" w:before="24"/>
        <w:ind w:left="0" w:right="1121"/>
        <w:jc w:val="right"/>
      </w:pPr>
      <w:r>
        <w:rPr/>
        <w:t>单位：</w:t>
      </w:r>
      <w:r>
        <w:rPr>
          <w:spacing w:val="5"/>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315,616.44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162,900.00</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315,616.44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162,900.00</w:t>
            </w:r>
          </w:p>
        </w:tc>
      </w:tr>
    </w:tbl>
    <w:p>
      <w:pPr>
        <w:pStyle w:val="BodyText"/>
        <w:spacing w:line="259" w:lineRule="auto" w:before="10"/>
        <w:ind w:left="513" w:right="9217" w:hanging="360"/>
        <w:jc w:val="left"/>
      </w:pPr>
      <w:r>
        <w:rPr>
          <w:rFonts w:ascii="Times New Roman" w:hAnsi="Times New Roman" w:cs="Times New Roman" w:eastAsia="Times New Roman" w:hint="default"/>
          <w:spacing w:val="-2"/>
        </w:rPr>
        <w:t>2)</w:t>
      </w:r>
      <w:r>
        <w:rPr>
          <w:spacing w:val="-2"/>
        </w:rPr>
        <w:t>重要逾期利息</w:t>
      </w:r>
      <w:r>
        <w:rPr>
          <w:spacing w:val="-72"/>
        </w:rPr>
        <w:t> </w:t>
      </w:r>
      <w:r>
        <w:rPr>
          <w:spacing w:val="-72"/>
        </w:rPr>
      </w:r>
      <w:r>
        <w:rPr/>
        <w:t>无。</w:t>
      </w:r>
    </w:p>
    <w:p>
      <w:pPr>
        <w:spacing w:line="240" w:lineRule="auto" w:before="0"/>
        <w:rPr>
          <w:rFonts w:ascii="宋体" w:hAnsi="宋体" w:cs="宋体" w:eastAsia="宋体" w:hint="default"/>
          <w:sz w:val="18"/>
          <w:szCs w:val="18"/>
        </w:rPr>
      </w:pPr>
    </w:p>
    <w:p>
      <w:pPr>
        <w:pStyle w:val="Heading3"/>
        <w:spacing w:line="240" w:lineRule="auto" w:before="156"/>
        <w:ind w:right="1055"/>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1)</w:t>
      </w:r>
      <w:r>
        <w:rPr/>
        <w:t>应收股利</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北京亿美软通科技有限公司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59" w:lineRule="auto" w:before="10"/>
        <w:ind w:left="513" w:right="8083" w:hanging="360"/>
        <w:jc w:val="left"/>
      </w:pPr>
      <w:r>
        <w:rPr>
          <w:rFonts w:ascii="Times New Roman" w:hAnsi="Times New Roman" w:cs="Times New Roman" w:eastAsia="Times New Roman" w:hint="default"/>
        </w:rPr>
        <w:t>2)</w:t>
      </w:r>
      <w:r>
        <w:rPr/>
        <w:t>重要的账龄超过</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年的应收股利</w:t>
      </w:r>
      <w:r>
        <w:rPr>
          <w:spacing w:val="-88"/>
        </w:rPr>
        <w:t> </w:t>
      </w:r>
      <w:r>
        <w:rPr>
          <w:spacing w:val="-88"/>
        </w:rPr>
      </w:r>
      <w:r>
        <w:rPr/>
        <w:t>无。</w:t>
      </w:r>
    </w:p>
    <w:p>
      <w:pPr>
        <w:spacing w:line="240" w:lineRule="auto" w:before="0"/>
        <w:rPr>
          <w:rFonts w:ascii="宋体" w:hAnsi="宋体" w:cs="宋体" w:eastAsia="宋体" w:hint="default"/>
          <w:sz w:val="18"/>
          <w:szCs w:val="18"/>
        </w:rPr>
      </w:pPr>
    </w:p>
    <w:p>
      <w:pPr>
        <w:pStyle w:val="Heading3"/>
        <w:spacing w:line="240" w:lineRule="auto" w:before="156"/>
        <w:ind w:right="1055"/>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1)</w:t>
      </w:r>
      <w:r>
        <w:rPr/>
        <w:t>其他应收款分类披露</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8"/>
        <w:gridCol w:w="653"/>
        <w:gridCol w:w="764"/>
        <w:gridCol w:w="816"/>
        <w:gridCol w:w="932"/>
        <w:gridCol w:w="932"/>
      </w:tblGrid>
      <w:tr>
        <w:trPr>
          <w:trHeight w:val="322"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7"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9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85,647,7</w:t>
            </w:r>
          </w:p>
          <w:p>
            <w:pPr>
              <w:pStyle w:val="TableParagraph"/>
              <w:spacing w:line="207" w:lineRule="exact"/>
              <w:ind w:left="326" w:right="0"/>
              <w:jc w:val="left"/>
              <w:rPr>
                <w:rFonts w:ascii="Times New Roman" w:hAnsi="Times New Roman" w:cs="Times New Roman" w:eastAsia="Times New Roman" w:hint="default"/>
                <w:sz w:val="18"/>
                <w:szCs w:val="18"/>
              </w:rPr>
            </w:pPr>
            <w:r>
              <w:rPr>
                <w:rFonts w:ascii="Times New Roman"/>
                <w:sz w:val="18"/>
              </w:rPr>
              <w:t>55.64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1,278,49</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2.68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84,369,26</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2.96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8" w:right="0"/>
              <w:jc w:val="left"/>
              <w:rPr>
                <w:rFonts w:ascii="Times New Roman" w:hAnsi="Times New Roman" w:cs="Times New Roman" w:eastAsia="Times New Roman" w:hint="default"/>
                <w:sz w:val="18"/>
                <w:szCs w:val="18"/>
              </w:rPr>
            </w:pPr>
            <w:r>
              <w:rPr>
                <w:rFonts w:ascii="Times New Roman"/>
                <w:sz w:val="18"/>
              </w:rPr>
              <w:t>118,057</w:t>
            </w:r>
          </w:p>
          <w:p>
            <w:pPr>
              <w:pStyle w:val="TableParagraph"/>
              <w:spacing w:line="207" w:lineRule="exact"/>
              <w:ind w:left="86" w:right="0"/>
              <w:jc w:val="left"/>
              <w:rPr>
                <w:rFonts w:ascii="Times New Roman" w:hAnsi="Times New Roman" w:cs="Times New Roman" w:eastAsia="Times New Roman" w:hint="default"/>
                <w:sz w:val="18"/>
                <w:szCs w:val="18"/>
              </w:rPr>
            </w:pPr>
            <w:r>
              <w:rPr>
                <w:rFonts w:ascii="Times New Roman"/>
                <w:sz w:val="18"/>
              </w:rPr>
              <w:t>,203.71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665,003.7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100" w:right="0"/>
              <w:jc w:val="left"/>
              <w:rPr>
                <w:rFonts w:ascii="Times New Roman" w:hAnsi="Times New Roman" w:cs="Times New Roman" w:eastAsia="Times New Roman" w:hint="default"/>
                <w:sz w:val="18"/>
                <w:szCs w:val="18"/>
              </w:rPr>
            </w:pPr>
            <w:r>
              <w:rPr>
                <w:rFonts w:ascii="Times New Roman"/>
                <w:sz w:val="18"/>
              </w:rPr>
              <w:t>117,392,19</w:t>
            </w:r>
          </w:p>
          <w:p>
            <w:pPr>
              <w:pStyle w:val="TableParagraph"/>
              <w:spacing w:line="207" w:lineRule="exact"/>
              <w:ind w:left="586" w:right="0"/>
              <w:jc w:val="left"/>
              <w:rPr>
                <w:rFonts w:ascii="Times New Roman" w:hAnsi="Times New Roman" w:cs="Times New Roman" w:eastAsia="Times New Roman" w:hint="default"/>
                <w:sz w:val="18"/>
                <w:szCs w:val="18"/>
              </w:rPr>
            </w:pPr>
            <w:r>
              <w:rPr>
                <w:rFonts w:ascii="Times New Roman"/>
                <w:sz w:val="18"/>
              </w:rPr>
              <w:t>9.96</w:t>
            </w:r>
          </w:p>
        </w:tc>
      </w:tr>
      <w:tr>
        <w:trPr>
          <w:trHeight w:val="50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Times New Roman" w:hAnsi="Times New Roman" w:cs="Times New Roman" w:eastAsia="Times New Roman" w:hint="default"/>
                <w:sz w:val="18"/>
                <w:szCs w:val="18"/>
              </w:rPr>
            </w:pPr>
            <w:r>
              <w:rPr>
                <w:rFonts w:ascii="Times New Roman"/>
                <w:sz w:val="18"/>
              </w:rPr>
              <w:t>85,647,7</w:t>
            </w: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55.64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5"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Times New Roman" w:hAnsi="Times New Roman" w:cs="Times New Roman" w:eastAsia="Times New Roman" w:hint="default"/>
                <w:sz w:val="18"/>
                <w:szCs w:val="18"/>
              </w:rPr>
            </w:pPr>
            <w:r>
              <w:rPr>
                <w:rFonts w:ascii="Times New Roman"/>
                <w:sz w:val="18"/>
              </w:rPr>
              <w:t>1,278,49</w:t>
            </w: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1.49%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 w:right="0"/>
              <w:jc w:val="left"/>
              <w:rPr>
                <w:rFonts w:ascii="Times New Roman" w:hAnsi="Times New Roman" w:cs="Times New Roman" w:eastAsia="Times New Roman" w:hint="default"/>
                <w:sz w:val="18"/>
                <w:szCs w:val="18"/>
              </w:rPr>
            </w:pPr>
            <w:r>
              <w:rPr>
                <w:rFonts w:ascii="Times New Roman"/>
                <w:sz w:val="18"/>
              </w:rPr>
              <w:t>84,369,26</w:t>
            </w: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2.96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0"/>
              <w:jc w:val="left"/>
              <w:rPr>
                <w:rFonts w:ascii="Times New Roman" w:hAnsi="Times New Roman" w:cs="Times New Roman" w:eastAsia="Times New Roman" w:hint="default"/>
                <w:sz w:val="18"/>
                <w:szCs w:val="18"/>
              </w:rPr>
            </w:pPr>
            <w:r>
              <w:rPr>
                <w:rFonts w:ascii="Times New Roman"/>
                <w:sz w:val="18"/>
              </w:rPr>
              <w:t>118,057</w:t>
            </w: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,203.71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665,003.7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spacing w:val="-1"/>
                <w:sz w:val="18"/>
              </w:rPr>
              <w:t>0.56%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Times New Roman" w:hAnsi="Times New Roman" w:cs="Times New Roman" w:eastAsia="Times New Roman" w:hint="default"/>
                <w:sz w:val="18"/>
                <w:szCs w:val="18"/>
              </w:rPr>
            </w:pPr>
            <w:r>
              <w:rPr>
                <w:rFonts w:ascii="Times New Roman"/>
                <w:sz w:val="18"/>
              </w:rPr>
              <w:t>117,392,19</w:t>
            </w: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9.96</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186" w:top="1100" w:bottom="1380" w:left="980" w:right="0"/>
        </w:sectPr>
      </w:pPr>
    </w:p>
    <w:p>
      <w:pPr>
        <w:pStyle w:val="BodyText"/>
        <w:spacing w:line="240" w:lineRule="auto" w:before="10"/>
        <w:ind w:right="0"/>
        <w:jc w:val="left"/>
      </w:pPr>
      <w:r>
        <w:rPr>
          <w:spacing w:val="-3"/>
        </w:rPr>
        <w:t>期末单项金额重大并单项计提坏账准备的其他应收款：</w:t>
      </w:r>
    </w:p>
    <w:p>
      <w:pPr>
        <w:pStyle w:val="BodyText"/>
        <w:spacing w:line="264" w:lineRule="auto" w:before="33"/>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组合中，按账龄分析法计提坏账准备的其他应收款：</w:t>
      </w:r>
    </w:p>
    <w:p>
      <w:pPr>
        <w:pStyle w:val="BodyText"/>
        <w:spacing w:line="240" w:lineRule="auto" w:before="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5"/>
        </w:rPr>
        <w:t> </w:t>
      </w:r>
      <w:r>
        <w:rPr/>
        <w:t>元</w:t>
      </w:r>
    </w:p>
    <w:p>
      <w:pPr>
        <w:spacing w:after="0" w:line="240" w:lineRule="auto"/>
        <w:jc w:val="left"/>
        <w:sectPr>
          <w:type w:val="continuous"/>
          <w:pgSz w:w="11910" w:h="16840"/>
          <w:pgMar w:top="1580" w:bottom="700" w:left="980" w:right="0"/>
          <w:cols w:num="2" w:equalWidth="0">
            <w:col w:w="4479" w:space="4351"/>
            <w:col w:w="2100"/>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3"/>
        <w:gridCol w:w="2299"/>
        <w:gridCol w:w="2387"/>
        <w:gridCol w:w="2391"/>
      </w:tblGrid>
      <w:tr>
        <w:trPr>
          <w:trHeight w:val="168"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6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8"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9" w:type="dxa"/>
            <w:vMerge/>
            <w:tcBorders>
              <w:left w:val="single" w:sz="4" w:space="0" w:color="000000"/>
              <w:bottom w:val="single" w:sz="4" w:space="0" w:color="000000"/>
              <w:right w:val="single" w:sz="4" w:space="0" w:color="000000"/>
            </w:tcBorders>
            <w:shd w:val="clear" w:color="auto" w:fill="D2D2D2"/>
          </w:tcPr>
          <w:p>
            <w:pPr/>
          </w:p>
        </w:tc>
        <w:tc>
          <w:tcPr>
            <w:tcW w:w="238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12,254,397.59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612,719.88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326"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1,275,261.39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127,526.14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1,522,334.95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304,466.99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26"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467,559.33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233,779.67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pacing w:val="-1"/>
                <w:sz w:val="18"/>
              </w:rPr>
              <w:t>15,519,553.26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1,278,492.68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8.24%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12"/>
        <w:rPr>
          <w:rFonts w:ascii="宋体" w:hAnsi="宋体" w:cs="宋体" w:eastAsia="宋体" w:hint="default"/>
          <w:sz w:val="18"/>
          <w:szCs w:val="18"/>
        </w:rPr>
      </w:pPr>
    </w:p>
    <w:p>
      <w:pPr>
        <w:pStyle w:val="BodyText"/>
        <w:spacing w:line="273" w:lineRule="auto" w:before="46"/>
        <w:ind w:right="5823"/>
        <w:jc w:val="left"/>
      </w:pPr>
      <w:r>
        <w:rPr>
          <w:spacing w:val="-3"/>
        </w:rPr>
        <w:t>确定该组合依据的说明：</w:t>
      </w:r>
      <w:r>
        <w:rPr>
          <w:spacing w:val="-56"/>
        </w:rPr>
        <w:t> </w:t>
      </w:r>
      <w:r>
        <w:rPr>
          <w:spacing w:val="-56"/>
        </w:rPr>
      </w:r>
      <w:r>
        <w:rPr>
          <w:spacing w:val="-3"/>
        </w:rPr>
        <w:t>组合中，采用余额百分比法计提坏账准备的其他应收款：</w:t>
      </w:r>
    </w:p>
    <w:p>
      <w:pPr>
        <w:pStyle w:val="BodyText"/>
        <w:spacing w:line="264" w:lineRule="auto" w:before="13"/>
        <w:ind w:right="58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组合中，采用其他方法计提坏账准备的其他应收款：</w:t>
      </w:r>
    </w:p>
    <w:p>
      <w:pPr>
        <w:pStyle w:val="BodyText"/>
        <w:spacing w:line="240" w:lineRule="auto" w:before="20"/>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64" w:lineRule="auto" w:before="24"/>
        <w:ind w:left="513" w:right="1641" w:hanging="360"/>
        <w:jc w:val="left"/>
      </w:pPr>
      <w:r>
        <w:rPr>
          <w:rFonts w:ascii="Times New Roman" w:hAnsi="Times New Roman" w:cs="Times New Roman" w:eastAsia="Times New Roman" w:hint="default"/>
          <w:spacing w:val="-3"/>
        </w:rPr>
        <w:t>2)</w:t>
      </w:r>
      <w:r>
        <w:rPr>
          <w:spacing w:val="-3"/>
        </w:rPr>
        <w:t>本期计提、收回或转回的坏账准备情况</w:t>
      </w:r>
      <w:r>
        <w:rPr>
          <w:spacing w:val="-30"/>
        </w:rPr>
        <w:t> </w:t>
      </w:r>
      <w:r>
        <w:rPr>
          <w:spacing w:val="-30"/>
        </w:rPr>
      </w:r>
      <w:r>
        <w:rPr>
          <w:spacing w:val="-3"/>
        </w:rPr>
        <w:t>本期计提坏账准备金额</w:t>
      </w:r>
      <w:r>
        <w:rPr>
          <w:rFonts w:ascii="宋体" w:hAnsi="宋体" w:cs="宋体" w:eastAsia="宋体" w:hint="default"/>
          <w:spacing w:val="-3"/>
        </w:rPr>
        <w:t>613,488.93</w:t>
      </w:r>
      <w:r>
        <w:rPr>
          <w:spacing w:val="-3"/>
        </w:rPr>
        <w:t>元；本期收回或转回坏账准备金额</w:t>
      </w:r>
      <w:r>
        <w:rPr>
          <w:rFonts w:ascii="宋体" w:hAnsi="宋体" w:cs="宋体" w:eastAsia="宋体" w:hint="default"/>
          <w:spacing w:val="-3"/>
        </w:rPr>
        <w:t>0.00</w:t>
      </w:r>
      <w:r>
        <w:rPr>
          <w:spacing w:val="-3"/>
        </w:rPr>
        <w:t>元。</w:t>
      </w:r>
      <w:r>
        <w:rPr/>
      </w:r>
    </w:p>
    <w:p>
      <w:pPr>
        <w:pStyle w:val="BodyText"/>
        <w:spacing w:line="259" w:lineRule="auto" w:before="140"/>
        <w:ind w:left="513" w:right="6932" w:hanging="360"/>
        <w:jc w:val="left"/>
      </w:pPr>
      <w:r>
        <w:rPr>
          <w:rFonts w:ascii="Times New Roman" w:hAnsi="Times New Roman" w:cs="Times New Roman" w:eastAsia="Times New Roman" w:hint="default"/>
          <w:spacing w:val="-3"/>
        </w:rPr>
        <w:t>3)</w:t>
      </w:r>
      <w:r>
        <w:rPr>
          <w:spacing w:val="-3"/>
        </w:rPr>
        <w:t>本期实际核销的其他应收款情况</w:t>
      </w:r>
      <w:r>
        <w:rPr>
          <w:spacing w:val="-41"/>
        </w:rPr>
        <w:t> </w:t>
      </w:r>
      <w:r>
        <w:rPr>
          <w:spacing w:val="-41"/>
        </w:rPr>
      </w:r>
      <w:r>
        <w:rPr>
          <w:spacing w:val="-3"/>
        </w:rPr>
        <w:t>本年无实际核销的其他应收款情况。</w:t>
      </w:r>
    </w:p>
    <w:p>
      <w:pPr>
        <w:pStyle w:val="BodyText"/>
        <w:spacing w:line="240" w:lineRule="auto" w:before="144"/>
        <w:ind w:right="1055"/>
        <w:jc w:val="left"/>
      </w:pPr>
      <w:r>
        <w:rPr>
          <w:rFonts w:ascii="Times New Roman" w:hAnsi="Times New Roman" w:cs="Times New Roman" w:eastAsia="Times New Roman" w:hint="default"/>
          <w:spacing w:val="-3"/>
        </w:rPr>
        <w:t>4)</w:t>
      </w:r>
      <w:r>
        <w:rPr>
          <w:spacing w:val="-3"/>
        </w:rPr>
        <w:t>其他应收款按款项性质分类情况</w:t>
      </w:r>
    </w:p>
    <w:p>
      <w:pPr>
        <w:pStyle w:val="BodyText"/>
        <w:spacing w:line="240" w:lineRule="auto" w:before="19"/>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326"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子公司借款</w:t>
            </w:r>
            <w:r>
              <w:rPr>
                <w:rFonts w:ascii="宋体" w:hAnsi="宋体" w:cs="宋体" w:eastAsia="宋体" w:hint="default"/>
                <w:sz w:val="18"/>
                <w:szCs w:val="18"/>
              </w:rPr>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59,500,000.00</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92,859,430.16</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子公司及外部往来款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19,477,898.54</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17,002,838.48</w:t>
            </w:r>
          </w:p>
        </w:tc>
      </w:tr>
      <w:tr>
        <w:trPr>
          <w:trHeight w:val="327"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2,314,200.70</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1,478,954.57</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4,000,275.19</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5,446,411.93</w:t>
            </w:r>
          </w:p>
        </w:tc>
      </w:tr>
      <w:tr>
        <w:trPr>
          <w:trHeight w:val="32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135,560.70</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49,362.68</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219,820.51</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1,220,205.89</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85,647,755.64</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2"/>
                <w:sz w:val="18"/>
              </w:rPr>
              <w:t>118,057,203.71</w:t>
            </w:r>
          </w:p>
        </w:tc>
      </w:tr>
    </w:tbl>
    <w:p>
      <w:pPr>
        <w:pStyle w:val="BodyText"/>
        <w:spacing w:line="240" w:lineRule="auto" w:before="10"/>
        <w:ind w:right="1055"/>
        <w:jc w:val="left"/>
      </w:pPr>
      <w:r>
        <w:rPr>
          <w:rFonts w:ascii="Times New Roman" w:hAnsi="Times New Roman" w:cs="Times New Roman" w:eastAsia="Times New Roman" w:hint="default"/>
          <w:spacing w:val="-3"/>
        </w:rPr>
        <w:t>5)</w:t>
      </w:r>
      <w:r>
        <w:rPr>
          <w:spacing w:val="-3"/>
        </w:rPr>
        <w:t>按欠款方归集的期末余额前五名的其他应收款情况</w:t>
      </w:r>
    </w:p>
    <w:p>
      <w:pPr>
        <w:pStyle w:val="BodyText"/>
        <w:spacing w:line="240" w:lineRule="auto" w:before="25"/>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4"/>
        <w:gridCol w:w="1618"/>
      </w:tblGrid>
      <w:tr>
        <w:trPr>
          <w:trHeight w:val="557"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子公司借款</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59,500,000.00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69.47%</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9,548,279.20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3"/>
                <w:sz w:val="18"/>
              </w:rPr>
              <w:t>11.15%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8,985,256.86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10.49%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449,262.84</w:t>
            </w: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944,362.48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1.10%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645,073.91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0.75%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32,253.70</w:t>
            </w: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
              <w:jc w:val="right"/>
              <w:rPr>
                <w:rFonts w:ascii="Times New Roman" w:hAnsi="Times New Roman" w:cs="Times New Roman" w:eastAsia="Times New Roman" w:hint="default"/>
                <w:sz w:val="18"/>
                <w:szCs w:val="18"/>
              </w:rPr>
            </w:pPr>
            <w:r>
              <w:rPr>
                <w:rFonts w:ascii="Times New Roman"/>
                <w:spacing w:val="-1"/>
                <w:sz w:val="18"/>
              </w:rPr>
              <w:t>79,622,972.45</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
              <w:jc w:val="right"/>
              <w:rPr>
                <w:rFonts w:ascii="Times New Roman" w:hAnsi="Times New Roman" w:cs="Times New Roman" w:eastAsia="Times New Roman" w:hint="default"/>
                <w:sz w:val="18"/>
                <w:szCs w:val="18"/>
              </w:rPr>
            </w:pPr>
            <w:r>
              <w:rPr>
                <w:rFonts w:ascii="Times New Roman"/>
                <w:spacing w:val="-1"/>
                <w:sz w:val="18"/>
              </w:rPr>
              <w:t>92.96%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481,516.54</w:t>
            </w:r>
          </w:p>
        </w:tc>
      </w:tr>
    </w:tbl>
    <w:p>
      <w:pPr>
        <w:pStyle w:val="BodyText"/>
        <w:spacing w:line="259" w:lineRule="auto" w:before="10"/>
        <w:ind w:left="513" w:right="8420" w:hanging="360"/>
        <w:jc w:val="left"/>
      </w:pPr>
      <w:r>
        <w:rPr>
          <w:rFonts w:ascii="Times New Roman" w:hAnsi="Times New Roman" w:cs="Times New Roman" w:eastAsia="Times New Roman" w:hint="default"/>
          <w:spacing w:val="-2"/>
        </w:rPr>
        <w:t>6)</w:t>
      </w:r>
      <w:r>
        <w:rPr>
          <w:spacing w:val="-2"/>
        </w:rPr>
        <w:t>涉及政府补助的应收款项</w:t>
      </w:r>
      <w:r>
        <w:rPr>
          <w:spacing w:val="-60"/>
        </w:rPr>
        <w:t> </w:t>
      </w:r>
      <w:r>
        <w:rPr>
          <w:spacing w:val="-60"/>
        </w:rPr>
      </w:r>
      <w:r>
        <w:rPr/>
        <w:t>无。</w:t>
      </w:r>
    </w:p>
    <w:p>
      <w:pPr>
        <w:spacing w:line="240" w:lineRule="auto" w:before="0"/>
        <w:rPr>
          <w:rFonts w:ascii="宋体" w:hAnsi="宋体" w:cs="宋体" w:eastAsia="宋体" w:hint="default"/>
          <w:sz w:val="18"/>
          <w:szCs w:val="18"/>
        </w:rPr>
      </w:pPr>
    </w:p>
    <w:p>
      <w:pPr>
        <w:pStyle w:val="Heading3"/>
        <w:spacing w:line="240" w:lineRule="auto" w:before="157"/>
        <w:ind w:right="1055"/>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9"/>
        <w:gridCol w:w="1364"/>
        <w:gridCol w:w="1368"/>
        <w:gridCol w:w="1369"/>
      </w:tblGrid>
      <w:tr>
        <w:trPr>
          <w:trHeight w:val="326"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384,564,393.37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384,564,393.37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385,564,393.37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385,564,393.37</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70"/>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478,699,128.07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478,699,128.07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540,845,510.31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540,845,510.31</w:t>
            </w:r>
          </w:p>
        </w:tc>
      </w:tr>
      <w:tr>
        <w:trPr>
          <w:trHeight w:val="32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863,263,521.44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863,263,521.44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926,409,903.68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926,409,903.68</w:t>
            </w:r>
          </w:p>
        </w:tc>
      </w:tr>
    </w:tbl>
    <w:p>
      <w:pPr>
        <w:spacing w:line="240" w:lineRule="auto" w:before="1"/>
        <w:rPr>
          <w:rFonts w:ascii="宋体" w:hAnsi="宋体" w:cs="宋体" w:eastAsia="宋体" w:hint="default"/>
          <w:sz w:val="17"/>
          <w:szCs w:val="17"/>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after="0" w:line="240" w:lineRule="auto"/>
        <w:jc w:val="right"/>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45"/>
        <w:gridCol w:w="1340"/>
        <w:gridCol w:w="1335"/>
        <w:gridCol w:w="1335"/>
        <w:gridCol w:w="1335"/>
        <w:gridCol w:w="1392"/>
        <w:gridCol w:w="1388"/>
      </w:tblGrid>
      <w:tr>
        <w:trPr>
          <w:trHeight w:val="557"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600" w:right="55" w:hanging="538"/>
              <w:jc w:val="left"/>
              <w:rPr>
                <w:rFonts w:ascii="宋体" w:hAnsi="宋体" w:cs="宋体" w:eastAsia="宋体" w:hint="default"/>
                <w:sz w:val="18"/>
                <w:szCs w:val="18"/>
              </w:rPr>
            </w:pPr>
            <w:r>
              <w:rPr>
                <w:rFonts w:ascii="宋体" w:hAnsi="宋体" w:cs="宋体" w:eastAsia="宋体" w:hint="default"/>
                <w:spacing w:val="-3"/>
                <w:sz w:val="18"/>
                <w:szCs w:val="18"/>
              </w:rPr>
              <w:t>本期计提减值准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599" w:right="51" w:hanging="538"/>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47"/>
              <w:jc w:val="left"/>
              <w:rPr>
                <w:rFonts w:ascii="宋体" w:hAnsi="宋体" w:cs="宋体" w:eastAsia="宋体" w:hint="default"/>
                <w:sz w:val="18"/>
                <w:szCs w:val="18"/>
              </w:rPr>
            </w:pPr>
            <w:r>
              <w:rPr>
                <w:rFonts w:ascii="宋体" w:hAnsi="宋体" w:cs="宋体" w:eastAsia="宋体" w:hint="default"/>
                <w:spacing w:val="-3"/>
                <w:sz w:val="18"/>
                <w:szCs w:val="18"/>
              </w:rPr>
              <w:t>深圳银之杰拓扑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47"/>
              <w:jc w:val="left"/>
              <w:rPr>
                <w:rFonts w:ascii="宋体" w:hAnsi="宋体" w:cs="宋体" w:eastAsia="宋体" w:hint="default"/>
                <w:sz w:val="18"/>
                <w:szCs w:val="18"/>
              </w:rPr>
            </w:pPr>
            <w:r>
              <w:rPr>
                <w:rFonts w:ascii="宋体" w:hAnsi="宋体" w:cs="宋体" w:eastAsia="宋体" w:hint="default"/>
                <w:spacing w:val="-3"/>
                <w:sz w:val="18"/>
                <w:szCs w:val="18"/>
              </w:rPr>
              <w:t>深圳银之杰智慧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47"/>
              <w:jc w:val="left"/>
              <w:rPr>
                <w:rFonts w:ascii="宋体" w:hAnsi="宋体" w:cs="宋体" w:eastAsia="宋体" w:hint="default"/>
                <w:sz w:val="18"/>
                <w:szCs w:val="18"/>
              </w:rPr>
            </w:pPr>
            <w:r>
              <w:rPr>
                <w:rFonts w:ascii="宋体" w:hAnsi="宋体" w:cs="宋体" w:eastAsia="宋体" w:hint="default"/>
                <w:spacing w:val="-3"/>
                <w:sz w:val="18"/>
                <w:szCs w:val="18"/>
              </w:rPr>
              <w:t>北京亿美软通科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359,999,976.37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359,999,976.37</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34"/>
              <w:jc w:val="left"/>
              <w:rPr>
                <w:rFonts w:ascii="宋体" w:hAnsi="宋体" w:cs="宋体" w:eastAsia="宋体" w:hint="default"/>
                <w:sz w:val="18"/>
                <w:szCs w:val="18"/>
              </w:rPr>
            </w:pPr>
            <w:r>
              <w:rPr>
                <w:rFonts w:ascii="宋体" w:hAnsi="宋体" w:cs="宋体" w:eastAsia="宋体" w:hint="default"/>
                <w:spacing w:val="-2"/>
                <w:sz w:val="18"/>
                <w:szCs w:val="18"/>
              </w:rPr>
              <w:t>安科创新（深圳）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11,564,417.00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11,564,417.00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147"/>
              <w:jc w:val="left"/>
              <w:rPr>
                <w:rFonts w:ascii="宋体" w:hAnsi="宋体" w:cs="宋体" w:eastAsia="宋体" w:hint="default"/>
                <w:sz w:val="18"/>
                <w:szCs w:val="18"/>
              </w:rPr>
            </w:pPr>
            <w:r>
              <w:rPr>
                <w:rFonts w:ascii="宋体" w:hAnsi="宋体" w:cs="宋体" w:eastAsia="宋体" w:hint="default"/>
                <w:spacing w:val="-3"/>
                <w:sz w:val="18"/>
                <w:szCs w:val="18"/>
              </w:rPr>
              <w:t>深圳银之杰资产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147"/>
              <w:jc w:val="left"/>
              <w:rPr>
                <w:rFonts w:ascii="宋体" w:hAnsi="宋体" w:cs="宋体" w:eastAsia="宋体" w:hint="default"/>
                <w:sz w:val="18"/>
                <w:szCs w:val="18"/>
              </w:rPr>
            </w:pPr>
            <w:r>
              <w:rPr>
                <w:rFonts w:ascii="宋体" w:hAnsi="宋体" w:cs="宋体" w:eastAsia="宋体" w:hint="default"/>
                <w:spacing w:val="-3"/>
                <w:sz w:val="18"/>
                <w:szCs w:val="18"/>
              </w:rPr>
              <w:t>深圳市银之杰金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融设备有限公司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385,564,393.37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55" w:right="0"/>
              <w:jc w:val="left"/>
              <w:rPr>
                <w:rFonts w:ascii="Times New Roman" w:hAnsi="Times New Roman" w:cs="Times New Roman" w:eastAsia="Times New Roman" w:hint="default"/>
                <w:sz w:val="18"/>
                <w:szCs w:val="18"/>
              </w:rPr>
            </w:pPr>
            <w:r>
              <w:rPr>
                <w:rFonts w:ascii="Times New Roman"/>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384,564,393.37</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7"/>
          <w:szCs w:val="17"/>
        </w:rPr>
      </w:pPr>
    </w:p>
    <w:p>
      <w:pPr>
        <w:pStyle w:val="Heading3"/>
        <w:spacing w:line="240" w:lineRule="auto" w:before="36"/>
        <w:ind w:right="1055"/>
        <w:jc w:val="left"/>
        <w:rPr>
          <w:b w:val="0"/>
          <w:bCs w:val="0"/>
        </w:rPr>
      </w:pPr>
      <w:r>
        <w:rPr/>
        <w:pict>
          <v:group style="position:absolute;margin-left:129.410004pt;margin-top:-111.026329pt;width:66.3pt;height:27.4pt;mso-position-horizontal-relative:page;mso-position-vertical-relative:paragraph;z-index:-820792" coordorigin="2588,-2221" coordsize="1326,548">
            <v:group style="position:absolute;left:2588;top:-2221;width:1326;height:548" coordorigin="2588,-2221" coordsize="1326,548">
              <v:shape style="position:absolute;left:2588;top:-2221;width:1326;height:548" coordorigin="2588,-2221" coordsize="1326,548" path="m2588,-1673l3913,-1673,3913,-2221,2588,-2221,2588,-1673xe" filled="true" fillcolor="#ffffff" stroked="false">
                <v:path arrowok="t"/>
                <v:fill type="solid"/>
              </v:shape>
            </v:group>
            <v:group style="position:absolute;left:2612;top:-2091;width:1278;height:288" coordorigin="2612,-2091" coordsize="1278,288">
              <v:shape style="position:absolute;left:2612;top:-2091;width:1278;height:288" coordorigin="2612,-2091" coordsize="1278,288" path="m2612,-1803l3889,-1803,3889,-2091,2612,-2091,2612,-1803xe" filled="true" fillcolor="#ffffff" stroked="false">
                <v:path arrowok="t"/>
                <v:fill type="solid"/>
              </v:shape>
            </v:group>
            <w10:wrap type="none"/>
          </v:group>
        </w:pict>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2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792"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15" w:right="27"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3"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9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36"/>
              <w:jc w:val="both"/>
              <w:rPr>
                <w:rFonts w:ascii="宋体" w:hAnsi="宋体" w:cs="宋体" w:eastAsia="宋体" w:hint="default"/>
                <w:sz w:val="18"/>
                <w:szCs w:val="18"/>
              </w:rPr>
            </w:pPr>
            <w:r>
              <w:rPr>
                <w:rFonts w:ascii="宋体" w:hAnsi="宋体" w:cs="宋体" w:eastAsia="宋体" w:hint="default"/>
                <w:sz w:val="18"/>
                <w:szCs w:val="18"/>
              </w:rPr>
              <w:t>深圳票联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8,289,322</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-2,372,17</w:t>
            </w:r>
          </w:p>
          <w:p>
            <w:pPr>
              <w:pStyle w:val="TableParagraph"/>
              <w:spacing w:line="240" w:lineRule="auto" w:before="4"/>
              <w:ind w:left="451" w:right="0"/>
              <w:jc w:val="left"/>
              <w:rPr>
                <w:rFonts w:ascii="Times New Roman" w:hAnsi="Times New Roman" w:cs="Times New Roman" w:eastAsia="Times New Roman" w:hint="default"/>
                <w:sz w:val="18"/>
                <w:szCs w:val="18"/>
              </w:rPr>
            </w:pPr>
            <w:r>
              <w:rPr>
                <w:rFonts w:ascii="Times New Roman"/>
                <w:sz w:val="18"/>
              </w:rPr>
              <w:t>2.24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40" w:lineRule="auto" w:before="4"/>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6,325,484</w:t>
            </w:r>
          </w:p>
          <w:p>
            <w:pPr>
              <w:pStyle w:val="TableParagraph"/>
              <w:spacing w:line="240" w:lineRule="auto" w:before="4"/>
              <w:ind w:right="12"/>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36"/>
              <w:jc w:val="both"/>
              <w:rPr>
                <w:rFonts w:ascii="宋体" w:hAnsi="宋体" w:cs="宋体" w:eastAsia="宋体" w:hint="default"/>
                <w:sz w:val="18"/>
                <w:szCs w:val="18"/>
              </w:rPr>
            </w:pPr>
            <w:r>
              <w:rPr>
                <w:rFonts w:ascii="宋体" w:hAnsi="宋体" w:cs="宋体" w:eastAsia="宋体" w:hint="default"/>
                <w:sz w:val="18"/>
                <w:szCs w:val="18"/>
              </w:rPr>
              <w:t>北京华道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征信有限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pacing w:val="-1"/>
                <w:sz w:val="18"/>
              </w:rPr>
              <w:t>5,993,884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-7,621,31</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3.44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-1,627,42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8.88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4" w:right="36"/>
              <w:jc w:val="both"/>
              <w:rPr>
                <w:rFonts w:ascii="宋体" w:hAnsi="宋体" w:cs="宋体" w:eastAsia="宋体" w:hint="default"/>
                <w:sz w:val="18"/>
                <w:szCs w:val="18"/>
              </w:rPr>
            </w:pPr>
            <w:r>
              <w:rPr>
                <w:rFonts w:ascii="宋体" w:hAnsi="宋体" w:cs="宋体" w:eastAsia="宋体" w:hint="default"/>
                <w:sz w:val="18"/>
                <w:szCs w:val="18"/>
              </w:rPr>
              <w:t>易安财产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保险股份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146,723,0</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75.56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-29,912,0</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74.84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76" w:right="0"/>
              <w:jc w:val="left"/>
              <w:rPr>
                <w:rFonts w:ascii="Times New Roman" w:hAnsi="Times New Roman" w:cs="Times New Roman" w:eastAsia="Times New Roman" w:hint="default"/>
                <w:sz w:val="18"/>
                <w:szCs w:val="18"/>
              </w:rPr>
            </w:pPr>
            <w:r>
              <w:rPr>
                <w:rFonts w:ascii="Times New Roman"/>
                <w:sz w:val="18"/>
              </w:rPr>
              <w:t>-8,297,27</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3.50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48" w:right="0"/>
              <w:jc w:val="left"/>
              <w:rPr>
                <w:rFonts w:ascii="Times New Roman" w:hAnsi="Times New Roman" w:cs="Times New Roman" w:eastAsia="Times New Roman" w:hint="default"/>
                <w:sz w:val="18"/>
                <w:szCs w:val="18"/>
              </w:rPr>
            </w:pPr>
            <w:r>
              <w:rPr>
                <w:rFonts w:ascii="Times New Roman"/>
                <w:sz w:val="18"/>
              </w:rPr>
              <w:t>108,513,7</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27.22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9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36"/>
              <w:jc w:val="both"/>
              <w:rPr>
                <w:rFonts w:ascii="宋体" w:hAnsi="宋体" w:cs="宋体" w:eastAsia="宋体" w:hint="default"/>
                <w:sz w:val="18"/>
                <w:szCs w:val="18"/>
              </w:rPr>
            </w:pPr>
            <w:r>
              <w:rPr>
                <w:rFonts w:ascii="宋体" w:hAnsi="宋体" w:cs="宋体" w:eastAsia="宋体" w:hint="default"/>
                <w:sz w:val="18"/>
                <w:szCs w:val="18"/>
              </w:rPr>
              <w:t>东亚前海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379,839,2</w:t>
            </w:r>
          </w:p>
          <w:p>
            <w:pPr>
              <w:pStyle w:val="TableParagraph"/>
              <w:spacing w:line="240" w:lineRule="auto" w:before="4"/>
              <w:ind w:left="360" w:right="0"/>
              <w:jc w:val="left"/>
              <w:rPr>
                <w:rFonts w:ascii="Times New Roman" w:hAnsi="Times New Roman" w:cs="Times New Roman" w:eastAsia="Times New Roman" w:hint="default"/>
                <w:sz w:val="18"/>
                <w:szCs w:val="18"/>
              </w:rPr>
            </w:pPr>
            <w:r>
              <w:rPr>
                <w:rFonts w:ascii="Times New Roman"/>
                <w:sz w:val="18"/>
              </w:rPr>
              <w:t>27.28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-14,640,0</w:t>
            </w:r>
          </w:p>
          <w:p>
            <w:pPr>
              <w:pStyle w:val="TableParagraph"/>
              <w:spacing w:line="240" w:lineRule="auto" w:before="4"/>
              <w:ind w:left="364" w:right="0"/>
              <w:jc w:val="left"/>
              <w:rPr>
                <w:rFonts w:ascii="Times New Roman" w:hAnsi="Times New Roman" w:cs="Times New Roman" w:eastAsia="Times New Roman" w:hint="default"/>
                <w:sz w:val="18"/>
                <w:szCs w:val="18"/>
              </w:rPr>
            </w:pPr>
            <w:r>
              <w:rPr>
                <w:rFonts w:ascii="Times New Roman"/>
                <w:sz w:val="18"/>
              </w:rPr>
              <w:t>30.82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288,148.6</w:t>
            </w:r>
          </w:p>
          <w:p>
            <w:pPr>
              <w:pStyle w:val="TableParagraph"/>
              <w:spacing w:line="240" w:lineRule="auto" w:before="4"/>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365,487,3</w:t>
            </w:r>
          </w:p>
          <w:p>
            <w:pPr>
              <w:pStyle w:val="TableParagraph"/>
              <w:spacing w:line="240" w:lineRule="auto" w:before="4"/>
              <w:ind w:left="364" w:right="0"/>
              <w:jc w:val="left"/>
              <w:rPr>
                <w:rFonts w:ascii="Times New Roman" w:hAnsi="Times New Roman" w:cs="Times New Roman" w:eastAsia="Times New Roman" w:hint="default"/>
                <w:sz w:val="18"/>
                <w:szCs w:val="18"/>
              </w:rPr>
            </w:pPr>
            <w:r>
              <w:rPr>
                <w:rFonts w:ascii="Times New Roman"/>
                <w:sz w:val="18"/>
              </w:rPr>
              <w:t>45.06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540,845,5</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10.31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left"/>
              <w:rPr>
                <w:rFonts w:ascii="Times New Roman" w:hAnsi="Times New Roman" w:cs="Times New Roman" w:eastAsia="Times New Roman" w:hint="default"/>
                <w:sz w:val="18"/>
                <w:szCs w:val="18"/>
              </w:rPr>
            </w:pPr>
            <w:r>
              <w:rPr>
                <w:rFonts w:ascii="Times New Roman"/>
                <w:sz w:val="18"/>
              </w:rPr>
              <w:t>-54,545,5</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91.34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left"/>
              <w:rPr>
                <w:rFonts w:ascii="Times New Roman" w:hAnsi="Times New Roman" w:cs="Times New Roman" w:eastAsia="Times New Roman" w:hint="default"/>
                <w:sz w:val="18"/>
                <w:szCs w:val="18"/>
              </w:rPr>
            </w:pPr>
            <w:r>
              <w:rPr>
                <w:rFonts w:ascii="Times New Roman"/>
                <w:sz w:val="18"/>
              </w:rPr>
              <w:t>-8,009,12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2"/>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8" w:right="0"/>
              <w:jc w:val="left"/>
              <w:rPr>
                <w:rFonts w:ascii="Times New Roman" w:hAnsi="Times New Roman" w:cs="Times New Roman" w:eastAsia="Times New Roman" w:hint="default"/>
                <w:sz w:val="18"/>
                <w:szCs w:val="18"/>
              </w:rPr>
            </w:pPr>
            <w:r>
              <w:rPr>
                <w:rFonts w:ascii="Times New Roman"/>
                <w:sz w:val="18"/>
              </w:rPr>
              <w:t>478,699,1</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28.07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540,845,5</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10.31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left"/>
              <w:rPr>
                <w:rFonts w:ascii="Times New Roman" w:hAnsi="Times New Roman" w:cs="Times New Roman" w:eastAsia="Times New Roman" w:hint="default"/>
                <w:sz w:val="18"/>
                <w:szCs w:val="18"/>
              </w:rPr>
            </w:pPr>
            <w:r>
              <w:rPr>
                <w:rFonts w:ascii="Times New Roman"/>
                <w:sz w:val="18"/>
              </w:rPr>
              <w:t>-54,545,5</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91.34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76" w:right="0"/>
              <w:jc w:val="left"/>
              <w:rPr>
                <w:rFonts w:ascii="Times New Roman" w:hAnsi="Times New Roman" w:cs="Times New Roman" w:eastAsia="Times New Roman" w:hint="default"/>
                <w:sz w:val="18"/>
                <w:szCs w:val="18"/>
              </w:rPr>
            </w:pPr>
            <w:r>
              <w:rPr>
                <w:rFonts w:ascii="Times New Roman"/>
                <w:sz w:val="18"/>
              </w:rPr>
              <w:t>-8,009,12</w:t>
            </w:r>
          </w:p>
          <w:p>
            <w:pPr>
              <w:pStyle w:val="TableParagraph"/>
              <w:spacing w:line="207" w:lineRule="exact"/>
              <w:ind w:left="451" w:right="0"/>
              <w:jc w:val="left"/>
              <w:rPr>
                <w:rFonts w:ascii="Times New Roman" w:hAnsi="Times New Roman" w:cs="Times New Roman" w:eastAsia="Times New Roman" w:hint="default"/>
                <w:sz w:val="18"/>
                <w:szCs w:val="18"/>
              </w:rPr>
            </w:pPr>
            <w:r>
              <w:rPr>
                <w:rFonts w:ascii="Times New Roman"/>
                <w:sz w:val="18"/>
              </w:rPr>
              <w:t>4.90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12"/>
              <w:jc w:val="right"/>
              <w:rPr>
                <w:rFonts w:ascii="Times New Roman" w:hAnsi="Times New Roman" w:cs="Times New Roman" w:eastAsia="Times New Roman" w:hint="default"/>
                <w:sz w:val="18"/>
                <w:szCs w:val="18"/>
              </w:rPr>
            </w:pPr>
            <w:r>
              <w:rPr>
                <w:rFonts w:ascii="Times New Roman"/>
                <w:spacing w:val="-1"/>
                <w:sz w:val="18"/>
              </w:rPr>
              <w:t>408,334.0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8" w:right="0"/>
              <w:jc w:val="left"/>
              <w:rPr>
                <w:rFonts w:ascii="Times New Roman" w:hAnsi="Times New Roman" w:cs="Times New Roman" w:eastAsia="Times New Roman" w:hint="default"/>
                <w:sz w:val="18"/>
                <w:szCs w:val="18"/>
              </w:rPr>
            </w:pPr>
            <w:r>
              <w:rPr>
                <w:rFonts w:ascii="Times New Roman"/>
                <w:sz w:val="18"/>
              </w:rPr>
              <w:t>478,699,1</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28.07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22"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305,832,416.45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199,885,781.73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87,163,887.95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66,700,638.89</w:t>
            </w:r>
          </w:p>
        </w:tc>
      </w:tr>
      <w:tr>
        <w:trPr>
          <w:trHeight w:val="32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4,343,563.44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964,870.40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2"/>
                <w:sz w:val="18"/>
              </w:rPr>
              <w:t>4,211,682.32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1,157,844.48</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186" w:top="1100" w:bottom="138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22"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81" w:right="0"/>
              <w:jc w:val="left"/>
              <w:rPr>
                <w:rFonts w:ascii="Times New Roman" w:hAnsi="Times New Roman" w:cs="Times New Roman" w:eastAsia="Times New Roman" w:hint="default"/>
                <w:sz w:val="18"/>
                <w:szCs w:val="18"/>
              </w:rPr>
            </w:pPr>
            <w:r>
              <w:rPr>
                <w:rFonts w:ascii="Times New Roman"/>
                <w:sz w:val="18"/>
              </w:rPr>
              <w:t>310,175,979.89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58" w:right="0"/>
              <w:jc w:val="left"/>
              <w:rPr>
                <w:rFonts w:ascii="Times New Roman" w:hAnsi="Times New Roman" w:cs="Times New Roman" w:eastAsia="Times New Roman" w:hint="default"/>
                <w:sz w:val="18"/>
                <w:szCs w:val="18"/>
              </w:rPr>
            </w:pPr>
            <w:r>
              <w:rPr>
                <w:rFonts w:ascii="Times New Roman"/>
                <w:sz w:val="18"/>
              </w:rPr>
              <w:t>200,850,652.13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4" w:right="0"/>
              <w:jc w:val="left"/>
              <w:rPr>
                <w:rFonts w:ascii="Times New Roman" w:hAnsi="Times New Roman" w:cs="Times New Roman" w:eastAsia="Times New Roman" w:hint="default"/>
                <w:sz w:val="18"/>
                <w:szCs w:val="18"/>
              </w:rPr>
            </w:pPr>
            <w:r>
              <w:rPr>
                <w:rFonts w:ascii="Times New Roman"/>
                <w:sz w:val="18"/>
              </w:rPr>
              <w:t>91,375,570.27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45" w:right="0"/>
              <w:jc w:val="left"/>
              <w:rPr>
                <w:rFonts w:ascii="Times New Roman" w:hAnsi="Times New Roman" w:cs="Times New Roman" w:eastAsia="Times New Roman" w:hint="default"/>
                <w:sz w:val="18"/>
                <w:szCs w:val="18"/>
              </w:rPr>
            </w:pPr>
            <w:r>
              <w:rPr>
                <w:rFonts w:ascii="Times New Roman"/>
                <w:sz w:val="18"/>
              </w:rPr>
              <w:t>67,858,483.37</w:t>
            </w:r>
          </w:p>
        </w:tc>
      </w:tr>
    </w:tbl>
    <w:p>
      <w:pPr>
        <w:spacing w:line="240" w:lineRule="auto" w:before="0"/>
        <w:rPr>
          <w:rFonts w:ascii="宋体" w:hAnsi="宋体" w:cs="宋体" w:eastAsia="宋体" w:hint="default"/>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46"/>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61,300,000.00</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-54,545,591.34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-21,379,468.33</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3,587,507.76</w:t>
            </w: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-34,545,591.34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43,508,039.43</w:t>
            </w:r>
          </w:p>
        </w:tc>
      </w:tr>
    </w:tbl>
    <w:p>
      <w:pPr>
        <w:spacing w:line="240" w:lineRule="auto" w:before="9"/>
        <w:rPr>
          <w:rFonts w:ascii="宋体" w:hAnsi="宋体" w:cs="宋体" w:eastAsia="宋体" w:hint="default"/>
          <w:sz w:val="17"/>
          <w:szCs w:val="17"/>
        </w:rPr>
      </w:pPr>
    </w:p>
    <w:p>
      <w:pPr>
        <w:pStyle w:val="Heading2"/>
        <w:spacing w:line="240" w:lineRule="auto" w:before="26"/>
        <w:ind w:right="1055"/>
        <w:jc w:val="left"/>
        <w:rPr>
          <w:b w:val="0"/>
          <w:bCs w:val="0"/>
        </w:rPr>
      </w:pPr>
      <w:r>
        <w:rPr/>
        <w:t>十六、补充资料</w:t>
      </w:r>
      <w:r>
        <w:rPr>
          <w:b w:val="0"/>
          <w:bCs w:val="0"/>
        </w:rPr>
      </w:r>
    </w:p>
    <w:p>
      <w:pPr>
        <w:spacing w:line="240" w:lineRule="auto" w:before="6"/>
        <w:rPr>
          <w:rFonts w:ascii="宋体" w:hAnsi="宋体" w:cs="宋体" w:eastAsia="宋体" w:hint="default"/>
          <w:b/>
          <w:bCs/>
          <w:sz w:val="23"/>
          <w:szCs w:val="23"/>
        </w:rPr>
      </w:pPr>
    </w:p>
    <w:p>
      <w:pPr>
        <w:pStyle w:val="Heading3"/>
        <w:spacing w:line="240" w:lineRule="auto"/>
        <w:ind w:right="1055"/>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24"/>
        <w:ind w:left="0" w:right="1121"/>
        <w:jc w:val="right"/>
      </w:pPr>
      <w:r>
        <w:rPr/>
        <w:t>单位：</w:t>
      </w:r>
      <w:r>
        <w:rPr>
          <w:spacing w:val="5"/>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35,462,882.06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
              <w:ind w:left="24" w:right="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6,398,779.75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161,902.13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6,314,825.19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
              <w:jc w:val="right"/>
              <w:rPr>
                <w:rFonts w:ascii="Times New Roman" w:hAnsi="Times New Roman" w:cs="Times New Roman" w:eastAsia="Times New Roman" w:hint="default"/>
                <w:sz w:val="18"/>
                <w:szCs w:val="18"/>
              </w:rPr>
            </w:pPr>
            <w:r>
              <w:rPr>
                <w:rFonts w:ascii="Times New Roman"/>
                <w:spacing w:val="-1"/>
                <w:sz w:val="18"/>
              </w:rPr>
              <w:t>1,158,755.69</w:t>
            </w:r>
          </w:p>
        </w:tc>
        <w:tc>
          <w:tcPr>
            <w:tcW w:w="3189" w:type="dxa"/>
            <w:tcBorders>
              <w:top w:val="single" w:sz="4" w:space="0" w:color="000000"/>
              <w:left w:val="single" w:sz="4" w:space="0" w:color="000000"/>
              <w:bottom w:val="single" w:sz="10" w:space="0" w:color="000000"/>
              <w:right w:val="single" w:sz="4" w:space="0" w:color="000000"/>
            </w:tcBorders>
          </w:tcPr>
          <w:p>
            <w:pP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
              <w:jc w:val="right"/>
              <w:rPr>
                <w:rFonts w:ascii="Times New Roman" w:hAnsi="Times New Roman" w:cs="Times New Roman" w:eastAsia="Times New Roman" w:hint="default"/>
                <w:sz w:val="18"/>
                <w:szCs w:val="18"/>
              </w:rPr>
            </w:pPr>
            <w:r>
              <w:rPr>
                <w:rFonts w:ascii="Times New Roman"/>
                <w:spacing w:val="-1"/>
                <w:sz w:val="18"/>
              </w:rPr>
              <w:t>34,549,983.06</w:t>
            </w:r>
          </w:p>
        </w:tc>
        <w:tc>
          <w:tcPr>
            <w:tcW w:w="3189" w:type="dxa"/>
            <w:tcBorders>
              <w:top w:val="single" w:sz="10" w:space="0" w:color="000000"/>
              <w:left w:val="single" w:sz="4" w:space="0" w:color="000000"/>
              <w:bottom w:val="single" w:sz="6" w:space="0" w:color="D2D2D2"/>
              <w:right w:val="single" w:sz="4" w:space="0" w:color="000000"/>
            </w:tcBorders>
          </w:tcPr>
          <w:p>
            <w:pPr>
              <w:pStyle w:val="TableParagraph"/>
              <w:tabs>
                <w:tab w:pos="1503" w:val="left" w:leader="none"/>
                <w:tab w:pos="3130" w:val="left" w:leader="none"/>
              </w:tabs>
              <w:spacing w:line="240" w:lineRule="auto" w:before="38"/>
              <w:ind w:right="0"/>
              <w:jc w:val="center"/>
              <w:rPr>
                <w:rFonts w:ascii="Times New Roman" w:hAnsi="Times New Roman" w:cs="Times New Roman" w:eastAsia="Times New Roman" w:hint="default"/>
                <w:sz w:val="18"/>
                <w:szCs w:val="18"/>
              </w:rPr>
            </w:pPr>
            <w:r>
              <w:rPr>
                <w:rFonts w:ascii="Times New Roman"/>
                <w:w w:val="101"/>
                <w:sz w:val="18"/>
              </w:rPr>
            </w:r>
            <w:r>
              <w:rPr>
                <w:rFonts w:ascii="Times New Roman"/>
                <w:w w:val="101"/>
                <w:sz w:val="18"/>
                <w:shd w:fill="D2D2D2" w:color="auto" w:val="clear"/>
              </w:rPr>
              <w:t> </w:t>
            </w:r>
            <w:r>
              <w:rPr>
                <w:rFonts w:ascii="Times New Roman"/>
                <w:sz w:val="18"/>
                <w:shd w:fill="D2D2D2" w:color="auto" w:val="clear"/>
              </w:rPr>
              <w:tab/>
              <w:t>--</w:t>
              <w:tab/>
            </w:r>
            <w:r>
              <w:rPr>
                <w:rFonts w:ascii="Times New Roman"/>
                <w:sz w:val="18"/>
              </w:rPr>
            </w:r>
          </w:p>
        </w:tc>
      </w:tr>
    </w:tbl>
    <w:p>
      <w:pPr>
        <w:pStyle w:val="BodyText"/>
        <w:spacing w:line="242" w:lineRule="exact" w:before="3"/>
        <w:ind w:right="1055"/>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236" w:lineRule="exact" w:before="14"/>
        <w:ind w:right="1055"/>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16"/>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055"/>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168" w:hRule="exact"/>
        </w:trPr>
        <w:tc>
          <w:tcPr>
            <w:tcW w:w="2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8" w:hRule="exact"/>
        </w:trPr>
        <w:tc>
          <w:tcPr>
            <w:tcW w:w="2665" w:type="dxa"/>
            <w:vMerge w:val="restart"/>
            <w:tcBorders>
              <w:top w:val="nil" w:sz="6" w:space="0" w:color="auto"/>
              <w:left w:val="single" w:sz="4" w:space="0" w:color="000000"/>
              <w:right w:val="single" w:sz="4" w:space="0" w:color="000000"/>
            </w:tcBorders>
          </w:tcPr>
          <w:p>
            <w:pPr>
              <w:pStyle w:val="TableParagraph"/>
              <w:tabs>
                <w:tab w:pos="878" w:val="left" w:leader="none"/>
                <w:tab w:pos="2631" w:val="left" w:leader="none"/>
              </w:tabs>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D2D2D2" w:color="auto" w:val="clear"/>
              </w:rPr>
              <w:t> </w:t>
            </w:r>
            <w:r>
              <w:rPr>
                <w:rFonts w:ascii="Times New Roman" w:hAnsi="Times New Roman" w:cs="Times New Roman" w:eastAsia="Times New Roman" w:hint="default"/>
                <w:sz w:val="18"/>
                <w:szCs w:val="18"/>
                <w:shd w:fill="D2D2D2" w:color="auto" w:val="clear"/>
              </w:rPr>
              <w:tab/>
            </w:r>
            <w:r>
              <w:rPr>
                <w:rFonts w:ascii="宋体" w:hAnsi="宋体" w:cs="宋体" w:eastAsia="宋体" w:hint="default"/>
                <w:sz w:val="18"/>
                <w:szCs w:val="18"/>
                <w:shd w:fill="D2D2D2" w:color="auto" w:val="clear"/>
              </w:rPr>
              <w:t>报告期利润</w:t>
              <w:tab/>
            </w:r>
            <w:r>
              <w:rPr>
                <w:rFonts w:ascii="宋体" w:hAnsi="宋体" w:cs="宋体" w:eastAsia="宋体" w:hint="default"/>
                <w:sz w:val="18"/>
                <w:szCs w:val="18"/>
              </w:rPr>
            </w:r>
          </w:p>
        </w:tc>
        <w:tc>
          <w:tcPr>
            <w:tcW w:w="3078" w:type="dxa"/>
            <w:vMerge w:val="restart"/>
            <w:tcBorders>
              <w:top w:val="nil" w:sz="6" w:space="0" w:color="auto"/>
              <w:left w:val="single" w:sz="4" w:space="0" w:color="000000"/>
              <w:right w:val="single" w:sz="4" w:space="0" w:color="000000"/>
            </w:tcBorders>
          </w:tcPr>
          <w:p>
            <w:pPr>
              <w:pStyle w:val="TableParagraph"/>
              <w:tabs>
                <w:tab w:pos="634" w:val="left" w:leader="none"/>
                <w:tab w:pos="3049" w:val="left" w:leader="none"/>
              </w:tabs>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shd w:fill="D2D2D2" w:color="auto" w:val="clear"/>
              </w:rPr>
              <w:t> </w:t>
            </w:r>
            <w:r>
              <w:rPr>
                <w:rFonts w:ascii="Times New Roman" w:hAnsi="Times New Roman" w:cs="Times New Roman" w:eastAsia="Times New Roman" w:hint="default"/>
                <w:sz w:val="18"/>
                <w:szCs w:val="18"/>
                <w:shd w:fill="D2D2D2" w:color="auto" w:val="clear"/>
              </w:rPr>
              <w:tab/>
            </w:r>
            <w:r>
              <w:rPr>
                <w:rFonts w:ascii="宋体" w:hAnsi="宋体" w:cs="宋体" w:eastAsia="宋体" w:hint="default"/>
                <w:sz w:val="18"/>
                <w:szCs w:val="18"/>
                <w:shd w:fill="D2D2D2" w:color="auto" w:val="clear"/>
              </w:rPr>
              <w:t>加权平均净资产收益率</w:t>
              <w:tab/>
            </w:r>
            <w:r>
              <w:rPr>
                <w:rFonts w:ascii="宋体" w:hAnsi="宋体" w:cs="宋体" w:eastAsia="宋体" w:hint="default"/>
                <w:sz w:val="18"/>
                <w:szCs w:val="18"/>
              </w:rPr>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54" w:hRule="exact"/>
        </w:trPr>
        <w:tc>
          <w:tcPr>
            <w:tcW w:w="2665" w:type="dxa"/>
            <w:vMerge/>
            <w:tcBorders>
              <w:left w:val="single" w:sz="4" w:space="0" w:color="000000"/>
              <w:bottom w:val="nil" w:sz="6" w:space="0" w:color="auto"/>
              <w:right w:val="single" w:sz="4" w:space="0" w:color="000000"/>
            </w:tcBorders>
          </w:tcPr>
          <w:p>
            <w:pPr/>
          </w:p>
        </w:tc>
        <w:tc>
          <w:tcPr>
            <w:tcW w:w="3078" w:type="dxa"/>
            <w:vMerge/>
            <w:tcBorders>
              <w:left w:val="single" w:sz="4" w:space="0" w:color="000000"/>
              <w:bottom w:val="nil" w:sz="6" w:space="0" w:color="auto"/>
              <w:right w:val="single" w:sz="4" w:space="0" w:color="000000"/>
            </w:tcBorders>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168" w:hRule="exact"/>
        </w:trPr>
        <w:tc>
          <w:tcPr>
            <w:tcW w:w="2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0.0506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0.0506</w:t>
            </w:r>
          </w:p>
        </w:tc>
      </w:tr>
      <w:tr>
        <w:trPr>
          <w:trHeight w:val="557"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0.0017</w:t>
            </w:r>
          </w:p>
        </w:tc>
      </w:tr>
    </w:tbl>
    <w:p>
      <w:pPr>
        <w:spacing w:line="240" w:lineRule="auto" w:before="0"/>
        <w:rPr>
          <w:rFonts w:ascii="宋体" w:hAnsi="宋体" w:cs="宋体" w:eastAsia="宋体" w:hint="default"/>
          <w:b/>
          <w:bCs/>
          <w:sz w:val="17"/>
          <w:szCs w:val="17"/>
        </w:rPr>
      </w:pPr>
    </w:p>
    <w:p>
      <w:pPr>
        <w:pStyle w:val="Heading3"/>
        <w:spacing w:line="240" w:lineRule="auto" w:before="36"/>
        <w:ind w:right="1055"/>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1055"/>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186" w:top="1100" w:bottom="1380" w:left="980" w:right="0"/>
        </w:sectPr>
      </w:pPr>
    </w:p>
    <w:p>
      <w:pPr>
        <w:spacing w:line="240" w:lineRule="auto" w:before="11"/>
        <w:rPr>
          <w:rFonts w:ascii="宋体" w:hAnsi="宋体" w:cs="宋体" w:eastAsia="宋体" w:hint="default"/>
          <w:sz w:val="18"/>
          <w:szCs w:val="18"/>
        </w:rPr>
      </w:pPr>
    </w:p>
    <w:p>
      <w:pPr>
        <w:pStyle w:val="Heading3"/>
        <w:spacing w:line="240" w:lineRule="auto" w:before="36"/>
        <w:ind w:right="1055"/>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10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3"/>
          <w:szCs w:val="23"/>
        </w:rPr>
      </w:pPr>
    </w:p>
    <w:p>
      <w:pPr>
        <w:pStyle w:val="Heading3"/>
        <w:spacing w:line="274" w:lineRule="exact"/>
        <w:ind w:right="1055"/>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0"/>
          <w:szCs w:val="20"/>
        </w:rPr>
      </w:pPr>
    </w:p>
    <w:p>
      <w:pPr>
        <w:pStyle w:val="Heading3"/>
        <w:spacing w:line="240" w:lineRule="auto"/>
        <w:ind w:right="1055"/>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1" w:footer="1186" w:top="1100" w:bottom="1380" w:left="980" w:right="0"/>
        </w:sectPr>
      </w:pPr>
    </w:p>
    <w:p>
      <w:pPr>
        <w:spacing w:line="240" w:lineRule="auto" w:before="4"/>
        <w:rPr>
          <w:rFonts w:ascii="宋体" w:hAnsi="宋体" w:cs="宋体" w:eastAsia="宋体" w:hint="default"/>
          <w:b/>
          <w:bCs/>
          <w:sz w:val="23"/>
          <w:szCs w:val="23"/>
        </w:rPr>
      </w:pPr>
    </w:p>
    <w:p>
      <w:pPr>
        <w:pStyle w:val="Heading1"/>
        <w:spacing w:line="240" w:lineRule="auto"/>
        <w:ind w:left="3284" w:right="1055"/>
        <w:jc w:val="left"/>
        <w:rPr>
          <w:b w:val="0"/>
          <w:bCs w:val="0"/>
        </w:rPr>
      </w:pPr>
      <w:bookmarkStart w:name="_bookmark10" w:id="11"/>
      <w:bookmarkEnd w:id="11"/>
      <w:r>
        <w:rPr>
          <w:b w:val="0"/>
          <w:bCs w:val="0"/>
        </w:rPr>
      </w:r>
      <w:r>
        <w:rPr/>
        <w:t>第十二节 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39"/>
          <w:szCs w:val="39"/>
        </w:rPr>
      </w:pPr>
    </w:p>
    <w:p>
      <w:pPr>
        <w:pStyle w:val="BodyText"/>
        <w:spacing w:line="240" w:lineRule="auto"/>
        <w:ind w:left="513" w:right="1055"/>
        <w:jc w:val="left"/>
      </w:pPr>
      <w:r>
        <w:rPr>
          <w:rFonts w:ascii="宋体" w:hAnsi="宋体" w:cs="宋体" w:eastAsia="宋体" w:hint="default"/>
          <w:spacing w:val="-3"/>
        </w:rPr>
        <w:t>1</w:t>
      </w:r>
      <w:r>
        <w:rPr>
          <w:spacing w:val="-3"/>
        </w:rPr>
        <w:t>．载有公司法定代表人陈向军、主管会计工作负责人刘奕、会计机构负责人张春雷签名并盖章的财务报表。</w:t>
      </w:r>
    </w:p>
    <w:p>
      <w:pPr>
        <w:pStyle w:val="BodyText"/>
        <w:spacing w:line="240" w:lineRule="auto" w:before="115"/>
        <w:ind w:left="513" w:right="1055"/>
        <w:jc w:val="left"/>
      </w:pPr>
      <w:r>
        <w:rPr>
          <w:rFonts w:ascii="宋体" w:hAnsi="宋体" w:cs="宋体" w:eastAsia="宋体" w:hint="default"/>
          <w:spacing w:val="-3"/>
        </w:rPr>
        <w:t>2</w:t>
      </w:r>
      <w:r>
        <w:rPr>
          <w:spacing w:val="-3"/>
        </w:rPr>
        <w:t>．载有瑞华会计师事务所盖章、注册会计师张翎、昝丽涛签名并盖章的审计报告原件。</w:t>
      </w:r>
    </w:p>
    <w:p>
      <w:pPr>
        <w:pStyle w:val="BodyText"/>
        <w:spacing w:line="240" w:lineRule="auto" w:before="115"/>
        <w:ind w:left="513" w:right="1055"/>
        <w:jc w:val="left"/>
      </w:pPr>
      <w:r>
        <w:rPr>
          <w:rFonts w:ascii="宋体" w:hAnsi="宋体" w:cs="宋体" w:eastAsia="宋体" w:hint="default"/>
        </w:rPr>
        <w:t>3</w:t>
      </w:r>
      <w:r>
        <w:rPr/>
        <w:t>．载有公司董事长陈向军签名的公司</w:t>
      </w:r>
      <w:r>
        <w:rPr>
          <w:rFonts w:ascii="宋体" w:hAnsi="宋体" w:cs="宋体" w:eastAsia="宋体" w:hint="default"/>
        </w:rPr>
        <w:t>2018</w:t>
      </w:r>
      <w:r>
        <w:rPr/>
        <w:t>年年度报告。</w:t>
      </w:r>
    </w:p>
    <w:p>
      <w:pPr>
        <w:pStyle w:val="BodyText"/>
        <w:spacing w:line="240" w:lineRule="auto" w:before="115"/>
        <w:ind w:left="513" w:right="1055"/>
        <w:jc w:val="left"/>
      </w:pPr>
      <w:r>
        <w:rPr>
          <w:rFonts w:ascii="宋体" w:hAnsi="宋体" w:cs="宋体" w:eastAsia="宋体" w:hint="default"/>
          <w:spacing w:val="-3"/>
        </w:rPr>
        <w:t>4</w:t>
      </w:r>
      <w:r>
        <w:rPr>
          <w:spacing w:val="-3"/>
        </w:rPr>
        <w:t>．报告期内公司在中国证监会指定网站上公开披露过的所有文件的正本及公告的原件。</w:t>
      </w:r>
    </w:p>
    <w:p>
      <w:pPr>
        <w:pStyle w:val="BodyText"/>
        <w:spacing w:line="357" w:lineRule="auto" w:before="115"/>
        <w:ind w:left="513" w:right="2850"/>
        <w:jc w:val="left"/>
      </w:pPr>
      <w:r>
        <w:rPr>
          <w:rFonts w:ascii="宋体" w:hAnsi="宋体" w:cs="宋体" w:eastAsia="宋体" w:hint="default"/>
        </w:rPr>
        <w:t>5. </w:t>
      </w:r>
      <w:r>
        <w:rPr>
          <w:spacing w:val="-3"/>
        </w:rPr>
        <w:t>其他有关资料。</w:t>
      </w:r>
      <w:r>
        <w:rPr>
          <w:spacing w:val="-64"/>
        </w:rPr>
        <w:t> </w:t>
      </w:r>
      <w:r>
        <w:rPr>
          <w:spacing w:val="-64"/>
        </w:rPr>
      </w:r>
      <w:r>
        <w:rPr>
          <w:spacing w:val="-3"/>
        </w:rPr>
        <w:t>以上备查文件的备置地点：深圳市福田区天安数码城天祥大厦</w:t>
      </w:r>
      <w:r>
        <w:rPr>
          <w:rFonts w:ascii="宋体" w:hAnsi="宋体" w:cs="宋体" w:eastAsia="宋体" w:hint="default"/>
          <w:spacing w:val="-3"/>
        </w:rPr>
        <w:t>AB</w:t>
      </w:r>
      <w:r>
        <w:rPr>
          <w:spacing w:val="-3"/>
        </w:rPr>
        <w:t>座</w:t>
      </w:r>
      <w:r>
        <w:rPr>
          <w:rFonts w:ascii="宋体" w:hAnsi="宋体" w:cs="宋体" w:eastAsia="宋体" w:hint="default"/>
          <w:spacing w:val="-3"/>
        </w:rPr>
        <w:t>10A</w:t>
      </w:r>
      <w:r>
        <w:rPr>
          <w:spacing w:val="-3"/>
        </w:rPr>
        <w:t>，公司董事会办公室。</w:t>
      </w:r>
    </w:p>
    <w:sectPr>
      <w:pgSz w:w="11910" w:h="16840"/>
      <w:pgMar w:header="871" w:footer="1186" w:top="110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Cambria Math">
    <w:altName w:val="Cambria Math"/>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46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960" type="#_x0000_t75" stroked="false">
          <v:imagedata r:id="rId1" o:title=""/>
        </v:shape>
      </w:pict>
    </w:r>
    <w:r>
      <w:rPr/>
      <w:pict>
        <v:shape style="position:absolute;margin-left:291.160004pt;margin-top:771.637329pt;width:13.15pt;height:11.15pt;mso-position-horizontal-relative:page;mso-position-vertical-relative:page;z-index:-8209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912" type="#_x0000_t75" stroked="false">
          <v:imagedata r:id="rId1" o:title=""/>
        </v:shape>
      </w:pict>
    </w:r>
    <w:r>
      <w:rPr/>
      <w:pict>
        <v:shape style="position:absolute;margin-left:291.160004pt;margin-top:771.637329pt;width:13.15pt;height:11.15pt;mso-position-horizontal-relative:page;mso-position-vertical-relative:page;z-index:-82088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864" type="#_x0000_t75" stroked="false">
          <v:imagedata r:id="rId1" o:title=""/>
        </v:shape>
      </w:pict>
    </w:r>
    <w:r>
      <w:rPr/>
      <w:pict>
        <v:shape style="position:absolute;margin-left:290pt;margin-top:771.637329pt;width:15.7pt;height:11.15pt;mso-position-horizontal-relative:page;mso-position-vertical-relative:page;z-index:-82084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816" type="#_x0000_t75" stroked="false">
          <v:imagedata r:id="rId1" o:title=""/>
        </v:shape>
      </w:pict>
    </w:r>
    <w:r>
      <w:rPr/>
      <w:pict>
        <v:shape style="position:absolute;margin-left:289pt;margin-top:771.637329pt;width:17.7pt;height:11.15pt;mso-position-horizontal-relative:page;mso-position-vertical-relative:page;z-index:-82079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768" type="#_x0000_t75" stroked="false">
          <v:imagedata r:id="rId1" o:title=""/>
        </v:shape>
      </w:pict>
    </w:r>
    <w:r>
      <w:rPr/>
      <w:pict>
        <v:shape style="position:absolute;margin-left:289pt;margin-top:771.637329pt;width:17.7pt;height:11.15pt;mso-position-horizontal-relative:page;mso-position-vertical-relative:page;z-index:-82074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720" type="#_x0000_t75" stroked="false">
          <v:imagedata r:id="rId1" o:title=""/>
        </v:shape>
      </w:pict>
    </w:r>
    <w:r>
      <w:rPr/>
      <w:pict>
        <v:shape style="position:absolute;margin-left:73.664001pt;margin-top:754.578491pt;width:466.4pt;height:28.2pt;mso-position-horizontal-relative:page;mso-position-vertical-relative:page;z-index:-820696" type="#_x0000_t202" filled="false" stroked="false">
          <v:textbox inset="0,0,0,0">
            <w:txbxContent>
              <w:p>
                <w:pPr>
                  <w:pStyle w:val="BodyText"/>
                  <w:spacing w:line="202" w:lineRule="exact"/>
                  <w:ind w:left="20" w:right="0"/>
                  <w:jc w:val="left"/>
                </w:pPr>
                <w:r>
                  <w:rPr>
                    <w:spacing w:val="-4"/>
                  </w:rPr>
                  <w:t>固定资产是指为生产商品、提供劳务、出租或经营管理而持有的，使用寿命超过一个会计年度的有形资产。固定资产仅</w:t>
                </w:r>
              </w:p>
              <w:p>
                <w:pPr>
                  <w:pStyle w:val="BodyText"/>
                  <w:spacing w:line="240" w:lineRule="auto" w:before="138"/>
                  <w:ind w:left="-1" w:right="362"/>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672" type="#_x0000_t75" stroked="false">
          <v:imagedata r:id="rId1" o:title=""/>
        </v:shape>
      </w:pict>
    </w:r>
    <w:r>
      <w:rPr/>
      <w:pict>
        <v:shape style="position:absolute;margin-left:289pt;margin-top:771.637329pt;width:17.45pt;height:11.15pt;mso-position-horizontal-relative:page;mso-position-vertical-relative:page;z-index:-82064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624" type="#_x0000_t75" stroked="false">
          <v:imagedata r:id="rId1" o:title=""/>
        </v:shape>
      </w:pict>
    </w:r>
    <w:r>
      <w:rPr/>
      <w:pict>
        <v:shape style="position:absolute;margin-left:289pt;margin-top:771.637329pt;width:17.7pt;height:11.15pt;mso-position-horizontal-relative:page;mso-position-vertical-relative:page;z-index:-82060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576" type="#_x0000_t75" stroked="false">
          <v:imagedata r:id="rId1" o:title=""/>
        </v:shape>
      </w:pict>
    </w:r>
    <w:r>
      <w:rPr/>
      <w:pict>
        <v:shape style="position:absolute;margin-left:289pt;margin-top:771.637329pt;width:17.7pt;height:11.15pt;mso-position-horizontal-relative:page;mso-position-vertical-relative:page;z-index:-82055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528" type="#_x0000_t75" stroked="false">
          <v:imagedata r:id="rId1" o:title=""/>
        </v:shape>
      </w:pict>
    </w:r>
    <w:r>
      <w:rPr/>
      <w:pict>
        <v:shape style="position:absolute;margin-left:289pt;margin-top:771.637329pt;width:17.7pt;height:11.15pt;mso-position-horizontal-relative:page;mso-position-vertical-relative:page;z-index:-8205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392" type="#_x0000_t75" stroked="false">
          <v:imagedata r:id="rId1" o:title=""/>
        </v:shape>
      </w:pict>
    </w:r>
    <w:r>
      <w:rPr/>
      <w:pict>
        <v:shape style="position:absolute;margin-left:291.160004pt;margin-top:771.637329pt;width:13.15pt;height:11.15pt;mso-position-horizontal-relative:page;mso-position-vertical-relative:page;z-index:-8213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820456" type="#_x0000_t75" stroked="false">
          <v:imagedata r:id="rId1" o:title=""/>
        </v:shape>
      </w:pict>
    </w:r>
    <w:r>
      <w:rPr/>
      <w:pict>
        <v:shape style="position:absolute;margin-left:412.359985pt;margin-top:525.15741pt;width:17.7pt;height:11.15pt;mso-position-horizontal-relative:page;mso-position-vertical-relative:page;z-index:-8204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154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0360" type="#_x0000_t75" stroked="false">
          <v:imagedata r:id="rId1" o:title=""/>
        </v:shape>
      </w:pict>
    </w:r>
    <w:r>
      <w:rPr/>
      <w:pict>
        <v:shape style="position:absolute;margin-left:289pt;margin-top:771.637329pt;width:17.7pt;height:11.15pt;mso-position-horizontal-relative:page;mso-position-vertical-relative:page;z-index:-8203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156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344" type="#_x0000_t75" stroked="false">
          <v:imagedata r:id="rId1" o:title=""/>
        </v:shape>
      </w:pict>
    </w:r>
    <w:r>
      <w:rPr/>
      <w:pict>
        <v:shape style="position:absolute;margin-left:73.664001pt;margin-top:756.978455pt;width:465.9pt;height:25.8pt;mso-position-horizontal-relative:page;mso-position-vertical-relative:page;z-index:-821320" type="#_x0000_t202" filled="false" stroked="false">
          <v:textbox inset="0,0,0,0">
            <w:txbxContent>
              <w:p>
                <w:pPr>
                  <w:pStyle w:val="BodyText"/>
                  <w:spacing w:line="202" w:lineRule="exact"/>
                  <w:ind w:left="20" w:right="0"/>
                  <w:jc w:val="left"/>
                </w:pPr>
                <w:r>
                  <w:rPr>
                    <w:spacing w:val="-3"/>
                  </w:rPr>
                  <w:t>据统计局数据显示，</w:t>
                </w:r>
                <w:r>
                  <w:rPr>
                    <w:rFonts w:ascii="宋体" w:hAnsi="宋体" w:cs="宋体" w:eastAsia="宋体" w:hint="default"/>
                    <w:spacing w:val="-3"/>
                  </w:rPr>
                  <w:t>2018</w:t>
                </w:r>
                <w:r>
                  <w:rPr>
                    <w:spacing w:val="-3"/>
                  </w:rPr>
                  <w:t>年我国移动短信业务量大幅提升。其中，移动短信业务量同比增长</w:t>
                </w:r>
                <w:r>
                  <w:rPr>
                    <w:rFonts w:ascii="宋体" w:hAnsi="宋体" w:cs="宋体" w:eastAsia="宋体" w:hint="default"/>
                    <w:spacing w:val="-3"/>
                  </w:rPr>
                  <w:t>14%</w:t>
                </w:r>
                <w:r>
                  <w:rPr>
                    <w:spacing w:val="-3"/>
                  </w:rPr>
                  <w:t>；移动短信业务收入完</w:t>
                </w:r>
              </w:p>
              <w:p>
                <w:pPr>
                  <w:pStyle w:val="BodyText"/>
                  <w:spacing w:line="240" w:lineRule="auto" w:before="90"/>
                  <w:ind w:left="-1" w:right="352"/>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296" type="#_x0000_t75" stroked="false">
          <v:imagedata r:id="rId1" o:title=""/>
        </v:shape>
      </w:pict>
    </w:r>
    <w:r>
      <w:rPr/>
      <w:pict>
        <v:shape style="position:absolute;margin-left:55.664001pt;margin-top:756.978455pt;width:488.1pt;height:25.8pt;mso-position-horizontal-relative:page;mso-position-vertical-relative:page;z-index:-821272" type="#_x0000_t202" filled="false" stroked="false">
          <v:textbox inset="0,0,0,0">
            <w:txbxContent>
              <w:p>
                <w:pPr>
                  <w:pStyle w:val="BodyText"/>
                  <w:spacing w:line="202" w:lineRule="exact"/>
                  <w:ind w:left="0" w:right="0"/>
                  <w:jc w:val="center"/>
                </w:pPr>
                <w:r>
                  <w:rPr>
                    <w:spacing w:val="-3"/>
                  </w:rPr>
                  <w:t>市场规模也迅速扩大。国内以及海外电子商务业务的快速发展，已然形成涵盖营销、仓储、物流和金融服务的完整产业链，</w:t>
                </w:r>
              </w:p>
              <w:p>
                <w:pPr>
                  <w:pStyle w:val="BodyText"/>
                  <w:spacing w:line="240" w:lineRule="auto" w:before="90"/>
                  <w:ind w:left="-1" w:right="77"/>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248" type="#_x0000_t75" stroked="false">
          <v:imagedata r:id="rId1" o:title=""/>
        </v:shape>
      </w:pict>
    </w:r>
    <w:r>
      <w:rPr/>
      <w:pict>
        <v:shape style="position:absolute;margin-left:291.160004pt;margin-top:771.637329pt;width:13.15pt;height:11.15pt;mso-position-horizontal-relative:page;mso-position-vertical-relative:page;z-index:-8212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200" type="#_x0000_t75" stroked="false">
          <v:imagedata r:id="rId1" o:title=""/>
        </v:shape>
      </w:pict>
    </w:r>
    <w:r>
      <w:rPr/>
      <w:pict>
        <v:shape style="position:absolute;margin-left:55.664001pt;margin-top:756.978455pt;width:362.1pt;height:25.8pt;mso-position-horizontal-relative:page;mso-position-vertical-relative:page;z-index:-821176" type="#_x0000_t202" filled="false" stroked="false">
          <v:textbox inset="0,0,0,0">
            <w:txbxContent>
              <w:p>
                <w:pPr>
                  <w:pStyle w:val="BodyText"/>
                  <w:spacing w:line="202" w:lineRule="exact"/>
                  <w:ind w:left="20" w:right="0"/>
                  <w:jc w:val="left"/>
                </w:pPr>
                <w:r>
                  <w:rPr>
                    <w:spacing w:val="-3"/>
                  </w:rPr>
                  <w:t>动公司整体业绩提升，为股东创造更大的价值，也为公司未来可持续发展奠定了坚实基础。</w:t>
                </w:r>
              </w:p>
              <w:p>
                <w:pPr>
                  <w:pStyle w:val="BodyText"/>
                  <w:spacing w:line="240" w:lineRule="auto" w:before="90"/>
                  <w:ind w:left="4749"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152" type="#_x0000_t75" stroked="false">
          <v:imagedata r:id="rId1" o:title=""/>
        </v:shape>
      </w:pict>
    </w:r>
    <w:r>
      <w:rPr/>
      <w:pict>
        <v:shape style="position:absolute;margin-left:291.160004pt;margin-top:771.637329pt;width:13.15pt;height:11.15pt;mso-position-horizontal-relative:page;mso-position-vertical-relative:page;z-index:-82112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39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104" type="#_x0000_t75" stroked="false">
          <v:imagedata r:id="rId1" o:title=""/>
        </v:shape>
      </w:pict>
    </w:r>
    <w:r>
      <w:rPr/>
      <w:pict>
        <v:shape style="position:absolute;margin-left:55.664001pt;margin-top:754.818481pt;width:27pt;height:11.15pt;mso-position-horizontal-relative:page;mso-position-vertical-relative:page;z-index:-821080" type="#_x0000_t202" filled="false" stroked="false">
          <v:textbox inset="0,0,0,0">
            <w:txbxContent>
              <w:p>
                <w:pPr>
                  <w:pStyle w:val="BodyText"/>
                  <w:spacing w:line="202" w:lineRule="exact"/>
                  <w:ind w:left="20" w:right="0"/>
                  <w:jc w:val="left"/>
                </w:pPr>
                <w:r>
                  <w:rPr/>
                  <w:t>注</w:t>
                </w:r>
                <w:r>
                  <w:rPr>
                    <w:spacing w:val="-41"/>
                  </w:rPr>
                  <w:t> </w:t>
                </w:r>
                <w:r>
                  <w:rPr>
                    <w:rFonts w:ascii="宋体" w:hAnsi="宋体" w:cs="宋体" w:eastAsia="宋体" w:hint="default"/>
                  </w:rPr>
                  <w:t>1</w:t>
                </w:r>
                <w:r>
                  <w:rPr/>
                  <w:t>：</w:t>
                </w:r>
              </w:p>
            </w:txbxContent>
          </v:textbox>
          <w10:wrap type="none"/>
        </v:shape>
      </w:pict>
    </w:r>
    <w:r>
      <w:rPr/>
      <w:pict>
        <v:shape style="position:absolute;margin-left:291.160004pt;margin-top:771.637329pt;width:13.15pt;height:11.15pt;mso-position-horizontal-relative:page;mso-position-vertical-relative:page;z-index:-82105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821032" type="#_x0000_t75" stroked="false">
          <v:imagedata r:id="rId1" o:title=""/>
        </v:shape>
      </w:pict>
    </w:r>
    <w:r>
      <w:rPr/>
      <w:pict>
        <v:shape style="position:absolute;margin-left:55.664001pt;margin-top:751.698486pt;width:27pt;height:11.65pt;mso-position-horizontal-relative:page;mso-position-vertical-relative:page;z-index:-821008" type="#_x0000_t202" filled="false" stroked="false">
          <v:textbox inset="0,0,0,0">
            <w:txbxContent>
              <w:p>
                <w:pPr>
                  <w:pStyle w:val="BodyText"/>
                  <w:spacing w:line="216" w:lineRule="exact"/>
                  <w:ind w:left="20" w:right="0"/>
                  <w:jc w:val="left"/>
                </w:pPr>
                <w:r>
                  <w:rPr/>
                  <w:t>注</w:t>
                </w:r>
                <w:r>
                  <w:rPr>
                    <w:spacing w:val="-41"/>
                  </w:rPr>
                  <w:t> </w:t>
                </w:r>
                <w:r>
                  <w:rPr>
                    <w:rFonts w:ascii="Times New Roman" w:hAnsi="Times New Roman" w:cs="Times New Roman" w:eastAsia="Times New Roman" w:hint="default"/>
                  </w:rPr>
                  <w:t>3</w:t>
                </w:r>
                <w:r>
                  <w:rPr/>
                  <w:t>：</w:t>
                </w:r>
              </w:p>
            </w:txbxContent>
          </v:textbox>
          <w10:wrap type="none"/>
        </v:shape>
      </w:pict>
    </w:r>
    <w:r>
      <w:rPr/>
      <w:pict>
        <v:shape style="position:absolute;margin-left:291.160004pt;margin-top:771.637329pt;width:13.15pt;height:11.15pt;mso-position-horizontal-relative:page;mso-position-vertical-relative:page;z-index:-82098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75.9pt;height:.1pt;mso-position-horizontal-relative:page;mso-position-vertical-relative:page;z-index:-821440" coordorigin="1104,1112" coordsize="9518,2">
          <v:shape style="position:absolute;left:1104;top:1112;width:9518;height:2" coordorigin="1104,1112" coordsize="9518,0" path="m1104,1112l10622,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17.119995pt;margin-top:42.542484pt;width:213.8pt;height:11.65pt;mso-position-horizontal-relative:page;mso-position-vertical-relative:page;z-index:-821416" type="#_x0000_t202" filled="false" stroked="false">
          <v:textbox inset="0,0,0,0">
            <w:txbxContent>
              <w:p>
                <w:pPr>
                  <w:pStyle w:val="BodyText"/>
                  <w:spacing w:line="216" w:lineRule="exact"/>
                  <w:ind w:left="20" w:right="0"/>
                  <w:jc w:val="left"/>
                </w:pPr>
                <w:r>
                  <w:rPr>
                    <w:spacing w:val="-3"/>
                  </w:rPr>
                  <w:t>深圳市银之杰科技股份有限公司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5pt;margin-top:42.542511pt;width:213.75pt;height:11.65pt;mso-position-horizontal-relative:page;mso-position-vertical-relative:page;z-index:-820480" type="#_x0000_t202" filled="false" stroked="false">
          <v:textbox inset="0,0,0,0">
            <w:txbxContent>
              <w:p>
                <w:pPr>
                  <w:pStyle w:val="BodyText"/>
                  <w:spacing w:line="216" w:lineRule="exact"/>
                  <w:ind w:left="20" w:right="0"/>
                  <w:jc w:val="left"/>
                </w:pPr>
                <w:r>
                  <w:rPr>
                    <w:spacing w:val="-3"/>
                  </w:rPr>
                  <w:t>深圳市银之杰科技股份有限公司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75.9pt;height:.1pt;mso-position-horizontal-relative:page;mso-position-vertical-relative:page;z-index:-820408" coordorigin="1104,1112" coordsize="9518,2">
          <v:shape style="position:absolute;left:1104;top:1112;width:9518;height:2" coordorigin="1104,1112" coordsize="9518,0" path="m1104,1112l10622,1112e" filled="false" stroked="true" strokeweight=".72pt" strokecolor="#000000">
            <v:path arrowok="t"/>
          </v:shape>
          <w10:wrap type="none"/>
        </v:group>
      </w:pict>
    </w:r>
    <w:r>
      <w:rPr/>
      <w:pict>
        <v:shape style="position:absolute;margin-left:317.119995pt;margin-top:42.542484pt;width:213.8pt;height:11.65pt;mso-position-horizontal-relative:page;mso-position-vertical-relative:page;z-index:-820384" type="#_x0000_t202" filled="false" stroked="false">
          <v:textbox inset="0,0,0,0">
            <w:txbxContent>
              <w:p>
                <w:pPr>
                  <w:pStyle w:val="BodyText"/>
                  <w:spacing w:line="216" w:lineRule="exact"/>
                  <w:ind w:left="20" w:right="0"/>
                  <w:jc w:val="left"/>
                </w:pPr>
                <w:r>
                  <w:rPr>
                    <w:spacing w:val="-3"/>
                  </w:rPr>
                  <w:t>深圳市银之杰科技股份有限公司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633"/>
    </w:pPr>
    <w:rPr>
      <w:rFonts w:ascii="宋体" w:hAnsi="宋体" w:eastAsia="宋体"/>
      <w:b/>
      <w:bCs/>
      <w:sz w:val="24"/>
      <w:szCs w:val="24"/>
    </w:rPr>
  </w:style>
  <w:style w:styleId="TOC2" w:type="paragraph">
    <w:name w:val="TOC 2"/>
    <w:basedOn w:val="Normal"/>
    <w:uiPriority w:val="1"/>
    <w:qFormat/>
    <w:pPr>
      <w:ind w:left="633"/>
    </w:pPr>
    <w:rPr>
      <w:rFonts w:ascii="宋体" w:hAnsi="宋体" w:eastAsia="宋体"/>
      <w:b/>
      <w:bCs/>
      <w:i/>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497"/>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yinzhijie.com/" TargetMode="External"/><Relationship Id="rId10" Type="http://schemas.openxmlformats.org/officeDocument/2006/relationships/hyperlink" Target="mailto:invest@yinzhijie.com" TargetMode="External"/><Relationship Id="rId11" Type="http://schemas.openxmlformats.org/officeDocument/2006/relationships/hyperlink" Target="mailto:liuyi@yinzhijie.com" TargetMode="External"/><Relationship Id="rId12" Type="http://schemas.openxmlformats.org/officeDocument/2006/relationships/hyperlink" Target="mailto:sushimin@yinzhijie.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image" Target="media/image4.png"/><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header" Target="header2.xml"/><Relationship Id="rId34" Type="http://schemas.openxmlformats.org/officeDocument/2006/relationships/footer" Target="footer20.xml"/><Relationship Id="rId35" Type="http://schemas.openxmlformats.org/officeDocument/2006/relationships/header" Target="header3.xml"/><Relationship Id="rId36" Type="http://schemas.openxmlformats.org/officeDocument/2006/relationships/footer" Target="footer2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深圳市银之杰科技股份有限公司</dc:creator>
  <dc:title>深圳市银之杰科技股份有限公司2018年年度报告全文</dc:title>
  <dcterms:created xsi:type="dcterms:W3CDTF">2020-05-05T01:19:54Z</dcterms:created>
  <dcterms:modified xsi:type="dcterms:W3CDTF">2020-05-05T01:19:54Z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2010</vt:lpwstr>
  </property>
  <property fmtid="{D5CDD505-2E9C-101B-9397-08002B2CF9AE}" pid="4" name="LastSaved">
    <vt:filetime>2020-05-04T00:00:00Z</vt:filetime>
  </property>
</Properties>
</file>